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8566" w14:textId="3EC862F6" w:rsidR="003F18E2" w:rsidRPr="005F15BB" w:rsidRDefault="003F18E2" w:rsidP="008B5777">
      <w:pPr>
        <w:rPr>
          <w:sz w:val="20"/>
          <w:szCs w:val="20"/>
          <w:lang w:val="fr-CA"/>
        </w:rPr>
      </w:pPr>
      <w:r w:rsidRPr="005F15BB">
        <w:rPr>
          <w:sz w:val="20"/>
          <w:szCs w:val="20"/>
          <w:lang w:val="fr-CA"/>
        </w:rPr>
        <w:t xml:space="preserve">L’augmentation de la fréquence du nettoyage et de la désinfection des surfaces souvent touchées joue un rôle important pour limiter la propagation des virus et d’autres micro-organismes. </w:t>
      </w:r>
      <w:r w:rsidRPr="005F15BB">
        <w:rPr>
          <w:b/>
          <w:bCs/>
          <w:sz w:val="20"/>
          <w:szCs w:val="20"/>
          <w:lang w:val="fr-CA"/>
        </w:rPr>
        <w:t>Il faut nettoyer toutes les surfaces, particulièrement celles qui sont touchées fréquemment au moins deux fois par jour et lorsqu’elles sont souillées</w:t>
      </w:r>
      <w:r w:rsidRPr="005F15BB">
        <w:rPr>
          <w:sz w:val="20"/>
          <w:szCs w:val="20"/>
          <w:lang w:val="fr-CA"/>
        </w:rPr>
        <w:t xml:space="preserve">. </w:t>
      </w:r>
    </w:p>
    <w:p w14:paraId="465FC898" w14:textId="3B4129DE" w:rsidR="008174AF" w:rsidRPr="005F15BB" w:rsidRDefault="003F18E2" w:rsidP="008B5777">
      <w:pPr>
        <w:rPr>
          <w:sz w:val="20"/>
          <w:szCs w:val="20"/>
          <w:lang w:val="fr-CA"/>
        </w:rPr>
      </w:pPr>
      <w:r w:rsidRPr="005F15BB">
        <w:rPr>
          <w:b/>
          <w:bCs/>
          <w:sz w:val="20"/>
          <w:szCs w:val="20"/>
          <w:lang w:val="fr-CA"/>
        </w:rPr>
        <w:t>Les surfaces souillées doivent être nettoyées avant la désinfection, à</w:t>
      </w:r>
      <w:r w:rsidRPr="005F15BB">
        <w:rPr>
          <w:sz w:val="20"/>
          <w:szCs w:val="20"/>
          <w:lang w:val="fr-CA"/>
        </w:rPr>
        <w:t xml:space="preserve"> moins d’indication contraire sur l’étiquette du produit.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4"/>
        <w:gridCol w:w="1008"/>
        <w:gridCol w:w="1008"/>
      </w:tblGrid>
      <w:tr w:rsidR="008174AF" w:rsidRPr="008B5777" w14:paraId="5C56B52B" w14:textId="77777777" w:rsidTr="008174AF">
        <w:tc>
          <w:tcPr>
            <w:tcW w:w="7334" w:type="dxa"/>
            <w:shd w:val="clear" w:color="auto" w:fill="C00000"/>
          </w:tcPr>
          <w:p w14:paraId="639F38DF" w14:textId="77777777" w:rsidR="008174AF" w:rsidRPr="008B5777" w:rsidRDefault="008174AF" w:rsidP="00590FD3">
            <w:r>
              <w:t>Check list</w:t>
            </w:r>
          </w:p>
        </w:tc>
        <w:tc>
          <w:tcPr>
            <w:tcW w:w="1008" w:type="dxa"/>
            <w:shd w:val="clear" w:color="auto" w:fill="C00000"/>
          </w:tcPr>
          <w:p w14:paraId="6E55B20E" w14:textId="77777777" w:rsidR="008174AF" w:rsidRDefault="008174AF" w:rsidP="00590FD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008" w:type="dxa"/>
            <w:shd w:val="clear" w:color="auto" w:fill="C00000"/>
          </w:tcPr>
          <w:p w14:paraId="689CA444" w14:textId="77777777" w:rsidR="008174AF" w:rsidRDefault="008174AF" w:rsidP="00590FD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8174AF" w:rsidRPr="008B5777" w14:paraId="4D73BC9D" w14:textId="77777777" w:rsidTr="008174AF">
        <w:tc>
          <w:tcPr>
            <w:tcW w:w="7334" w:type="dxa"/>
          </w:tcPr>
          <w:p w14:paraId="0571251E" w14:textId="772B9BA5" w:rsidR="008174AF" w:rsidRPr="008B5777" w:rsidRDefault="008174AF" w:rsidP="00590FD3">
            <w:pPr>
              <w:rPr>
                <w:lang w:val="es-ES"/>
              </w:rPr>
            </w:pPr>
            <w:r w:rsidRPr="008B5777">
              <w:rPr>
                <w:lang w:val="es-ES"/>
              </w:rPr>
              <w:t>Tables</w:t>
            </w:r>
          </w:p>
        </w:tc>
        <w:tc>
          <w:tcPr>
            <w:tcW w:w="1008" w:type="dxa"/>
          </w:tcPr>
          <w:p w14:paraId="60A991FD" w14:textId="77777777"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14:paraId="6452898C" w14:textId="77777777"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14:paraId="4736B8A8" w14:textId="77777777" w:rsidTr="008174AF">
        <w:tc>
          <w:tcPr>
            <w:tcW w:w="7334" w:type="dxa"/>
          </w:tcPr>
          <w:p w14:paraId="6C17BD6E" w14:textId="1B0A5A01" w:rsidR="008174AF" w:rsidRPr="008B5777" w:rsidRDefault="008174AF" w:rsidP="00590FD3">
            <w:pPr>
              <w:rPr>
                <w:lang w:val="es-ES"/>
              </w:rPr>
            </w:pPr>
            <w:proofErr w:type="spellStart"/>
            <w:r w:rsidRPr="008B5777">
              <w:rPr>
                <w:lang w:val="es-ES"/>
              </w:rPr>
              <w:t>Micro</w:t>
            </w:r>
            <w:r w:rsidR="008073E8">
              <w:rPr>
                <w:lang w:val="es-ES"/>
              </w:rPr>
              <w:t>ndes</w:t>
            </w:r>
            <w:proofErr w:type="spellEnd"/>
          </w:p>
        </w:tc>
        <w:tc>
          <w:tcPr>
            <w:tcW w:w="1008" w:type="dxa"/>
          </w:tcPr>
          <w:p w14:paraId="65CB2277" w14:textId="77777777"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14:paraId="3CF612A9" w14:textId="77777777"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14:paraId="6B2906B1" w14:textId="77777777" w:rsidTr="008174AF">
        <w:tc>
          <w:tcPr>
            <w:tcW w:w="7334" w:type="dxa"/>
          </w:tcPr>
          <w:p w14:paraId="1956E804" w14:textId="7C006115" w:rsidR="008174AF" w:rsidRPr="008B5777" w:rsidRDefault="008073E8" w:rsidP="00590FD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Bouilloire</w:t>
            </w:r>
            <w:proofErr w:type="spellEnd"/>
          </w:p>
        </w:tc>
        <w:tc>
          <w:tcPr>
            <w:tcW w:w="1008" w:type="dxa"/>
          </w:tcPr>
          <w:p w14:paraId="360F92E8" w14:textId="77777777"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14:paraId="0E83A3A1" w14:textId="77777777"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14:paraId="17161936" w14:textId="77777777" w:rsidTr="008174AF">
        <w:tc>
          <w:tcPr>
            <w:tcW w:w="7334" w:type="dxa"/>
          </w:tcPr>
          <w:p w14:paraId="1FF29EC7" w14:textId="38B536F6" w:rsidR="008174AF" w:rsidRPr="008B5777" w:rsidRDefault="008073E8" w:rsidP="00590FD3">
            <w:proofErr w:type="spellStart"/>
            <w:r>
              <w:t>Poignées</w:t>
            </w:r>
            <w:proofErr w:type="spellEnd"/>
            <w:r>
              <w:t xml:space="preserve"> de </w:t>
            </w:r>
            <w:proofErr w:type="spellStart"/>
            <w:r>
              <w:t>portes</w:t>
            </w:r>
            <w:proofErr w:type="spellEnd"/>
          </w:p>
        </w:tc>
        <w:tc>
          <w:tcPr>
            <w:tcW w:w="1008" w:type="dxa"/>
          </w:tcPr>
          <w:p w14:paraId="39C1F01E" w14:textId="77777777" w:rsidR="008174AF" w:rsidRPr="008B5777" w:rsidRDefault="008174AF" w:rsidP="00590FD3"/>
        </w:tc>
        <w:tc>
          <w:tcPr>
            <w:tcW w:w="1008" w:type="dxa"/>
          </w:tcPr>
          <w:p w14:paraId="60256EBC" w14:textId="77777777" w:rsidR="008174AF" w:rsidRPr="008B5777" w:rsidRDefault="008174AF" w:rsidP="00590FD3"/>
        </w:tc>
      </w:tr>
      <w:tr w:rsidR="008174AF" w:rsidRPr="008B5777" w14:paraId="3B5FA771" w14:textId="77777777" w:rsidTr="008174AF">
        <w:tc>
          <w:tcPr>
            <w:tcW w:w="7334" w:type="dxa"/>
          </w:tcPr>
          <w:p w14:paraId="45D1EA35" w14:textId="54D32601" w:rsidR="008174AF" w:rsidRPr="008B5777" w:rsidRDefault="008073E8" w:rsidP="00590FD3">
            <w:proofErr w:type="spellStart"/>
            <w:r>
              <w:t>Rampes</w:t>
            </w:r>
            <w:proofErr w:type="spellEnd"/>
          </w:p>
        </w:tc>
        <w:tc>
          <w:tcPr>
            <w:tcW w:w="1008" w:type="dxa"/>
          </w:tcPr>
          <w:p w14:paraId="2112D8EF" w14:textId="77777777" w:rsidR="008174AF" w:rsidRPr="008B5777" w:rsidRDefault="008174AF" w:rsidP="00590FD3"/>
        </w:tc>
        <w:tc>
          <w:tcPr>
            <w:tcW w:w="1008" w:type="dxa"/>
          </w:tcPr>
          <w:p w14:paraId="6B190EF4" w14:textId="77777777" w:rsidR="008174AF" w:rsidRPr="008B5777" w:rsidRDefault="008174AF" w:rsidP="00590FD3"/>
        </w:tc>
      </w:tr>
      <w:tr w:rsidR="008174AF" w:rsidRPr="008B5777" w14:paraId="54DF7832" w14:textId="77777777" w:rsidTr="008174AF">
        <w:tc>
          <w:tcPr>
            <w:tcW w:w="7334" w:type="dxa"/>
          </w:tcPr>
          <w:p w14:paraId="5FA77D2E" w14:textId="1572E370" w:rsidR="008174AF" w:rsidRPr="008B5777" w:rsidRDefault="008073E8" w:rsidP="00590FD3">
            <w:proofErr w:type="spellStart"/>
            <w:r>
              <w:t>Interrupteurs</w:t>
            </w:r>
            <w:proofErr w:type="spellEnd"/>
            <w:r>
              <w:t xml:space="preserve"> de </w:t>
            </w:r>
            <w:proofErr w:type="spellStart"/>
            <w:r>
              <w:t>lumières</w:t>
            </w:r>
            <w:proofErr w:type="spellEnd"/>
            <w:r w:rsidR="008174AF" w:rsidRPr="008B5777">
              <w:t>, thermostats;</w:t>
            </w:r>
          </w:p>
        </w:tc>
        <w:tc>
          <w:tcPr>
            <w:tcW w:w="1008" w:type="dxa"/>
          </w:tcPr>
          <w:p w14:paraId="377A3377" w14:textId="77777777" w:rsidR="008174AF" w:rsidRPr="008B5777" w:rsidRDefault="008174AF" w:rsidP="00590FD3"/>
        </w:tc>
        <w:tc>
          <w:tcPr>
            <w:tcW w:w="1008" w:type="dxa"/>
          </w:tcPr>
          <w:p w14:paraId="66152954" w14:textId="77777777" w:rsidR="008174AF" w:rsidRPr="008B5777" w:rsidRDefault="008174AF" w:rsidP="00590FD3"/>
        </w:tc>
      </w:tr>
      <w:tr w:rsidR="008174AF" w:rsidRPr="008B5777" w14:paraId="3107CD93" w14:textId="77777777" w:rsidTr="008174AF">
        <w:tc>
          <w:tcPr>
            <w:tcW w:w="7334" w:type="dxa"/>
          </w:tcPr>
          <w:p w14:paraId="1C12F999" w14:textId="118D8CC6" w:rsidR="008174AF" w:rsidRPr="008B5777" w:rsidRDefault="008073E8" w:rsidP="00590FD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Téléphones</w:t>
            </w:r>
            <w:proofErr w:type="spellEnd"/>
          </w:p>
        </w:tc>
        <w:tc>
          <w:tcPr>
            <w:tcW w:w="1008" w:type="dxa"/>
          </w:tcPr>
          <w:p w14:paraId="1EFE177C" w14:textId="77777777"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14:paraId="14D7ACAB" w14:textId="77777777"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073E8" w14:paraId="30E4A2A5" w14:textId="77777777" w:rsidTr="008174AF">
        <w:tc>
          <w:tcPr>
            <w:tcW w:w="7334" w:type="dxa"/>
          </w:tcPr>
          <w:p w14:paraId="136655C0" w14:textId="7E619C99" w:rsidR="008174AF" w:rsidRPr="008073E8" w:rsidRDefault="008073E8" w:rsidP="00590FD3">
            <w:pPr>
              <w:rPr>
                <w:lang w:val="fr-CA"/>
              </w:rPr>
            </w:pPr>
            <w:r w:rsidRPr="008073E8">
              <w:rPr>
                <w:lang w:val="fr-CA"/>
              </w:rPr>
              <w:t xml:space="preserve">Manettes et boutons de contrôle </w:t>
            </w:r>
          </w:p>
        </w:tc>
        <w:tc>
          <w:tcPr>
            <w:tcW w:w="1008" w:type="dxa"/>
          </w:tcPr>
          <w:p w14:paraId="57F455F4" w14:textId="77777777" w:rsidR="008174AF" w:rsidRPr="008073E8" w:rsidRDefault="008174AF" w:rsidP="00590FD3">
            <w:pPr>
              <w:rPr>
                <w:lang w:val="fr-CA"/>
              </w:rPr>
            </w:pPr>
          </w:p>
        </w:tc>
        <w:tc>
          <w:tcPr>
            <w:tcW w:w="1008" w:type="dxa"/>
          </w:tcPr>
          <w:p w14:paraId="53925C1D" w14:textId="77777777" w:rsidR="008174AF" w:rsidRPr="008073E8" w:rsidRDefault="008174AF" w:rsidP="00590FD3">
            <w:pPr>
              <w:rPr>
                <w:lang w:val="fr-CA"/>
              </w:rPr>
            </w:pPr>
          </w:p>
        </w:tc>
      </w:tr>
      <w:tr w:rsidR="008174AF" w:rsidRPr="008073E8" w14:paraId="7C822F1A" w14:textId="77777777" w:rsidTr="008174AF">
        <w:tc>
          <w:tcPr>
            <w:tcW w:w="7334" w:type="dxa"/>
          </w:tcPr>
          <w:p w14:paraId="4E40732D" w14:textId="01C189C1" w:rsidR="008174AF" w:rsidRPr="008073E8" w:rsidRDefault="008073E8" w:rsidP="00590FD3">
            <w:pPr>
              <w:rPr>
                <w:lang w:val="fr-CA"/>
              </w:rPr>
            </w:pPr>
            <w:r w:rsidRPr="008073E8">
              <w:rPr>
                <w:lang w:val="fr-CA"/>
              </w:rPr>
              <w:t>Claviers ordinateurs, Écrans, et surfaces par</w:t>
            </w:r>
            <w:r w:rsidR="00D76C0A">
              <w:rPr>
                <w:lang w:val="fr-CA"/>
              </w:rPr>
              <w:t>t</w:t>
            </w:r>
            <w:r w:rsidRPr="008073E8">
              <w:rPr>
                <w:lang w:val="fr-CA"/>
              </w:rPr>
              <w:t xml:space="preserve">agées par </w:t>
            </w:r>
            <w:r>
              <w:rPr>
                <w:lang w:val="fr-CA"/>
              </w:rPr>
              <w:t>les membres d’équipage autour de l’ordinateur</w:t>
            </w:r>
          </w:p>
        </w:tc>
        <w:tc>
          <w:tcPr>
            <w:tcW w:w="1008" w:type="dxa"/>
          </w:tcPr>
          <w:p w14:paraId="198F5A05" w14:textId="77777777" w:rsidR="008174AF" w:rsidRPr="008073E8" w:rsidRDefault="008174AF" w:rsidP="00590FD3">
            <w:pPr>
              <w:rPr>
                <w:lang w:val="fr-CA"/>
              </w:rPr>
            </w:pPr>
          </w:p>
        </w:tc>
        <w:tc>
          <w:tcPr>
            <w:tcW w:w="1008" w:type="dxa"/>
          </w:tcPr>
          <w:p w14:paraId="2B7D2F09" w14:textId="77777777" w:rsidR="008174AF" w:rsidRPr="008073E8" w:rsidRDefault="008174AF" w:rsidP="00590FD3">
            <w:pPr>
              <w:rPr>
                <w:lang w:val="fr-CA"/>
              </w:rPr>
            </w:pPr>
          </w:p>
        </w:tc>
      </w:tr>
      <w:tr w:rsidR="008174AF" w:rsidRPr="008B5777" w14:paraId="1DC8F32B" w14:textId="77777777" w:rsidTr="008174AF">
        <w:tc>
          <w:tcPr>
            <w:tcW w:w="7334" w:type="dxa"/>
          </w:tcPr>
          <w:p w14:paraId="2955F98C" w14:textId="53E6D623" w:rsidR="008174AF" w:rsidRPr="008B5777" w:rsidRDefault="008073E8" w:rsidP="00590FD3">
            <w:r>
              <w:t>Rack à café</w:t>
            </w:r>
          </w:p>
        </w:tc>
        <w:tc>
          <w:tcPr>
            <w:tcW w:w="1008" w:type="dxa"/>
          </w:tcPr>
          <w:p w14:paraId="6253487F" w14:textId="77777777" w:rsidR="008174AF" w:rsidRPr="008B5777" w:rsidRDefault="008174AF" w:rsidP="00590FD3"/>
        </w:tc>
        <w:tc>
          <w:tcPr>
            <w:tcW w:w="1008" w:type="dxa"/>
          </w:tcPr>
          <w:p w14:paraId="30112BC5" w14:textId="77777777" w:rsidR="008174AF" w:rsidRPr="008B5777" w:rsidRDefault="008174AF" w:rsidP="00590FD3"/>
        </w:tc>
      </w:tr>
      <w:tr w:rsidR="008174AF" w:rsidRPr="008B5777" w14:paraId="2E89A842" w14:textId="77777777" w:rsidTr="008174AF">
        <w:tc>
          <w:tcPr>
            <w:tcW w:w="7334" w:type="dxa"/>
          </w:tcPr>
          <w:p w14:paraId="412580DA" w14:textId="08B35FF6" w:rsidR="008174AF" w:rsidRPr="008B5777" w:rsidRDefault="008073E8" w:rsidP="00590FD3">
            <w:proofErr w:type="spellStart"/>
            <w:r>
              <w:t>Gallerie</w:t>
            </w:r>
            <w:proofErr w:type="spellEnd"/>
            <w:r>
              <w:t xml:space="preserve"> à condiments</w:t>
            </w:r>
          </w:p>
        </w:tc>
        <w:tc>
          <w:tcPr>
            <w:tcW w:w="1008" w:type="dxa"/>
          </w:tcPr>
          <w:p w14:paraId="56CD08EE" w14:textId="77777777" w:rsidR="008174AF" w:rsidRPr="008B5777" w:rsidRDefault="008174AF" w:rsidP="00590FD3"/>
        </w:tc>
        <w:tc>
          <w:tcPr>
            <w:tcW w:w="1008" w:type="dxa"/>
          </w:tcPr>
          <w:p w14:paraId="12DC7538" w14:textId="77777777" w:rsidR="008174AF" w:rsidRPr="008B5777" w:rsidRDefault="008174AF" w:rsidP="00590FD3"/>
        </w:tc>
      </w:tr>
      <w:tr w:rsidR="005F15BB" w:rsidRPr="005F15BB" w14:paraId="3DAE3DC1" w14:textId="77777777" w:rsidTr="008174AF">
        <w:tc>
          <w:tcPr>
            <w:tcW w:w="7334" w:type="dxa"/>
          </w:tcPr>
          <w:p w14:paraId="6044E809" w14:textId="79A10BF3" w:rsidR="005F15BB" w:rsidRPr="005F15BB" w:rsidRDefault="005F15BB" w:rsidP="005F15BB">
            <w:pPr>
              <w:rPr>
                <w:lang w:val="fr-CA"/>
              </w:rPr>
            </w:pPr>
            <w:r>
              <w:rPr>
                <w:lang w:val="fr-CA"/>
              </w:rPr>
              <w:t>Lieux de couchage</w:t>
            </w:r>
          </w:p>
        </w:tc>
        <w:tc>
          <w:tcPr>
            <w:tcW w:w="1008" w:type="dxa"/>
          </w:tcPr>
          <w:p w14:paraId="4E8684C6" w14:textId="77777777" w:rsidR="005F15BB" w:rsidRPr="005F15BB" w:rsidRDefault="005F15BB" w:rsidP="005F15BB">
            <w:pPr>
              <w:rPr>
                <w:lang w:val="fr-CA"/>
              </w:rPr>
            </w:pPr>
          </w:p>
        </w:tc>
        <w:tc>
          <w:tcPr>
            <w:tcW w:w="1008" w:type="dxa"/>
          </w:tcPr>
          <w:p w14:paraId="19A0822A" w14:textId="77777777" w:rsidR="005F15BB" w:rsidRPr="005F15BB" w:rsidRDefault="005F15BB" w:rsidP="005F15BB">
            <w:pPr>
              <w:rPr>
                <w:lang w:val="fr-CA"/>
              </w:rPr>
            </w:pPr>
          </w:p>
        </w:tc>
      </w:tr>
      <w:tr w:rsidR="005F15BB" w:rsidRPr="005F15BB" w14:paraId="65FCA1E7" w14:textId="77777777" w:rsidTr="008174AF">
        <w:tc>
          <w:tcPr>
            <w:tcW w:w="7334" w:type="dxa"/>
          </w:tcPr>
          <w:p w14:paraId="6083ED4D" w14:textId="095D4183" w:rsidR="005F15BB" w:rsidRPr="005F15BB" w:rsidRDefault="005F15BB" w:rsidP="005F15BB">
            <w:pPr>
              <w:rPr>
                <w:lang w:val="fr-CA"/>
              </w:rPr>
            </w:pPr>
            <w:r w:rsidRPr="005F15BB">
              <w:rPr>
                <w:lang w:val="fr-CA"/>
              </w:rPr>
              <w:t>Les espaces partagés ou couramment utilisés tels que les salles de bain, les salles à manger, etc.</w:t>
            </w:r>
          </w:p>
        </w:tc>
        <w:tc>
          <w:tcPr>
            <w:tcW w:w="1008" w:type="dxa"/>
          </w:tcPr>
          <w:p w14:paraId="40339B28" w14:textId="77777777" w:rsidR="005F15BB" w:rsidRPr="005F15BB" w:rsidRDefault="005F15BB" w:rsidP="005F15BB">
            <w:pPr>
              <w:rPr>
                <w:lang w:val="fr-CA"/>
              </w:rPr>
            </w:pPr>
          </w:p>
        </w:tc>
        <w:tc>
          <w:tcPr>
            <w:tcW w:w="1008" w:type="dxa"/>
          </w:tcPr>
          <w:p w14:paraId="16D434DC" w14:textId="77777777" w:rsidR="005F15BB" w:rsidRPr="005F15BB" w:rsidRDefault="005F15BB" w:rsidP="005F15BB">
            <w:pPr>
              <w:rPr>
                <w:lang w:val="fr-CA"/>
              </w:rPr>
            </w:pPr>
          </w:p>
        </w:tc>
      </w:tr>
      <w:tr w:rsidR="005F15BB" w:rsidRPr="005F15BB" w14:paraId="1627371E" w14:textId="77777777" w:rsidTr="008174AF">
        <w:tc>
          <w:tcPr>
            <w:tcW w:w="7334" w:type="dxa"/>
          </w:tcPr>
          <w:p w14:paraId="27DC0DC9" w14:textId="7282004A" w:rsidR="005F15BB" w:rsidRPr="005F15BB" w:rsidRDefault="005F15BB" w:rsidP="005F15BB">
            <w:pPr>
              <w:rPr>
                <w:lang w:val="fr-CA"/>
              </w:rPr>
            </w:pPr>
            <w:r w:rsidRPr="005F15BB">
              <w:rPr>
                <w:lang w:val="fr-CA"/>
              </w:rPr>
              <w:t>Zones d'équipement opérationnel fréquemment touchées, à savoir les boutons START / STOP,</w:t>
            </w:r>
          </w:p>
        </w:tc>
        <w:tc>
          <w:tcPr>
            <w:tcW w:w="1008" w:type="dxa"/>
          </w:tcPr>
          <w:p w14:paraId="40099CF4" w14:textId="77777777" w:rsidR="005F15BB" w:rsidRPr="005F15BB" w:rsidRDefault="005F15BB" w:rsidP="005F15BB">
            <w:pPr>
              <w:rPr>
                <w:lang w:val="fr-CA"/>
              </w:rPr>
            </w:pPr>
          </w:p>
        </w:tc>
        <w:tc>
          <w:tcPr>
            <w:tcW w:w="1008" w:type="dxa"/>
          </w:tcPr>
          <w:p w14:paraId="4BD71AAD" w14:textId="77777777" w:rsidR="005F15BB" w:rsidRPr="005F15BB" w:rsidRDefault="005F15BB" w:rsidP="005F15BB">
            <w:pPr>
              <w:rPr>
                <w:lang w:val="fr-CA"/>
              </w:rPr>
            </w:pPr>
          </w:p>
        </w:tc>
      </w:tr>
      <w:tr w:rsidR="005F15BB" w14:paraId="60F6BBA2" w14:textId="77777777" w:rsidTr="008174AF">
        <w:tc>
          <w:tcPr>
            <w:tcW w:w="7334" w:type="dxa"/>
          </w:tcPr>
          <w:p w14:paraId="797A2C52" w14:textId="6439079C" w:rsidR="005F15BB" w:rsidRDefault="005F15BB" w:rsidP="005F15BB">
            <w:proofErr w:type="spellStart"/>
            <w:r w:rsidRPr="004D30C8">
              <w:t>Volants</w:t>
            </w:r>
            <w:proofErr w:type="spellEnd"/>
            <w:r w:rsidRPr="004D30C8">
              <w:t>, etc.</w:t>
            </w:r>
          </w:p>
        </w:tc>
        <w:tc>
          <w:tcPr>
            <w:tcW w:w="1008" w:type="dxa"/>
          </w:tcPr>
          <w:p w14:paraId="5F034F5B" w14:textId="77777777" w:rsidR="005F15BB" w:rsidRDefault="005F15BB" w:rsidP="005F15BB"/>
        </w:tc>
        <w:tc>
          <w:tcPr>
            <w:tcW w:w="1008" w:type="dxa"/>
          </w:tcPr>
          <w:p w14:paraId="1D0842C8" w14:textId="77777777" w:rsidR="005F15BB" w:rsidRDefault="005F15BB" w:rsidP="005F15BB"/>
        </w:tc>
      </w:tr>
      <w:tr w:rsidR="006A1503" w14:paraId="7A1B115B" w14:textId="77777777" w:rsidTr="008174AF">
        <w:tc>
          <w:tcPr>
            <w:tcW w:w="7334" w:type="dxa"/>
          </w:tcPr>
          <w:p w14:paraId="748932E7" w14:textId="0BA07784" w:rsidR="006A1503" w:rsidRDefault="005F15BB" w:rsidP="00590FD3">
            <w:proofErr w:type="spellStart"/>
            <w:r>
              <w:t>Ventiler</w:t>
            </w:r>
            <w:proofErr w:type="spellEnd"/>
            <w:r>
              <w:t xml:space="preserve"> la </w:t>
            </w:r>
            <w:proofErr w:type="spellStart"/>
            <w:r>
              <w:t>cabine</w:t>
            </w:r>
            <w:proofErr w:type="spellEnd"/>
          </w:p>
        </w:tc>
        <w:tc>
          <w:tcPr>
            <w:tcW w:w="1008" w:type="dxa"/>
          </w:tcPr>
          <w:p w14:paraId="4E72CE30" w14:textId="77777777" w:rsidR="006A1503" w:rsidRDefault="006A1503" w:rsidP="00590FD3"/>
        </w:tc>
        <w:tc>
          <w:tcPr>
            <w:tcW w:w="1008" w:type="dxa"/>
          </w:tcPr>
          <w:p w14:paraId="255CF476" w14:textId="77777777" w:rsidR="006A1503" w:rsidRDefault="006A1503" w:rsidP="00590FD3"/>
        </w:tc>
      </w:tr>
      <w:tr w:rsidR="004C65E6" w14:paraId="2396D99F" w14:textId="77777777" w:rsidTr="008174AF">
        <w:tc>
          <w:tcPr>
            <w:tcW w:w="7334" w:type="dxa"/>
          </w:tcPr>
          <w:p w14:paraId="7B75BCA0" w14:textId="2DDB075B" w:rsidR="004C65E6" w:rsidRPr="004C65E6" w:rsidRDefault="005F15BB" w:rsidP="00565FEE">
            <w:pPr>
              <w:rPr>
                <w:lang w:val="en"/>
              </w:rPr>
            </w:pPr>
            <w:proofErr w:type="spellStart"/>
            <w:r>
              <w:t>Autre</w:t>
            </w:r>
            <w:proofErr w:type="spellEnd"/>
            <w:r>
              <w:t>:</w:t>
            </w:r>
          </w:p>
        </w:tc>
        <w:tc>
          <w:tcPr>
            <w:tcW w:w="1008" w:type="dxa"/>
          </w:tcPr>
          <w:p w14:paraId="6ED24DF8" w14:textId="77777777" w:rsidR="004C65E6" w:rsidRDefault="004C65E6" w:rsidP="00590FD3"/>
        </w:tc>
        <w:tc>
          <w:tcPr>
            <w:tcW w:w="1008" w:type="dxa"/>
          </w:tcPr>
          <w:p w14:paraId="15060913" w14:textId="77777777" w:rsidR="004C65E6" w:rsidRDefault="004C65E6" w:rsidP="00590FD3"/>
        </w:tc>
      </w:tr>
    </w:tbl>
    <w:p w14:paraId="0D0E1487" w14:textId="77777777" w:rsidR="008073E8" w:rsidRDefault="008073E8" w:rsidP="008B5777">
      <w:pPr>
        <w:rPr>
          <w:color w:val="C00000"/>
          <w:lang w:val="fr-CA"/>
        </w:rPr>
      </w:pPr>
    </w:p>
    <w:p w14:paraId="1E740F02" w14:textId="6D6FE26A" w:rsidR="006A1503" w:rsidRPr="008F5BBF" w:rsidRDefault="008F5BBF" w:rsidP="008B5777">
      <w:pPr>
        <w:rPr>
          <w:color w:val="C00000"/>
          <w:lang w:val="fr-CA"/>
        </w:rPr>
      </w:pPr>
      <w:r w:rsidRPr="008F5BBF">
        <w:rPr>
          <w:color w:val="C00000"/>
          <w:lang w:val="fr-CA"/>
        </w:rPr>
        <w:t>Utilisation Eau de javel? Laissez les surfaces séché</w:t>
      </w:r>
      <w:r w:rsidR="005F15BB">
        <w:rPr>
          <w:color w:val="C00000"/>
          <w:lang w:val="fr-CA"/>
        </w:rPr>
        <w:t>es</w:t>
      </w:r>
      <w:r w:rsidRPr="008F5BBF">
        <w:rPr>
          <w:color w:val="C00000"/>
          <w:lang w:val="fr-CA"/>
        </w:rPr>
        <w:t xml:space="preserve"> à l</w:t>
      </w:r>
      <w:r>
        <w:rPr>
          <w:color w:val="C00000"/>
          <w:lang w:val="fr-CA"/>
        </w:rPr>
        <w:t>’air naturellement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6A1503" w:rsidRPr="006A1503" w14:paraId="5A984B18" w14:textId="77777777" w:rsidTr="008073E8">
        <w:trPr>
          <w:trHeight w:val="1228"/>
        </w:trPr>
        <w:tc>
          <w:tcPr>
            <w:tcW w:w="3681" w:type="dxa"/>
          </w:tcPr>
          <w:p w14:paraId="657090DF" w14:textId="22C2CE17" w:rsidR="006A1503" w:rsidRPr="008073E8" w:rsidRDefault="008073E8" w:rsidP="00E41977">
            <w:pPr>
              <w:rPr>
                <w:sz w:val="20"/>
                <w:szCs w:val="20"/>
                <w:lang w:val="fr-CA"/>
              </w:rPr>
            </w:pPr>
            <w:r w:rsidRPr="008073E8">
              <w:rPr>
                <w:b/>
                <w:bCs/>
                <w:sz w:val="20"/>
                <w:szCs w:val="20"/>
                <w:lang w:val="fr-CA"/>
              </w:rPr>
              <w:t xml:space="preserve">Chlore </w:t>
            </w:r>
            <w:r w:rsidRPr="008073E8">
              <w:rPr>
                <w:sz w:val="20"/>
                <w:szCs w:val="20"/>
                <w:lang w:val="fr-CA"/>
              </w:rPr>
              <w:t>: eau de Javel – hypochlorite de sodium (5,25 %).</w:t>
            </w:r>
          </w:p>
        </w:tc>
        <w:tc>
          <w:tcPr>
            <w:tcW w:w="5669" w:type="dxa"/>
          </w:tcPr>
          <w:p w14:paraId="2CAB7B47" w14:textId="77777777" w:rsidR="008073E8" w:rsidRPr="008073E8" w:rsidRDefault="006A1503" w:rsidP="00E41977">
            <w:pPr>
              <w:rPr>
                <w:b/>
                <w:bCs/>
                <w:sz w:val="20"/>
                <w:szCs w:val="20"/>
                <w:lang w:val="fr-CA"/>
              </w:rPr>
            </w:pPr>
            <w:r w:rsidRPr="008073E8">
              <w:rPr>
                <w:b/>
                <w:bCs/>
                <w:sz w:val="20"/>
                <w:szCs w:val="20"/>
                <w:lang w:val="fr-CA"/>
              </w:rPr>
              <w:t xml:space="preserve"> 1000 ppm</w:t>
            </w:r>
          </w:p>
          <w:p w14:paraId="5566DD47" w14:textId="77777777" w:rsidR="008073E8" w:rsidRPr="008073E8" w:rsidRDefault="008073E8" w:rsidP="008073E8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lang w:val="fr-CA"/>
              </w:rPr>
            </w:pPr>
            <w:r w:rsidRPr="008073E8">
              <w:rPr>
                <w:sz w:val="20"/>
                <w:szCs w:val="20"/>
                <w:lang w:val="fr-CA"/>
              </w:rPr>
              <w:t xml:space="preserve">1 cuillère à thé (5 ml) d'eau de javel dans 1 tasse (250 ml) d'eau </w:t>
            </w:r>
            <w:proofErr w:type="gramStart"/>
            <w:r w:rsidRPr="008073E8">
              <w:rPr>
                <w:sz w:val="20"/>
                <w:szCs w:val="20"/>
                <w:lang w:val="fr-CA"/>
              </w:rPr>
              <w:t>ou</w:t>
            </w:r>
            <w:proofErr w:type="gramEnd"/>
            <w:r w:rsidRPr="008073E8">
              <w:rPr>
                <w:sz w:val="20"/>
                <w:szCs w:val="20"/>
                <w:lang w:val="fr-CA"/>
              </w:rPr>
              <w:t xml:space="preserve"> </w:t>
            </w:r>
          </w:p>
          <w:p w14:paraId="50C96E46" w14:textId="46B5E847" w:rsidR="006A1503" w:rsidRPr="008073E8" w:rsidRDefault="008073E8" w:rsidP="005F15BB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073E8">
              <w:rPr>
                <w:sz w:val="20"/>
                <w:szCs w:val="20"/>
                <w:lang w:val="fr-CA"/>
              </w:rPr>
              <w:t xml:space="preserve"> 4 cuillères à thé (20 ml) d'eau de javel pour 1 litre (3,78 L) d'eau</w:t>
            </w:r>
          </w:p>
        </w:tc>
      </w:tr>
    </w:tbl>
    <w:p w14:paraId="48ACDD86" w14:textId="77777777" w:rsidR="005F15BB" w:rsidRDefault="005F15BB" w:rsidP="008073E8">
      <w:pPr>
        <w:rPr>
          <w:sz w:val="18"/>
          <w:szCs w:val="18"/>
          <w:lang w:val="fr-CA"/>
        </w:rPr>
      </w:pPr>
    </w:p>
    <w:p w14:paraId="69F62A38" w14:textId="78CE6170" w:rsidR="008174AF" w:rsidRPr="005F15BB" w:rsidRDefault="008F5BBF" w:rsidP="008B5777">
      <w:pPr>
        <w:rPr>
          <w:b/>
          <w:bCs/>
          <w:i/>
          <w:iCs/>
          <w:sz w:val="18"/>
          <w:szCs w:val="18"/>
          <w:lang w:val="fr-CA"/>
        </w:rPr>
      </w:pPr>
      <w:r w:rsidRPr="008F5BBF">
        <w:rPr>
          <w:sz w:val="18"/>
          <w:szCs w:val="18"/>
          <w:lang w:val="fr-CA"/>
        </w:rPr>
        <w:t xml:space="preserve">Lorsque vous manipulez des solutions concentrées d’eau de Javel (hypochlorite de sodium), vous devez toujours respecter les mesures de sécurité et les directives du fabricant. </w:t>
      </w:r>
      <w:r w:rsidRPr="008F5BBF">
        <w:rPr>
          <w:sz w:val="18"/>
          <w:szCs w:val="18"/>
        </w:rPr>
        <w:t xml:space="preserve">Pour </w:t>
      </w:r>
      <w:proofErr w:type="spellStart"/>
      <w:r w:rsidRPr="008F5BBF">
        <w:rPr>
          <w:sz w:val="18"/>
          <w:szCs w:val="18"/>
        </w:rPr>
        <w:t>éviter</w:t>
      </w:r>
      <w:proofErr w:type="spellEnd"/>
      <w:r w:rsidRPr="008F5BBF">
        <w:rPr>
          <w:sz w:val="18"/>
          <w:szCs w:val="18"/>
        </w:rPr>
        <w:t xml:space="preserve"> les </w:t>
      </w:r>
      <w:proofErr w:type="spellStart"/>
      <w:r w:rsidRPr="008F5BBF">
        <w:rPr>
          <w:sz w:val="18"/>
          <w:szCs w:val="18"/>
        </w:rPr>
        <w:t>blessures</w:t>
      </w:r>
      <w:proofErr w:type="spellEnd"/>
      <w:r w:rsidRPr="008F5BBF">
        <w:rPr>
          <w:sz w:val="18"/>
          <w:szCs w:val="18"/>
        </w:rPr>
        <w:t xml:space="preserve">, </w:t>
      </w:r>
      <w:proofErr w:type="spellStart"/>
      <w:r w:rsidRPr="008F5BBF">
        <w:rPr>
          <w:sz w:val="18"/>
          <w:szCs w:val="18"/>
        </w:rPr>
        <w:t>veillez</w:t>
      </w:r>
      <w:proofErr w:type="spellEnd"/>
      <w:r w:rsidRPr="008F5BBF">
        <w:rPr>
          <w:sz w:val="18"/>
          <w:szCs w:val="18"/>
        </w:rPr>
        <w:t xml:space="preserve"> à </w:t>
      </w:r>
      <w:proofErr w:type="spellStart"/>
      <w:r w:rsidRPr="008F5BBF">
        <w:rPr>
          <w:sz w:val="18"/>
          <w:szCs w:val="18"/>
        </w:rPr>
        <w:t>utiliser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l’équipement</w:t>
      </w:r>
      <w:proofErr w:type="spellEnd"/>
      <w:r w:rsidRPr="008F5BBF">
        <w:rPr>
          <w:sz w:val="18"/>
          <w:szCs w:val="18"/>
        </w:rPr>
        <w:t xml:space="preserve"> de protection </w:t>
      </w:r>
      <w:proofErr w:type="spellStart"/>
      <w:r w:rsidRPr="008F5BBF">
        <w:rPr>
          <w:sz w:val="18"/>
          <w:szCs w:val="18"/>
        </w:rPr>
        <w:t>individuelle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approprié</w:t>
      </w:r>
      <w:proofErr w:type="spellEnd"/>
      <w:r w:rsidRPr="008F5BBF">
        <w:rPr>
          <w:sz w:val="18"/>
          <w:szCs w:val="18"/>
        </w:rPr>
        <w:t xml:space="preserve"> pendant la manipulation des produits (</w:t>
      </w:r>
      <w:proofErr w:type="spellStart"/>
      <w:r w:rsidRPr="008F5BBF">
        <w:rPr>
          <w:sz w:val="18"/>
          <w:szCs w:val="18"/>
        </w:rPr>
        <w:t>veuillez</w:t>
      </w:r>
      <w:proofErr w:type="spellEnd"/>
      <w:r w:rsidRPr="008F5BBF">
        <w:rPr>
          <w:sz w:val="18"/>
          <w:szCs w:val="18"/>
        </w:rPr>
        <w:t xml:space="preserve"> lire </w:t>
      </w:r>
      <w:proofErr w:type="spellStart"/>
      <w:r w:rsidRPr="008F5BBF">
        <w:rPr>
          <w:sz w:val="18"/>
          <w:szCs w:val="18"/>
        </w:rPr>
        <w:t>l’étiquette</w:t>
      </w:r>
      <w:proofErr w:type="spellEnd"/>
      <w:r w:rsidRPr="008F5BBF">
        <w:rPr>
          <w:sz w:val="18"/>
          <w:szCs w:val="18"/>
        </w:rPr>
        <w:t xml:space="preserve"> et consulter la fiche </w:t>
      </w:r>
      <w:proofErr w:type="spellStart"/>
      <w:r w:rsidRPr="008F5BBF">
        <w:rPr>
          <w:sz w:val="18"/>
          <w:szCs w:val="18"/>
        </w:rPr>
        <w:t>signalétique</w:t>
      </w:r>
      <w:proofErr w:type="spellEnd"/>
      <w:r w:rsidRPr="008F5BBF">
        <w:rPr>
          <w:sz w:val="18"/>
          <w:szCs w:val="18"/>
        </w:rPr>
        <w:t xml:space="preserve">). • La solution de </w:t>
      </w:r>
      <w:proofErr w:type="spellStart"/>
      <w:r w:rsidRPr="008F5BBF">
        <w:rPr>
          <w:sz w:val="18"/>
          <w:szCs w:val="18"/>
        </w:rPr>
        <w:t>javellisant</w:t>
      </w:r>
      <w:proofErr w:type="spellEnd"/>
      <w:r w:rsidRPr="008F5BBF">
        <w:rPr>
          <w:sz w:val="18"/>
          <w:szCs w:val="18"/>
        </w:rPr>
        <w:t xml:space="preserve"> au </w:t>
      </w:r>
      <w:proofErr w:type="spellStart"/>
      <w:r w:rsidRPr="008F5BBF">
        <w:rPr>
          <w:sz w:val="18"/>
          <w:szCs w:val="18"/>
        </w:rPr>
        <w:t>chlore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peut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endommager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certaines</w:t>
      </w:r>
      <w:proofErr w:type="spellEnd"/>
      <w:r w:rsidRPr="008F5BBF">
        <w:rPr>
          <w:sz w:val="18"/>
          <w:szCs w:val="18"/>
        </w:rPr>
        <w:t xml:space="preserve"> surfaces (p. ex., les </w:t>
      </w:r>
      <w:proofErr w:type="spellStart"/>
      <w:r w:rsidRPr="008F5BBF">
        <w:rPr>
          <w:sz w:val="18"/>
          <w:szCs w:val="18"/>
        </w:rPr>
        <w:t>métaux</w:t>
      </w:r>
      <w:proofErr w:type="spellEnd"/>
      <w:r w:rsidRPr="008F5BBF">
        <w:rPr>
          <w:sz w:val="18"/>
          <w:szCs w:val="18"/>
        </w:rPr>
        <w:t xml:space="preserve"> et </w:t>
      </w:r>
      <w:proofErr w:type="spellStart"/>
      <w:r w:rsidRPr="008F5BBF">
        <w:rPr>
          <w:sz w:val="18"/>
          <w:szCs w:val="18"/>
        </w:rPr>
        <w:t>certaines</w:t>
      </w:r>
      <w:proofErr w:type="spellEnd"/>
      <w:r w:rsidRPr="008F5BBF">
        <w:rPr>
          <w:sz w:val="18"/>
          <w:szCs w:val="18"/>
        </w:rPr>
        <w:t xml:space="preserve"> matières </w:t>
      </w:r>
      <w:proofErr w:type="spellStart"/>
      <w:r w:rsidRPr="008F5BBF">
        <w:rPr>
          <w:sz w:val="18"/>
          <w:szCs w:val="18"/>
        </w:rPr>
        <w:t>plastiques</w:t>
      </w:r>
      <w:proofErr w:type="spellEnd"/>
      <w:r w:rsidRPr="008F5BBF">
        <w:rPr>
          <w:sz w:val="18"/>
          <w:szCs w:val="18"/>
        </w:rPr>
        <w:t xml:space="preserve">). • Ne jamais </w:t>
      </w:r>
      <w:proofErr w:type="spellStart"/>
      <w:r w:rsidRPr="008F5BBF">
        <w:rPr>
          <w:sz w:val="18"/>
          <w:szCs w:val="18"/>
        </w:rPr>
        <w:t>ajouter</w:t>
      </w:r>
      <w:proofErr w:type="spellEnd"/>
      <w:r w:rsidRPr="008F5BBF">
        <w:rPr>
          <w:sz w:val="18"/>
          <w:szCs w:val="18"/>
        </w:rPr>
        <w:t xml:space="preserve"> de produits à base </w:t>
      </w:r>
      <w:proofErr w:type="spellStart"/>
      <w:r w:rsidRPr="008F5BBF">
        <w:rPr>
          <w:sz w:val="18"/>
          <w:szCs w:val="18"/>
        </w:rPr>
        <w:t>d’ammoniac</w:t>
      </w:r>
      <w:proofErr w:type="spellEnd"/>
      <w:r w:rsidRPr="008F5BBF">
        <w:rPr>
          <w:sz w:val="18"/>
          <w:szCs w:val="18"/>
        </w:rPr>
        <w:t xml:space="preserve"> à de </w:t>
      </w:r>
      <w:proofErr w:type="spellStart"/>
      <w:r w:rsidRPr="008F5BBF">
        <w:rPr>
          <w:sz w:val="18"/>
          <w:szCs w:val="18"/>
        </w:rPr>
        <w:t>l’eau</w:t>
      </w:r>
      <w:proofErr w:type="spellEnd"/>
      <w:r w:rsidRPr="008F5BBF">
        <w:rPr>
          <w:sz w:val="18"/>
          <w:szCs w:val="18"/>
        </w:rPr>
        <w:t xml:space="preserve"> de </w:t>
      </w:r>
      <w:proofErr w:type="spellStart"/>
      <w:r w:rsidRPr="008F5BBF">
        <w:rPr>
          <w:sz w:val="18"/>
          <w:szCs w:val="18"/>
        </w:rPr>
        <w:t>Javel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ou</w:t>
      </w:r>
      <w:proofErr w:type="spellEnd"/>
      <w:r w:rsidRPr="008F5BBF">
        <w:rPr>
          <w:sz w:val="18"/>
          <w:szCs w:val="18"/>
        </w:rPr>
        <w:t xml:space="preserve"> à des produits </w:t>
      </w:r>
      <w:proofErr w:type="spellStart"/>
      <w:r w:rsidRPr="008F5BBF">
        <w:rPr>
          <w:sz w:val="18"/>
          <w:szCs w:val="18"/>
        </w:rPr>
        <w:t>contenant</w:t>
      </w:r>
      <w:proofErr w:type="spellEnd"/>
      <w:r w:rsidRPr="008F5BBF">
        <w:rPr>
          <w:sz w:val="18"/>
          <w:szCs w:val="18"/>
        </w:rPr>
        <w:t xml:space="preserve"> de </w:t>
      </w:r>
      <w:proofErr w:type="spellStart"/>
      <w:r w:rsidRPr="008F5BBF">
        <w:rPr>
          <w:sz w:val="18"/>
          <w:szCs w:val="18"/>
        </w:rPr>
        <w:t>l’eau</w:t>
      </w:r>
      <w:proofErr w:type="spellEnd"/>
      <w:r w:rsidRPr="008F5BBF">
        <w:rPr>
          <w:sz w:val="18"/>
          <w:szCs w:val="18"/>
        </w:rPr>
        <w:t xml:space="preserve"> de </w:t>
      </w:r>
      <w:proofErr w:type="spellStart"/>
      <w:r w:rsidRPr="008F5BBF">
        <w:rPr>
          <w:sz w:val="18"/>
          <w:szCs w:val="18"/>
        </w:rPr>
        <w:t>Javel</w:t>
      </w:r>
      <w:proofErr w:type="spellEnd"/>
      <w:r w:rsidRPr="008F5BBF">
        <w:rPr>
          <w:sz w:val="18"/>
          <w:szCs w:val="18"/>
        </w:rPr>
        <w:t xml:space="preserve">. Un </w:t>
      </w:r>
      <w:proofErr w:type="spellStart"/>
      <w:r w:rsidRPr="008F5BBF">
        <w:rPr>
          <w:sz w:val="18"/>
          <w:szCs w:val="18"/>
        </w:rPr>
        <w:t>tel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ajout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entraînerait</w:t>
      </w:r>
      <w:proofErr w:type="spellEnd"/>
      <w:r w:rsidRPr="008F5BBF">
        <w:rPr>
          <w:sz w:val="18"/>
          <w:szCs w:val="18"/>
        </w:rPr>
        <w:t xml:space="preserve"> la formation de </w:t>
      </w:r>
      <w:proofErr w:type="spellStart"/>
      <w:r w:rsidRPr="008F5BBF">
        <w:rPr>
          <w:sz w:val="18"/>
          <w:szCs w:val="18"/>
        </w:rPr>
        <w:t>gaz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chlore</w:t>
      </w:r>
      <w:proofErr w:type="spellEnd"/>
      <w:r w:rsidRPr="008F5BBF">
        <w:rPr>
          <w:sz w:val="18"/>
          <w:szCs w:val="18"/>
        </w:rPr>
        <w:t xml:space="preserve">, un </w:t>
      </w:r>
      <w:proofErr w:type="spellStart"/>
      <w:r w:rsidRPr="008F5BBF">
        <w:rPr>
          <w:sz w:val="18"/>
          <w:szCs w:val="18"/>
        </w:rPr>
        <w:t>gaz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très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toxique</w:t>
      </w:r>
      <w:proofErr w:type="spellEnd"/>
      <w:r w:rsidRPr="008F5BBF">
        <w:rPr>
          <w:sz w:val="18"/>
          <w:szCs w:val="18"/>
        </w:rPr>
        <w:t xml:space="preserve"> qui </w:t>
      </w:r>
      <w:proofErr w:type="spellStart"/>
      <w:r w:rsidRPr="008F5BBF">
        <w:rPr>
          <w:sz w:val="18"/>
          <w:szCs w:val="18"/>
        </w:rPr>
        <w:t>peut</w:t>
      </w:r>
      <w:proofErr w:type="spellEnd"/>
      <w:r w:rsidRPr="008F5BBF">
        <w:rPr>
          <w:sz w:val="18"/>
          <w:szCs w:val="18"/>
        </w:rPr>
        <w:t xml:space="preserve"> causer des </w:t>
      </w:r>
      <w:proofErr w:type="spellStart"/>
      <w:r w:rsidRPr="008F5BBF">
        <w:rPr>
          <w:sz w:val="18"/>
          <w:szCs w:val="18"/>
        </w:rPr>
        <w:t>difficultés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respiratoires</w:t>
      </w:r>
      <w:proofErr w:type="spellEnd"/>
      <w:r w:rsidRPr="008F5BBF">
        <w:rPr>
          <w:sz w:val="18"/>
          <w:szCs w:val="18"/>
        </w:rPr>
        <w:t xml:space="preserve"> graves, un </w:t>
      </w:r>
      <w:proofErr w:type="spellStart"/>
      <w:r w:rsidRPr="008F5BBF">
        <w:rPr>
          <w:sz w:val="18"/>
          <w:szCs w:val="18"/>
        </w:rPr>
        <w:t>étouffement</w:t>
      </w:r>
      <w:proofErr w:type="spellEnd"/>
      <w:r w:rsidRPr="008F5BBF">
        <w:rPr>
          <w:sz w:val="18"/>
          <w:szCs w:val="18"/>
        </w:rPr>
        <w:t xml:space="preserve"> et </w:t>
      </w:r>
      <w:proofErr w:type="spellStart"/>
      <w:r w:rsidRPr="008F5BBF">
        <w:rPr>
          <w:sz w:val="18"/>
          <w:szCs w:val="18"/>
        </w:rPr>
        <w:t>possiblement</w:t>
      </w:r>
      <w:proofErr w:type="spellEnd"/>
      <w:r w:rsidRPr="008F5BBF">
        <w:rPr>
          <w:sz w:val="18"/>
          <w:szCs w:val="18"/>
        </w:rPr>
        <w:t xml:space="preserve"> le </w:t>
      </w:r>
      <w:proofErr w:type="spellStart"/>
      <w:r w:rsidRPr="008F5BBF">
        <w:rPr>
          <w:sz w:val="18"/>
          <w:szCs w:val="18"/>
        </w:rPr>
        <w:t>décès</w:t>
      </w:r>
      <w:proofErr w:type="spellEnd"/>
      <w:r w:rsidRPr="008F5BBF">
        <w:rPr>
          <w:sz w:val="18"/>
          <w:szCs w:val="18"/>
        </w:rPr>
        <w:t xml:space="preserve">. • </w:t>
      </w:r>
      <w:proofErr w:type="spellStart"/>
      <w:r w:rsidRPr="008F5BBF">
        <w:rPr>
          <w:sz w:val="18"/>
          <w:szCs w:val="18"/>
        </w:rPr>
        <w:t>Nettoyer</w:t>
      </w:r>
      <w:proofErr w:type="spellEnd"/>
      <w:r w:rsidRPr="008F5BBF">
        <w:rPr>
          <w:sz w:val="18"/>
          <w:szCs w:val="18"/>
        </w:rPr>
        <w:t xml:space="preserve"> la surface </w:t>
      </w:r>
      <w:proofErr w:type="spellStart"/>
      <w:r w:rsidRPr="008F5BBF">
        <w:rPr>
          <w:sz w:val="18"/>
          <w:szCs w:val="18"/>
        </w:rPr>
        <w:t>avant</w:t>
      </w:r>
      <w:proofErr w:type="spellEnd"/>
      <w:r w:rsidRPr="008F5BBF">
        <w:rPr>
          <w:sz w:val="18"/>
          <w:szCs w:val="18"/>
        </w:rPr>
        <w:t xml:space="preserve"> </w:t>
      </w:r>
      <w:proofErr w:type="spellStart"/>
      <w:r w:rsidRPr="008F5BBF">
        <w:rPr>
          <w:sz w:val="18"/>
          <w:szCs w:val="18"/>
        </w:rPr>
        <w:t>d’utiliser</w:t>
      </w:r>
      <w:proofErr w:type="spellEnd"/>
      <w:r w:rsidRPr="008F5BBF">
        <w:rPr>
          <w:sz w:val="18"/>
          <w:szCs w:val="18"/>
        </w:rPr>
        <w:t xml:space="preserve"> la solution de </w:t>
      </w:r>
      <w:proofErr w:type="spellStart"/>
      <w:r w:rsidRPr="008F5BBF">
        <w:rPr>
          <w:sz w:val="18"/>
          <w:szCs w:val="18"/>
        </w:rPr>
        <w:t>javellisant</w:t>
      </w:r>
      <w:proofErr w:type="spellEnd"/>
      <w:r w:rsidRPr="008F5BBF">
        <w:rPr>
          <w:sz w:val="18"/>
          <w:szCs w:val="18"/>
        </w:rPr>
        <w:t xml:space="preserve"> au </w:t>
      </w:r>
      <w:proofErr w:type="spellStart"/>
      <w:r w:rsidRPr="008F5BBF">
        <w:rPr>
          <w:sz w:val="18"/>
          <w:szCs w:val="18"/>
        </w:rPr>
        <w:t>chlore</w:t>
      </w:r>
      <w:proofErr w:type="spellEnd"/>
      <w:r w:rsidRPr="008F5BBF">
        <w:rPr>
          <w:sz w:val="18"/>
          <w:szCs w:val="18"/>
        </w:rPr>
        <w:t xml:space="preserve">. </w:t>
      </w:r>
      <w:r w:rsidRPr="005F15BB">
        <w:rPr>
          <w:sz w:val="18"/>
          <w:szCs w:val="18"/>
          <w:lang w:val="fr-CA"/>
        </w:rPr>
        <w:t xml:space="preserve">• Ne pas mélanger l’eau et la solution d’eau de Javel à l’avance, car la solution perd de sa puissance au fil du temps. Mélanger une </w:t>
      </w:r>
      <w:r w:rsidR="008073E8" w:rsidRPr="005F15BB">
        <w:rPr>
          <w:sz w:val="18"/>
          <w:szCs w:val="18"/>
          <w:lang w:val="fr-CA"/>
        </w:rPr>
        <w:t>nouvelle solution à chaque jour.</w:t>
      </w:r>
    </w:p>
    <w:sectPr w:rsidR="008174AF" w:rsidRPr="005F15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66DC" w14:textId="77777777" w:rsidR="00FF64D0" w:rsidRDefault="00FF64D0" w:rsidP="008B5777">
      <w:pPr>
        <w:spacing w:after="0" w:line="240" w:lineRule="auto"/>
      </w:pPr>
      <w:r>
        <w:separator/>
      </w:r>
    </w:p>
  </w:endnote>
  <w:endnote w:type="continuationSeparator" w:id="0">
    <w:p w14:paraId="1D2385F1" w14:textId="77777777" w:rsidR="00FF64D0" w:rsidRDefault="00FF64D0" w:rsidP="008B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E1DE" w14:textId="77777777" w:rsidR="008174AF" w:rsidRDefault="00FF64D0" w:rsidP="008174AF">
    <w:r>
      <w:rPr>
        <w:lang w:val="fr-CA"/>
      </w:rPr>
      <w:pict w14:anchorId="200661FA">
        <v:rect id="_x0000_i1026" style="width:0;height:1.5pt" o:hralign="center" o:hrstd="t" o:hr="t" fillcolor="#a0a0a0" stroked="f"/>
      </w:pict>
    </w:r>
  </w:p>
  <w:p w14:paraId="360300A7" w14:textId="77777777" w:rsidR="008174AF" w:rsidRDefault="006A1503" w:rsidP="008174AF">
    <w:pPr>
      <w:rPr>
        <w:sz w:val="18"/>
        <w:szCs w:val="18"/>
      </w:rPr>
    </w:pPr>
    <w:r w:rsidRPr="00A47E5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FE96CB1" wp14:editId="28FB96F9">
          <wp:simplePos x="0" y="0"/>
          <wp:positionH relativeFrom="leftMargin">
            <wp:posOffset>7170420</wp:posOffset>
          </wp:positionH>
          <wp:positionV relativeFrom="paragraph">
            <wp:posOffset>280670</wp:posOffset>
          </wp:positionV>
          <wp:extent cx="381000" cy="381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4AF" w:rsidRPr="008174AF">
      <w:rPr>
        <w:sz w:val="18"/>
        <w:szCs w:val="18"/>
      </w:rPr>
      <w:t xml:space="preserve">These authorized disinfectants may be used against COVID-19: </w:t>
    </w:r>
    <w:hyperlink r:id="rId2" w:history="1">
      <w:r w:rsidR="008174AF" w:rsidRPr="002A1027">
        <w:rPr>
          <w:rStyle w:val="Lienhypertexte"/>
          <w:sz w:val="18"/>
          <w:szCs w:val="18"/>
        </w:rPr>
        <w:t>https://www.canada.ca/en/health-canada/services/drugs-health-products/disinfectants/covid19/list.html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C79D" w14:textId="77777777" w:rsidR="00FF64D0" w:rsidRDefault="00FF64D0" w:rsidP="008B5777">
      <w:pPr>
        <w:spacing w:after="0" w:line="240" w:lineRule="auto"/>
      </w:pPr>
      <w:r>
        <w:separator/>
      </w:r>
    </w:p>
  </w:footnote>
  <w:footnote w:type="continuationSeparator" w:id="0">
    <w:p w14:paraId="16F52092" w14:textId="77777777" w:rsidR="00FF64D0" w:rsidRDefault="00FF64D0" w:rsidP="008B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115F" w14:textId="4E2C961F" w:rsidR="008B5777" w:rsidRDefault="003F18E2" w:rsidP="008174AF">
    <w:pPr>
      <w:pStyle w:val="En-tte"/>
      <w:rPr>
        <w:lang w:val="fr-CA"/>
      </w:rPr>
    </w:pPr>
    <w:r>
      <w:rPr>
        <w:color w:val="C00000"/>
        <w:sz w:val="32"/>
        <w:szCs w:val="32"/>
        <w:lang w:val="fr-CA"/>
      </w:rPr>
      <w:t>Aide-mémoire checklist nettoyage</w:t>
    </w:r>
    <w:r w:rsidR="008174AF" w:rsidRPr="008174AF">
      <w:rPr>
        <w:color w:val="C00000"/>
        <w:sz w:val="32"/>
        <w:szCs w:val="32"/>
        <w:lang w:val="fr-CA"/>
      </w:rPr>
      <w:t xml:space="preserve"> – </w:t>
    </w:r>
    <w:r>
      <w:rPr>
        <w:color w:val="C00000"/>
        <w:sz w:val="32"/>
        <w:szCs w:val="32"/>
        <w:lang w:val="fr-CA"/>
      </w:rPr>
      <w:t>Bateau</w:t>
    </w:r>
  </w:p>
  <w:p w14:paraId="167C0FBA" w14:textId="77777777" w:rsidR="008174AF" w:rsidRPr="008174AF" w:rsidRDefault="00FF64D0" w:rsidP="008174AF">
    <w:pPr>
      <w:pStyle w:val="En-tte"/>
    </w:pPr>
    <w:r>
      <w:rPr>
        <w:lang w:val="fr-CA"/>
      </w:rPr>
      <w:pict w14:anchorId="35DDFB8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2B4C"/>
    <w:multiLevelType w:val="hybridMultilevel"/>
    <w:tmpl w:val="12C2EB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233A"/>
    <w:multiLevelType w:val="hybridMultilevel"/>
    <w:tmpl w:val="20604B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892B51"/>
    <w:multiLevelType w:val="hybridMultilevel"/>
    <w:tmpl w:val="0770AC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F3CA2"/>
    <w:multiLevelType w:val="hybridMultilevel"/>
    <w:tmpl w:val="B4BC3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7C410A"/>
    <w:multiLevelType w:val="hybridMultilevel"/>
    <w:tmpl w:val="AD7AD45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7"/>
    <w:rsid w:val="00196CD0"/>
    <w:rsid w:val="002B02B9"/>
    <w:rsid w:val="003F18E2"/>
    <w:rsid w:val="004C65E6"/>
    <w:rsid w:val="00565FEE"/>
    <w:rsid w:val="005F15BB"/>
    <w:rsid w:val="00630A3A"/>
    <w:rsid w:val="006A1503"/>
    <w:rsid w:val="007461B3"/>
    <w:rsid w:val="008073E8"/>
    <w:rsid w:val="008174AF"/>
    <w:rsid w:val="008B5777"/>
    <w:rsid w:val="008F5BBF"/>
    <w:rsid w:val="00C25EDB"/>
    <w:rsid w:val="00D76C0A"/>
    <w:rsid w:val="00EF64BE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A2EAF"/>
  <w15:chartTrackingRefBased/>
  <w15:docId w15:val="{DCE955DA-7703-4EF2-85AD-E4476C3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7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777"/>
  </w:style>
  <w:style w:type="paragraph" w:styleId="Pieddepage">
    <w:name w:val="footer"/>
    <w:basedOn w:val="Normal"/>
    <w:link w:val="PieddepageCar"/>
    <w:uiPriority w:val="99"/>
    <w:unhideWhenUsed/>
    <w:rsid w:val="008B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777"/>
  </w:style>
  <w:style w:type="character" w:styleId="Lienhypertexte">
    <w:name w:val="Hyperlink"/>
    <w:basedOn w:val="Policepardfaut"/>
    <w:uiPriority w:val="99"/>
    <w:unhideWhenUsed/>
    <w:rsid w:val="00817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nada.ca/en/health-canada/services/drugs-health-products/disinfectants/covid19/list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 Avocats Médiateurs</dc:creator>
  <cp:keywords/>
  <dc:description/>
  <cp:lastModifiedBy>MKM GLobal Avocats Médiateurs</cp:lastModifiedBy>
  <cp:revision>3</cp:revision>
  <dcterms:created xsi:type="dcterms:W3CDTF">2020-04-19T16:29:00Z</dcterms:created>
  <dcterms:modified xsi:type="dcterms:W3CDTF">2020-04-19T16:41:00Z</dcterms:modified>
</cp:coreProperties>
</file>