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>taff, parent</w:t>
      </w:r>
      <w:r w:rsidR="293AF1BD" w:rsidRPr="0D63DE83">
        <w:rPr>
          <w:rFonts w:ascii="Arial" w:hAnsi="Arial" w:cs="Arial"/>
          <w:color w:val="FF0000"/>
          <w:sz w:val="22"/>
          <w:szCs w:val="22"/>
        </w:rPr>
        <w:t>, carer</w:t>
      </w:r>
      <w:r w:rsidR="00000023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9CAC46A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children</w:t>
      </w:r>
      <w:r w:rsidRPr="60E84165">
        <w:rPr>
          <w:rFonts w:ascii="Arial" w:hAnsi="Arial" w:cs="Arial"/>
          <w:color w:val="FF0000"/>
          <w:sz w:val="22"/>
          <w:szCs w:val="22"/>
        </w:rPr>
        <w:t xml:space="preserve"> before any children </w:t>
      </w:r>
      <w:r w:rsidR="00350A3C" w:rsidRPr="60E84165">
        <w:rPr>
          <w:rFonts w:ascii="Arial" w:hAnsi="Arial" w:cs="Arial"/>
          <w:color w:val="FF0000"/>
          <w:sz w:val="22"/>
          <w:szCs w:val="22"/>
        </w:rPr>
        <w:t>arrive</w:t>
      </w:r>
      <w:r w:rsidR="007A70D4" w:rsidRPr="60E84165">
        <w:rPr>
          <w:rFonts w:ascii="Arial" w:hAnsi="Arial" w:cs="Arial"/>
          <w:color w:val="FF0000"/>
          <w:sz w:val="22"/>
          <w:szCs w:val="22"/>
        </w:rPr>
        <w:t xml:space="preserve"> or to </w:t>
      </w:r>
      <w:r w:rsidRPr="60E84165">
        <w:rPr>
          <w:rFonts w:ascii="Arial" w:hAnsi="Arial" w:cs="Arial"/>
          <w:color w:val="FF0000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0436" w14:paraId="3AB2F390" w14:textId="77777777" w:rsidTr="00390436">
        <w:tc>
          <w:tcPr>
            <w:tcW w:w="9016" w:type="dxa"/>
          </w:tcPr>
          <w:p w14:paraId="5CE79102" w14:textId="5E2AD1C0" w:rsidR="00390436" w:rsidRPr="00390436" w:rsidRDefault="00390436" w:rsidP="00E030DF">
            <w:pPr>
              <w:spacing w:before="120" w:after="120"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>Insert emergency procedures i.e. route, responsibilities, designated assembly point and other emergency procedures unique to the setting e.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g.</w:t>
            </w:r>
            <w:r w:rsidRPr="0039043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nuclear power station alert.</w:t>
            </w:r>
          </w:p>
        </w:tc>
      </w:tr>
    </w:tbl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A parent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>/carer</w:t>
      </w:r>
      <w:r w:rsidRPr="00AE593A">
        <w:rPr>
          <w:rFonts w:ascii="Arial" w:hAnsi="Arial" w:cs="Arial"/>
          <w:color w:val="FF0000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p w14:paraId="29F53A00" w14:textId="31D6226A" w:rsidR="000770BE" w:rsidRPr="000770BE" w:rsidRDefault="000770BE" w:rsidP="000770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 02/01/2026</w:t>
      </w:r>
    </w:p>
    <w:sectPr w:rsidR="000770BE" w:rsidRPr="000770BE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5684" w14:textId="77777777" w:rsidR="00E862B8" w:rsidRDefault="00E862B8">
      <w:r>
        <w:separator/>
      </w:r>
    </w:p>
  </w:endnote>
  <w:endnote w:type="continuationSeparator" w:id="0">
    <w:p w14:paraId="459FA003" w14:textId="77777777" w:rsidR="00E862B8" w:rsidRDefault="00E862B8">
      <w:r>
        <w:continuationSeparator/>
      </w:r>
    </w:p>
  </w:endnote>
  <w:endnote w:type="continuationNotice" w:id="1">
    <w:p w14:paraId="4D87E3B3" w14:textId="77777777" w:rsidR="00E862B8" w:rsidRDefault="00E86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7698" w14:textId="77777777" w:rsidR="00E862B8" w:rsidRDefault="00E862B8">
      <w:r>
        <w:separator/>
      </w:r>
    </w:p>
  </w:footnote>
  <w:footnote w:type="continuationSeparator" w:id="0">
    <w:p w14:paraId="6D915FC3" w14:textId="77777777" w:rsidR="00E862B8" w:rsidRDefault="00E862B8">
      <w:r>
        <w:continuationSeparator/>
      </w:r>
    </w:p>
  </w:footnote>
  <w:footnote w:type="continuationNotice" w:id="1">
    <w:p w14:paraId="748738C3" w14:textId="77777777" w:rsidR="00E862B8" w:rsidRDefault="00E86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0BE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259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775E4"/>
    <w:rsid w:val="00E83593"/>
    <w:rsid w:val="00E85980"/>
    <w:rsid w:val="00E862B8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5190</Characters>
  <Application>Microsoft Office Word</Application>
  <DocSecurity>0</DocSecurity>
  <Lines>94</Lines>
  <Paragraphs>79</Paragraphs>
  <ScaleCrop>false</ScaleCrop>
  <Company>Hewlett-Packard Company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Susan Emeny Tiddlywinks Nursery</cp:lastModifiedBy>
  <cp:revision>2</cp:revision>
  <cp:lastPrinted>2026-03-06T14:39:00Z</cp:lastPrinted>
  <dcterms:created xsi:type="dcterms:W3CDTF">2026-03-06T14:40:00Z</dcterms:created>
  <dcterms:modified xsi:type="dcterms:W3CDTF">2026-03-06T14:40:00Z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