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3EC0E" w14:textId="77777777" w:rsidR="00E7618B" w:rsidRPr="00E7618B" w:rsidRDefault="00E7618B" w:rsidP="00E7618B">
      <w:pPr>
        <w:pStyle w:val="Title"/>
        <w:spacing w:after="60" w:line="276" w:lineRule="auto"/>
        <w:jc w:val="center"/>
        <w:rPr>
          <w:rFonts w:ascii="Calibri" w:hAnsi="Calibri" w:cs="Calibri"/>
          <w:b/>
          <w:bCs/>
          <w:color w:val="002060"/>
          <w:sz w:val="22"/>
          <w:szCs w:val="22"/>
          <w:lang w:val="en-US"/>
        </w:rPr>
      </w:pPr>
      <w:r w:rsidRPr="00E7618B">
        <w:rPr>
          <w:rFonts w:ascii="Calibri" w:hAnsi="Calibri" w:cs="Calibri"/>
          <w:b/>
          <w:bCs/>
          <w:color w:val="002060"/>
          <w:sz w:val="22"/>
          <w:szCs w:val="22"/>
        </w:rPr>
        <w:t xml:space="preserve">C.3.a. </w:t>
      </w:r>
      <w:r w:rsidRPr="00E7618B">
        <w:rPr>
          <w:rFonts w:ascii="Calibri" w:hAnsi="Calibri" w:cs="Calibri"/>
          <w:b/>
          <w:bCs/>
          <w:color w:val="002060"/>
          <w:sz w:val="22"/>
          <w:szCs w:val="22"/>
          <w:lang w:val="en-US"/>
        </w:rPr>
        <w:t>Salary Charts</w:t>
      </w:r>
    </w:p>
    <w:p w14:paraId="08E3E39A" w14:textId="77777777"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At American Legacy Academy (ALA), the Salary Step Progression Plan provides a transparent and structured pathway for compensation that recognizes longevity, professional growth, and performance excellence. The plan is designed to attract and retain high-quality school leaders while ensuring that compensation is aligned with the school’s mission and expectations.</w:t>
      </w:r>
    </w:p>
    <w:p w14:paraId="299F5101" w14:textId="77777777" w:rsidR="00E7618B" w:rsidRPr="004520B9" w:rsidRDefault="00E7618B" w:rsidP="00E7618B">
      <w:pPr>
        <w:spacing w:after="60" w:line="276" w:lineRule="auto"/>
        <w:ind w:firstLine="0"/>
        <w:jc w:val="center"/>
        <w:rPr>
          <w:rFonts w:ascii="Calibri" w:hAnsi="Calibri" w:cs="Calibri"/>
          <w:b/>
          <w:bCs/>
          <w:color w:val="002060"/>
          <w:sz w:val="22"/>
          <w:szCs w:val="22"/>
        </w:rPr>
      </w:pPr>
      <w:r w:rsidRPr="004520B9">
        <w:rPr>
          <w:rFonts w:ascii="Calibri" w:hAnsi="Calibri" w:cs="Calibri"/>
          <w:b/>
          <w:bCs/>
          <w:color w:val="002060"/>
          <w:sz w:val="22"/>
          <w:szCs w:val="22"/>
        </w:rPr>
        <w:t>Administrator Staff Salary Table – 5-Year Progression</w:t>
      </w:r>
    </w:p>
    <w:p w14:paraId="5FF366D5" w14:textId="77777777"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 xml:space="preserve">All administrators begin at the entry level of their designated salary range and are eligible for annual step increases based on a combination of years of service and demonstrated performance. Administrators </w:t>
      </w:r>
      <w:proofErr w:type="gramStart"/>
      <w:r w:rsidRPr="004520B9">
        <w:rPr>
          <w:rFonts w:ascii="Calibri" w:hAnsi="Calibri" w:cs="Calibri"/>
          <w:sz w:val="22"/>
          <w:szCs w:val="22"/>
          <w:lang w:val="en-US"/>
        </w:rPr>
        <w:t>have the opportunity to</w:t>
      </w:r>
      <w:proofErr w:type="gramEnd"/>
      <w:r w:rsidRPr="004520B9">
        <w:rPr>
          <w:rFonts w:ascii="Calibri" w:hAnsi="Calibri" w:cs="Calibri"/>
          <w:sz w:val="22"/>
          <w:szCs w:val="22"/>
          <w:lang w:val="en-US"/>
        </w:rPr>
        <w:t xml:space="preserve"> reach the maximum salary in their range by their fifth year, provided they meet clearly defined performance criteria.</w:t>
      </w:r>
    </w:p>
    <w:p w14:paraId="17BCE08F" w14:textId="77777777" w:rsidR="00E7618B" w:rsidRPr="004520B9" w:rsidRDefault="00E7618B" w:rsidP="00E7618B">
      <w:pPr>
        <w:spacing w:after="60" w:line="276" w:lineRule="auto"/>
        <w:ind w:firstLine="0"/>
        <w:rPr>
          <w:rFonts w:ascii="Calibri" w:hAnsi="Calibri" w:cs="Calibri"/>
          <w:b/>
          <w:bCs/>
          <w:sz w:val="22"/>
          <w:szCs w:val="22"/>
          <w:lang w:val="en-US"/>
        </w:rPr>
      </w:pPr>
      <w:r w:rsidRPr="004520B9">
        <w:rPr>
          <w:rFonts w:ascii="Calibri" w:hAnsi="Calibri" w:cs="Calibri"/>
          <w:b/>
          <w:bCs/>
          <w:sz w:val="22"/>
          <w:szCs w:val="22"/>
          <w:lang w:val="en-US"/>
        </w:rPr>
        <w:t>Performance Evaluation Criteria</w:t>
      </w:r>
    </w:p>
    <w:p w14:paraId="43FF85FF" w14:textId="77777777"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 xml:space="preserve">Progression through the salary steps is contingent upon receiving a rating of “Effective” or higher in </w:t>
      </w:r>
      <w:proofErr w:type="gramStart"/>
      <w:r w:rsidRPr="004520B9">
        <w:rPr>
          <w:rFonts w:ascii="Calibri" w:hAnsi="Calibri" w:cs="Calibri"/>
          <w:sz w:val="22"/>
          <w:szCs w:val="22"/>
          <w:lang w:val="en-US"/>
        </w:rPr>
        <w:t>all of</w:t>
      </w:r>
      <w:proofErr w:type="gramEnd"/>
      <w:r w:rsidRPr="004520B9">
        <w:rPr>
          <w:rFonts w:ascii="Calibri" w:hAnsi="Calibri" w:cs="Calibri"/>
          <w:sz w:val="22"/>
          <w:szCs w:val="22"/>
          <w:lang w:val="en-US"/>
        </w:rPr>
        <w:t xml:space="preserve"> the following evaluation categories:</w:t>
      </w:r>
    </w:p>
    <w:p w14:paraId="3CC45C62" w14:textId="77777777" w:rsidR="00E7618B" w:rsidRPr="004520B9" w:rsidRDefault="00E7618B" w:rsidP="00E7618B">
      <w:pPr>
        <w:pStyle w:val="ListParagraph"/>
        <w:numPr>
          <w:ilvl w:val="0"/>
          <w:numId w:val="1"/>
        </w:numPr>
        <w:spacing w:after="60" w:line="276" w:lineRule="auto"/>
        <w:rPr>
          <w:rFonts w:ascii="Calibri" w:hAnsi="Calibri" w:cs="Calibri"/>
          <w:sz w:val="22"/>
          <w:szCs w:val="22"/>
          <w:lang w:val="en-US"/>
        </w:rPr>
      </w:pPr>
      <w:r w:rsidRPr="004520B9">
        <w:rPr>
          <w:rFonts w:ascii="Calibri" w:hAnsi="Calibri" w:cs="Calibri"/>
          <w:sz w:val="22"/>
          <w:szCs w:val="22"/>
          <w:lang w:val="en-US"/>
        </w:rPr>
        <w:t>Instructional Leadership or Role-Specific Competency</w:t>
      </w:r>
    </w:p>
    <w:p w14:paraId="5418DFC9" w14:textId="77777777" w:rsidR="00E7618B" w:rsidRPr="004520B9" w:rsidRDefault="00E7618B" w:rsidP="00E7618B">
      <w:pPr>
        <w:pStyle w:val="ListParagraph"/>
        <w:numPr>
          <w:ilvl w:val="0"/>
          <w:numId w:val="1"/>
        </w:numPr>
        <w:spacing w:after="60" w:line="276" w:lineRule="auto"/>
        <w:rPr>
          <w:rFonts w:ascii="Calibri" w:hAnsi="Calibri" w:cs="Calibri"/>
          <w:sz w:val="22"/>
          <w:szCs w:val="22"/>
          <w:lang w:val="en-US"/>
        </w:rPr>
      </w:pPr>
      <w:r w:rsidRPr="004520B9">
        <w:rPr>
          <w:rFonts w:ascii="Calibri" w:hAnsi="Calibri" w:cs="Calibri"/>
          <w:sz w:val="22"/>
          <w:szCs w:val="22"/>
          <w:lang w:val="en-US"/>
        </w:rPr>
        <w:t>Engagement in Professional Development</w:t>
      </w:r>
    </w:p>
    <w:p w14:paraId="594E0719" w14:textId="77777777" w:rsidR="00E7618B" w:rsidRPr="004520B9" w:rsidRDefault="00E7618B" w:rsidP="00E7618B">
      <w:pPr>
        <w:pStyle w:val="ListParagraph"/>
        <w:numPr>
          <w:ilvl w:val="0"/>
          <w:numId w:val="1"/>
        </w:numPr>
        <w:spacing w:after="60" w:line="276" w:lineRule="auto"/>
        <w:rPr>
          <w:rFonts w:ascii="Calibri" w:hAnsi="Calibri" w:cs="Calibri"/>
          <w:sz w:val="22"/>
          <w:szCs w:val="22"/>
          <w:lang w:val="en-US"/>
        </w:rPr>
      </w:pPr>
      <w:r w:rsidRPr="004520B9">
        <w:rPr>
          <w:rFonts w:ascii="Calibri" w:hAnsi="Calibri" w:cs="Calibri"/>
          <w:sz w:val="22"/>
          <w:szCs w:val="22"/>
          <w:lang w:val="en-US"/>
        </w:rPr>
        <w:t>Contribution to School Culture and Mission</w:t>
      </w:r>
    </w:p>
    <w:p w14:paraId="21732532" w14:textId="77777777" w:rsidR="00E7618B" w:rsidRPr="004520B9" w:rsidRDefault="00E7618B" w:rsidP="00E7618B">
      <w:pPr>
        <w:pStyle w:val="ListParagraph"/>
        <w:numPr>
          <w:ilvl w:val="0"/>
          <w:numId w:val="1"/>
        </w:numPr>
        <w:spacing w:after="60" w:line="276" w:lineRule="auto"/>
        <w:rPr>
          <w:rFonts w:ascii="Calibri" w:hAnsi="Calibri" w:cs="Calibri"/>
          <w:sz w:val="22"/>
          <w:szCs w:val="22"/>
          <w:lang w:val="en-US"/>
        </w:rPr>
      </w:pPr>
      <w:r w:rsidRPr="004520B9">
        <w:rPr>
          <w:rFonts w:ascii="Calibri" w:hAnsi="Calibri" w:cs="Calibri"/>
          <w:sz w:val="22"/>
          <w:szCs w:val="22"/>
          <w:lang w:val="en-US"/>
        </w:rPr>
        <w:t>Achievement of Individual and Team Goals</w:t>
      </w:r>
    </w:p>
    <w:p w14:paraId="5966C435" w14:textId="77777777" w:rsidR="00E7618B" w:rsidRPr="004520B9" w:rsidRDefault="00E7618B" w:rsidP="00E7618B">
      <w:pPr>
        <w:pStyle w:val="ListParagraph"/>
        <w:numPr>
          <w:ilvl w:val="0"/>
          <w:numId w:val="1"/>
        </w:numPr>
        <w:spacing w:after="60" w:line="276" w:lineRule="auto"/>
        <w:rPr>
          <w:rFonts w:ascii="Calibri" w:hAnsi="Calibri" w:cs="Calibri"/>
          <w:sz w:val="22"/>
          <w:szCs w:val="22"/>
          <w:lang w:val="en-US"/>
        </w:rPr>
      </w:pPr>
      <w:r w:rsidRPr="004520B9">
        <w:rPr>
          <w:rFonts w:ascii="Calibri" w:hAnsi="Calibri" w:cs="Calibri"/>
          <w:sz w:val="22"/>
          <w:szCs w:val="22"/>
          <w:lang w:val="en-US"/>
        </w:rPr>
        <w:t>Positive Feedback from Stakeholders (as applicable)</w:t>
      </w:r>
    </w:p>
    <w:p w14:paraId="56820550" w14:textId="77777777"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Annual evaluations are conducted using a clear, rubric-based framework by the school leadership team. If an administrator does not meet performance expectations, salary progression may be paused, and the individual will be supported through a Professional Growth Plan until improvement is demonstrated.</w:t>
      </w:r>
    </w:p>
    <w:p w14:paraId="5512A2A8" w14:textId="77777777" w:rsidR="00E7618B" w:rsidRPr="004520B9" w:rsidRDefault="00E7618B" w:rsidP="00E7618B">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This system reflects ALA’s commitment to investing in mission-aligned, high-performing educators, while fostering an environment of fairness, accountability, and professional motivation.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1"/>
        <w:gridCol w:w="1653"/>
        <w:gridCol w:w="1217"/>
        <w:gridCol w:w="1202"/>
        <w:gridCol w:w="1182"/>
        <w:gridCol w:w="1665"/>
      </w:tblGrid>
      <w:tr w:rsidR="00E7618B" w:rsidRPr="004520B9" w14:paraId="027EF3BE" w14:textId="77777777" w:rsidTr="004F6B8F">
        <w:trPr>
          <w:tblHeader/>
          <w:tblCellSpacing w:w="15" w:type="dxa"/>
        </w:trPr>
        <w:tc>
          <w:tcPr>
            <w:tcW w:w="0" w:type="auto"/>
            <w:shd w:val="clear" w:color="auto" w:fill="002060"/>
            <w:vAlign w:val="center"/>
            <w:hideMark/>
          </w:tcPr>
          <w:p w14:paraId="46F6E3A4" w14:textId="77777777" w:rsidR="00E7618B" w:rsidRPr="004520B9" w:rsidRDefault="00E7618B" w:rsidP="004F6B8F">
            <w:pPr>
              <w:spacing w:after="60" w:line="276" w:lineRule="auto"/>
              <w:ind w:left="123" w:firstLine="0"/>
              <w:jc w:val="center"/>
              <w:rPr>
                <w:rFonts w:ascii="Calibri" w:hAnsi="Calibri" w:cs="Calibri"/>
                <w:sz w:val="22"/>
                <w:szCs w:val="22"/>
                <w:lang w:val="en-US"/>
              </w:rPr>
            </w:pPr>
            <w:r w:rsidRPr="004520B9">
              <w:rPr>
                <w:rFonts w:ascii="Calibri" w:hAnsi="Calibri" w:cs="Calibri"/>
                <w:sz w:val="22"/>
                <w:szCs w:val="22"/>
                <w:lang w:val="en-US"/>
              </w:rPr>
              <w:t>Position</w:t>
            </w:r>
          </w:p>
        </w:tc>
        <w:tc>
          <w:tcPr>
            <w:tcW w:w="0" w:type="auto"/>
            <w:shd w:val="clear" w:color="auto" w:fill="002060"/>
            <w:vAlign w:val="center"/>
            <w:hideMark/>
          </w:tcPr>
          <w:p w14:paraId="0887F7E7"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Year 1 (Starting Salary)</w:t>
            </w:r>
          </w:p>
        </w:tc>
        <w:tc>
          <w:tcPr>
            <w:tcW w:w="0" w:type="auto"/>
            <w:shd w:val="clear" w:color="auto" w:fill="002060"/>
            <w:vAlign w:val="center"/>
            <w:hideMark/>
          </w:tcPr>
          <w:p w14:paraId="633E0CEB"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 2</w:t>
            </w:r>
          </w:p>
        </w:tc>
        <w:tc>
          <w:tcPr>
            <w:tcW w:w="0" w:type="auto"/>
            <w:shd w:val="clear" w:color="auto" w:fill="002060"/>
            <w:vAlign w:val="center"/>
            <w:hideMark/>
          </w:tcPr>
          <w:p w14:paraId="5E826F75" w14:textId="77777777" w:rsidR="00E7618B" w:rsidRPr="004520B9" w:rsidRDefault="00E7618B" w:rsidP="004F6B8F">
            <w:pPr>
              <w:spacing w:after="60" w:line="276" w:lineRule="auto"/>
              <w:ind w:firstLine="55"/>
              <w:jc w:val="center"/>
              <w:rPr>
                <w:rFonts w:ascii="Calibri" w:hAnsi="Calibri" w:cs="Calibri"/>
                <w:sz w:val="22"/>
                <w:szCs w:val="22"/>
                <w:lang w:val="en-US"/>
              </w:rPr>
            </w:pPr>
            <w:r w:rsidRPr="004520B9">
              <w:rPr>
                <w:rFonts w:ascii="Calibri" w:hAnsi="Calibri" w:cs="Calibri"/>
                <w:sz w:val="22"/>
                <w:szCs w:val="22"/>
                <w:lang w:val="en-US"/>
              </w:rPr>
              <w:t>Year 3</w:t>
            </w:r>
          </w:p>
        </w:tc>
        <w:tc>
          <w:tcPr>
            <w:tcW w:w="0" w:type="auto"/>
            <w:shd w:val="clear" w:color="auto" w:fill="002060"/>
            <w:vAlign w:val="center"/>
            <w:hideMark/>
          </w:tcPr>
          <w:p w14:paraId="4CFABE69"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 4</w:t>
            </w:r>
          </w:p>
        </w:tc>
        <w:tc>
          <w:tcPr>
            <w:tcW w:w="0" w:type="auto"/>
            <w:shd w:val="clear" w:color="auto" w:fill="002060"/>
            <w:vAlign w:val="center"/>
            <w:hideMark/>
          </w:tcPr>
          <w:p w14:paraId="4A6792FE" w14:textId="77777777" w:rsidR="00E7618B" w:rsidRPr="004520B9" w:rsidRDefault="00E7618B" w:rsidP="004F6B8F">
            <w:pPr>
              <w:spacing w:after="60" w:line="276" w:lineRule="auto"/>
              <w:ind w:firstLine="275"/>
              <w:jc w:val="center"/>
              <w:rPr>
                <w:rFonts w:ascii="Calibri" w:hAnsi="Calibri" w:cs="Calibri"/>
                <w:sz w:val="22"/>
                <w:szCs w:val="22"/>
                <w:lang w:val="en-US"/>
              </w:rPr>
            </w:pPr>
            <w:r w:rsidRPr="004520B9">
              <w:rPr>
                <w:rFonts w:ascii="Calibri" w:hAnsi="Calibri" w:cs="Calibri"/>
                <w:sz w:val="22"/>
                <w:szCs w:val="22"/>
                <w:lang w:val="en-US"/>
              </w:rPr>
              <w:t>Year 5 (Max Salary)</w:t>
            </w:r>
          </w:p>
        </w:tc>
      </w:tr>
      <w:tr w:rsidR="00E7618B" w:rsidRPr="004520B9" w14:paraId="6AC30C73" w14:textId="77777777" w:rsidTr="004F6B8F">
        <w:trPr>
          <w:tblCellSpacing w:w="15" w:type="dxa"/>
        </w:trPr>
        <w:tc>
          <w:tcPr>
            <w:tcW w:w="0" w:type="auto"/>
            <w:vAlign w:val="center"/>
            <w:hideMark/>
          </w:tcPr>
          <w:p w14:paraId="5B596EDA"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School Administrator</w:t>
            </w:r>
          </w:p>
        </w:tc>
        <w:tc>
          <w:tcPr>
            <w:tcW w:w="0" w:type="auto"/>
            <w:vAlign w:val="center"/>
            <w:hideMark/>
          </w:tcPr>
          <w:p w14:paraId="10FE8F32" w14:textId="77777777" w:rsidR="00E7618B" w:rsidRPr="004520B9" w:rsidRDefault="00E7618B" w:rsidP="004F6B8F">
            <w:pPr>
              <w:spacing w:after="60" w:line="276" w:lineRule="auto"/>
              <w:ind w:left="145" w:firstLine="0"/>
              <w:rPr>
                <w:rFonts w:ascii="Calibri" w:hAnsi="Calibri" w:cs="Calibri"/>
                <w:sz w:val="22"/>
                <w:szCs w:val="22"/>
                <w:lang w:val="en-US"/>
              </w:rPr>
            </w:pPr>
            <w:r w:rsidRPr="004520B9">
              <w:rPr>
                <w:rFonts w:ascii="Calibri" w:hAnsi="Calibri" w:cs="Calibri"/>
                <w:sz w:val="22"/>
                <w:szCs w:val="22"/>
                <w:lang w:val="en-US"/>
              </w:rPr>
              <w:t>$70,000</w:t>
            </w:r>
          </w:p>
        </w:tc>
        <w:tc>
          <w:tcPr>
            <w:tcW w:w="0" w:type="auto"/>
            <w:vAlign w:val="center"/>
            <w:hideMark/>
          </w:tcPr>
          <w:p w14:paraId="10C82E29" w14:textId="77777777" w:rsidR="00E7618B" w:rsidRPr="004520B9" w:rsidRDefault="00E7618B" w:rsidP="004F6B8F">
            <w:pPr>
              <w:spacing w:after="60" w:line="276" w:lineRule="auto"/>
              <w:ind w:firstLine="413"/>
              <w:rPr>
                <w:rFonts w:ascii="Calibri" w:hAnsi="Calibri" w:cs="Calibri"/>
                <w:sz w:val="22"/>
                <w:szCs w:val="22"/>
                <w:lang w:val="en-US"/>
              </w:rPr>
            </w:pPr>
            <w:r w:rsidRPr="004520B9">
              <w:rPr>
                <w:rFonts w:ascii="Calibri" w:hAnsi="Calibri" w:cs="Calibri"/>
                <w:sz w:val="22"/>
                <w:szCs w:val="22"/>
                <w:lang w:val="en-US"/>
              </w:rPr>
              <w:t>$77,500</w:t>
            </w:r>
          </w:p>
        </w:tc>
        <w:tc>
          <w:tcPr>
            <w:tcW w:w="0" w:type="auto"/>
            <w:vAlign w:val="center"/>
            <w:hideMark/>
          </w:tcPr>
          <w:p w14:paraId="6A9F88D3" w14:textId="77777777" w:rsidR="00E7618B" w:rsidRPr="004520B9" w:rsidRDefault="00E7618B" w:rsidP="004F6B8F">
            <w:pPr>
              <w:spacing w:after="60" w:line="276" w:lineRule="auto"/>
              <w:ind w:firstLine="398"/>
              <w:rPr>
                <w:rFonts w:ascii="Calibri" w:hAnsi="Calibri" w:cs="Calibri"/>
                <w:sz w:val="22"/>
                <w:szCs w:val="22"/>
                <w:lang w:val="en-US"/>
              </w:rPr>
            </w:pPr>
            <w:r w:rsidRPr="004520B9">
              <w:rPr>
                <w:rFonts w:ascii="Calibri" w:hAnsi="Calibri" w:cs="Calibri"/>
                <w:sz w:val="22"/>
                <w:szCs w:val="22"/>
                <w:lang w:val="en-US"/>
              </w:rPr>
              <w:t>$85,000</w:t>
            </w:r>
          </w:p>
        </w:tc>
        <w:tc>
          <w:tcPr>
            <w:tcW w:w="0" w:type="auto"/>
            <w:vAlign w:val="center"/>
            <w:hideMark/>
          </w:tcPr>
          <w:p w14:paraId="0550EDC2" w14:textId="77777777" w:rsidR="00E7618B" w:rsidRPr="004520B9" w:rsidRDefault="00E7618B" w:rsidP="004F6B8F">
            <w:pPr>
              <w:spacing w:after="60" w:line="276" w:lineRule="auto"/>
              <w:ind w:firstLine="378"/>
              <w:rPr>
                <w:rFonts w:ascii="Calibri" w:hAnsi="Calibri" w:cs="Calibri"/>
                <w:sz w:val="22"/>
                <w:szCs w:val="22"/>
                <w:lang w:val="en-US"/>
              </w:rPr>
            </w:pPr>
            <w:r w:rsidRPr="004520B9">
              <w:rPr>
                <w:rFonts w:ascii="Calibri" w:hAnsi="Calibri" w:cs="Calibri"/>
                <w:sz w:val="22"/>
                <w:szCs w:val="22"/>
                <w:lang w:val="en-US"/>
              </w:rPr>
              <w:t>$92,500</w:t>
            </w:r>
          </w:p>
        </w:tc>
        <w:tc>
          <w:tcPr>
            <w:tcW w:w="0" w:type="auto"/>
            <w:vAlign w:val="center"/>
            <w:hideMark/>
          </w:tcPr>
          <w:p w14:paraId="0CBDDC8F" w14:textId="77777777" w:rsidR="00E7618B" w:rsidRPr="004520B9" w:rsidRDefault="00E7618B" w:rsidP="004F6B8F">
            <w:pPr>
              <w:spacing w:after="60" w:line="276" w:lineRule="auto"/>
              <w:ind w:firstLine="267"/>
              <w:rPr>
                <w:rFonts w:ascii="Calibri" w:hAnsi="Calibri" w:cs="Calibri"/>
                <w:sz w:val="22"/>
                <w:szCs w:val="22"/>
                <w:lang w:val="en-US"/>
              </w:rPr>
            </w:pPr>
            <w:r w:rsidRPr="004520B9">
              <w:rPr>
                <w:rFonts w:ascii="Calibri" w:hAnsi="Calibri" w:cs="Calibri"/>
                <w:sz w:val="22"/>
                <w:szCs w:val="22"/>
                <w:lang w:val="en-US"/>
              </w:rPr>
              <w:t>$100,000</w:t>
            </w:r>
          </w:p>
        </w:tc>
      </w:tr>
      <w:tr w:rsidR="00E7618B" w:rsidRPr="004520B9" w14:paraId="28C92259" w14:textId="77777777" w:rsidTr="004F6B8F">
        <w:trPr>
          <w:tblCellSpacing w:w="15" w:type="dxa"/>
        </w:trPr>
        <w:tc>
          <w:tcPr>
            <w:tcW w:w="0" w:type="auto"/>
            <w:vAlign w:val="center"/>
            <w:hideMark/>
          </w:tcPr>
          <w:p w14:paraId="57C181F3"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Academic Director</w:t>
            </w:r>
          </w:p>
        </w:tc>
        <w:tc>
          <w:tcPr>
            <w:tcW w:w="0" w:type="auto"/>
            <w:vAlign w:val="center"/>
            <w:hideMark/>
          </w:tcPr>
          <w:p w14:paraId="35A32FE1" w14:textId="77777777" w:rsidR="00E7618B" w:rsidRPr="004520B9" w:rsidRDefault="00E7618B" w:rsidP="004F6B8F">
            <w:pPr>
              <w:spacing w:after="60" w:line="276" w:lineRule="auto"/>
              <w:ind w:left="145" w:firstLine="0"/>
              <w:rPr>
                <w:rFonts w:ascii="Calibri" w:hAnsi="Calibri" w:cs="Calibri"/>
                <w:sz w:val="22"/>
                <w:szCs w:val="22"/>
                <w:lang w:val="en-US"/>
              </w:rPr>
            </w:pPr>
            <w:r w:rsidRPr="004520B9">
              <w:rPr>
                <w:rFonts w:ascii="Calibri" w:hAnsi="Calibri" w:cs="Calibri"/>
                <w:sz w:val="22"/>
                <w:szCs w:val="22"/>
                <w:lang w:val="en-US"/>
              </w:rPr>
              <w:t>$60,000</w:t>
            </w:r>
          </w:p>
        </w:tc>
        <w:tc>
          <w:tcPr>
            <w:tcW w:w="0" w:type="auto"/>
            <w:vAlign w:val="center"/>
            <w:hideMark/>
          </w:tcPr>
          <w:p w14:paraId="50709418" w14:textId="77777777" w:rsidR="00E7618B" w:rsidRPr="004520B9" w:rsidRDefault="00E7618B" w:rsidP="004F6B8F">
            <w:pPr>
              <w:spacing w:after="60" w:line="276" w:lineRule="auto"/>
              <w:ind w:firstLine="413"/>
              <w:rPr>
                <w:rFonts w:ascii="Calibri" w:hAnsi="Calibri" w:cs="Calibri"/>
                <w:sz w:val="22"/>
                <w:szCs w:val="22"/>
                <w:lang w:val="en-US"/>
              </w:rPr>
            </w:pPr>
            <w:r w:rsidRPr="004520B9">
              <w:rPr>
                <w:rFonts w:ascii="Calibri" w:hAnsi="Calibri" w:cs="Calibri"/>
                <w:sz w:val="22"/>
                <w:szCs w:val="22"/>
                <w:lang w:val="en-US"/>
              </w:rPr>
              <w:t>$65,000</w:t>
            </w:r>
          </w:p>
        </w:tc>
        <w:tc>
          <w:tcPr>
            <w:tcW w:w="0" w:type="auto"/>
            <w:vAlign w:val="center"/>
            <w:hideMark/>
          </w:tcPr>
          <w:p w14:paraId="09EE2FE5" w14:textId="77777777" w:rsidR="00E7618B" w:rsidRPr="004520B9" w:rsidRDefault="00E7618B" w:rsidP="004F6B8F">
            <w:pPr>
              <w:spacing w:after="60" w:line="276" w:lineRule="auto"/>
              <w:ind w:firstLine="398"/>
              <w:rPr>
                <w:rFonts w:ascii="Calibri" w:hAnsi="Calibri" w:cs="Calibri"/>
                <w:sz w:val="22"/>
                <w:szCs w:val="22"/>
                <w:lang w:val="en-US"/>
              </w:rPr>
            </w:pPr>
            <w:r w:rsidRPr="004520B9">
              <w:rPr>
                <w:rFonts w:ascii="Calibri" w:hAnsi="Calibri" w:cs="Calibri"/>
                <w:sz w:val="22"/>
                <w:szCs w:val="22"/>
                <w:lang w:val="en-US"/>
              </w:rPr>
              <w:t>$70,000</w:t>
            </w:r>
          </w:p>
        </w:tc>
        <w:tc>
          <w:tcPr>
            <w:tcW w:w="0" w:type="auto"/>
            <w:vAlign w:val="center"/>
            <w:hideMark/>
          </w:tcPr>
          <w:p w14:paraId="11B00922" w14:textId="77777777" w:rsidR="00E7618B" w:rsidRPr="004520B9" w:rsidRDefault="00E7618B" w:rsidP="004F6B8F">
            <w:pPr>
              <w:spacing w:after="60" w:line="276" w:lineRule="auto"/>
              <w:ind w:firstLine="378"/>
              <w:rPr>
                <w:rFonts w:ascii="Calibri" w:hAnsi="Calibri" w:cs="Calibri"/>
                <w:sz w:val="22"/>
                <w:szCs w:val="22"/>
                <w:lang w:val="en-US"/>
              </w:rPr>
            </w:pPr>
            <w:r w:rsidRPr="004520B9">
              <w:rPr>
                <w:rFonts w:ascii="Calibri" w:hAnsi="Calibri" w:cs="Calibri"/>
                <w:sz w:val="22"/>
                <w:szCs w:val="22"/>
                <w:lang w:val="en-US"/>
              </w:rPr>
              <w:t>$75,000</w:t>
            </w:r>
          </w:p>
        </w:tc>
        <w:tc>
          <w:tcPr>
            <w:tcW w:w="0" w:type="auto"/>
            <w:vAlign w:val="center"/>
            <w:hideMark/>
          </w:tcPr>
          <w:p w14:paraId="295B25E2" w14:textId="77777777" w:rsidR="00E7618B" w:rsidRPr="004520B9" w:rsidRDefault="00E7618B" w:rsidP="004F6B8F">
            <w:pPr>
              <w:spacing w:after="60" w:line="276" w:lineRule="auto"/>
              <w:ind w:firstLine="267"/>
              <w:rPr>
                <w:rFonts w:ascii="Calibri" w:hAnsi="Calibri" w:cs="Calibri"/>
                <w:sz w:val="22"/>
                <w:szCs w:val="22"/>
                <w:lang w:val="en-US"/>
              </w:rPr>
            </w:pPr>
            <w:r w:rsidRPr="004520B9">
              <w:rPr>
                <w:rFonts w:ascii="Calibri" w:hAnsi="Calibri" w:cs="Calibri"/>
                <w:sz w:val="22"/>
                <w:szCs w:val="22"/>
                <w:lang w:val="en-US"/>
              </w:rPr>
              <w:t>$80,000</w:t>
            </w:r>
          </w:p>
        </w:tc>
      </w:tr>
      <w:tr w:rsidR="00E7618B" w:rsidRPr="004520B9" w14:paraId="0A2F7705" w14:textId="77777777" w:rsidTr="004F6B8F">
        <w:trPr>
          <w:tblCellSpacing w:w="15" w:type="dxa"/>
        </w:trPr>
        <w:tc>
          <w:tcPr>
            <w:tcW w:w="0" w:type="auto"/>
            <w:vAlign w:val="center"/>
            <w:hideMark/>
          </w:tcPr>
          <w:p w14:paraId="4737829A"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Instructional Coach</w:t>
            </w:r>
          </w:p>
        </w:tc>
        <w:tc>
          <w:tcPr>
            <w:tcW w:w="0" w:type="auto"/>
            <w:vAlign w:val="center"/>
            <w:hideMark/>
          </w:tcPr>
          <w:p w14:paraId="379A38B8" w14:textId="77777777" w:rsidR="00E7618B" w:rsidRPr="004520B9" w:rsidRDefault="00E7618B" w:rsidP="004F6B8F">
            <w:pPr>
              <w:spacing w:after="60" w:line="276" w:lineRule="auto"/>
              <w:ind w:left="145" w:firstLine="0"/>
              <w:rPr>
                <w:rFonts w:ascii="Calibri" w:hAnsi="Calibri" w:cs="Calibri"/>
                <w:sz w:val="22"/>
                <w:szCs w:val="22"/>
                <w:lang w:val="en-US"/>
              </w:rPr>
            </w:pPr>
            <w:r w:rsidRPr="004520B9">
              <w:rPr>
                <w:rFonts w:ascii="Calibri" w:hAnsi="Calibri" w:cs="Calibri"/>
                <w:sz w:val="22"/>
                <w:szCs w:val="22"/>
                <w:lang w:val="en-US"/>
              </w:rPr>
              <w:t>n/a</w:t>
            </w:r>
          </w:p>
        </w:tc>
        <w:tc>
          <w:tcPr>
            <w:tcW w:w="0" w:type="auto"/>
            <w:vAlign w:val="center"/>
            <w:hideMark/>
          </w:tcPr>
          <w:p w14:paraId="327EBE77" w14:textId="77777777" w:rsidR="00E7618B" w:rsidRPr="004520B9" w:rsidRDefault="00E7618B" w:rsidP="004F6B8F">
            <w:pPr>
              <w:spacing w:after="60" w:line="276" w:lineRule="auto"/>
              <w:ind w:firstLine="413"/>
              <w:rPr>
                <w:rFonts w:ascii="Calibri" w:hAnsi="Calibri" w:cs="Calibri"/>
                <w:sz w:val="22"/>
                <w:szCs w:val="22"/>
                <w:lang w:val="en-US"/>
              </w:rPr>
            </w:pPr>
            <w:r w:rsidRPr="004520B9">
              <w:rPr>
                <w:rFonts w:ascii="Calibri" w:hAnsi="Calibri" w:cs="Calibri"/>
                <w:sz w:val="22"/>
                <w:szCs w:val="22"/>
                <w:lang w:val="en-US"/>
              </w:rPr>
              <w:t>$53,750</w:t>
            </w:r>
          </w:p>
        </w:tc>
        <w:tc>
          <w:tcPr>
            <w:tcW w:w="0" w:type="auto"/>
            <w:vAlign w:val="center"/>
            <w:hideMark/>
          </w:tcPr>
          <w:p w14:paraId="435DA9FB" w14:textId="77777777" w:rsidR="00E7618B" w:rsidRPr="004520B9" w:rsidRDefault="00E7618B" w:rsidP="004F6B8F">
            <w:pPr>
              <w:spacing w:after="60" w:line="276" w:lineRule="auto"/>
              <w:ind w:firstLine="398"/>
              <w:rPr>
                <w:rFonts w:ascii="Calibri" w:hAnsi="Calibri" w:cs="Calibri"/>
                <w:sz w:val="22"/>
                <w:szCs w:val="22"/>
                <w:lang w:val="en-US"/>
              </w:rPr>
            </w:pPr>
            <w:r w:rsidRPr="004520B9">
              <w:rPr>
                <w:rFonts w:ascii="Calibri" w:hAnsi="Calibri" w:cs="Calibri"/>
                <w:sz w:val="22"/>
                <w:szCs w:val="22"/>
                <w:lang w:val="en-US"/>
              </w:rPr>
              <w:t>$57,500</w:t>
            </w:r>
          </w:p>
        </w:tc>
        <w:tc>
          <w:tcPr>
            <w:tcW w:w="0" w:type="auto"/>
            <w:vAlign w:val="center"/>
            <w:hideMark/>
          </w:tcPr>
          <w:p w14:paraId="7B4ED859" w14:textId="77777777" w:rsidR="00E7618B" w:rsidRPr="004520B9" w:rsidRDefault="00E7618B" w:rsidP="004F6B8F">
            <w:pPr>
              <w:spacing w:after="60" w:line="276" w:lineRule="auto"/>
              <w:ind w:firstLine="378"/>
              <w:rPr>
                <w:rFonts w:ascii="Calibri" w:hAnsi="Calibri" w:cs="Calibri"/>
                <w:sz w:val="22"/>
                <w:szCs w:val="22"/>
                <w:lang w:val="en-US"/>
              </w:rPr>
            </w:pPr>
            <w:r w:rsidRPr="004520B9">
              <w:rPr>
                <w:rFonts w:ascii="Calibri" w:hAnsi="Calibri" w:cs="Calibri"/>
                <w:sz w:val="22"/>
                <w:szCs w:val="22"/>
                <w:lang w:val="en-US"/>
              </w:rPr>
              <w:t>$61,250</w:t>
            </w:r>
          </w:p>
        </w:tc>
        <w:tc>
          <w:tcPr>
            <w:tcW w:w="0" w:type="auto"/>
            <w:vAlign w:val="center"/>
            <w:hideMark/>
          </w:tcPr>
          <w:p w14:paraId="1ACECA31" w14:textId="77777777" w:rsidR="00E7618B" w:rsidRPr="004520B9" w:rsidRDefault="00E7618B" w:rsidP="004F6B8F">
            <w:pPr>
              <w:spacing w:after="60" w:line="276" w:lineRule="auto"/>
              <w:ind w:firstLine="267"/>
              <w:rPr>
                <w:rFonts w:ascii="Calibri" w:hAnsi="Calibri" w:cs="Calibri"/>
                <w:sz w:val="22"/>
                <w:szCs w:val="22"/>
                <w:lang w:val="en-US"/>
              </w:rPr>
            </w:pPr>
            <w:r w:rsidRPr="004520B9">
              <w:rPr>
                <w:rFonts w:ascii="Calibri" w:hAnsi="Calibri" w:cs="Calibri"/>
                <w:sz w:val="22"/>
                <w:szCs w:val="22"/>
                <w:lang w:val="en-US"/>
              </w:rPr>
              <w:t>$65,000</w:t>
            </w:r>
          </w:p>
        </w:tc>
      </w:tr>
      <w:tr w:rsidR="00E7618B" w:rsidRPr="004520B9" w14:paraId="7302DD3B" w14:textId="77777777" w:rsidTr="004F6B8F">
        <w:trPr>
          <w:tblCellSpacing w:w="15" w:type="dxa"/>
        </w:trPr>
        <w:tc>
          <w:tcPr>
            <w:tcW w:w="0" w:type="auto"/>
            <w:vAlign w:val="center"/>
            <w:hideMark/>
          </w:tcPr>
          <w:p w14:paraId="59F5BDA7" w14:textId="77777777" w:rsidR="00E7618B" w:rsidRPr="004520B9" w:rsidRDefault="00E7618B" w:rsidP="00E7618B">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Special Education/ELL Coordinator</w:t>
            </w:r>
          </w:p>
        </w:tc>
        <w:tc>
          <w:tcPr>
            <w:tcW w:w="0" w:type="auto"/>
            <w:vAlign w:val="center"/>
            <w:hideMark/>
          </w:tcPr>
          <w:p w14:paraId="43798A68" w14:textId="77777777" w:rsidR="00E7618B" w:rsidRPr="004520B9" w:rsidRDefault="00E7618B" w:rsidP="00E7618B">
            <w:pPr>
              <w:spacing w:after="60" w:line="276" w:lineRule="auto"/>
              <w:ind w:left="145" w:firstLine="0"/>
              <w:rPr>
                <w:rFonts w:ascii="Calibri" w:hAnsi="Calibri" w:cs="Calibri"/>
                <w:sz w:val="22"/>
                <w:szCs w:val="22"/>
                <w:lang w:val="en-US"/>
              </w:rPr>
            </w:pPr>
            <w:r w:rsidRPr="004520B9">
              <w:rPr>
                <w:rFonts w:ascii="Calibri" w:hAnsi="Calibri" w:cs="Calibri"/>
                <w:sz w:val="22"/>
                <w:szCs w:val="22"/>
                <w:lang w:val="en-US"/>
              </w:rPr>
              <w:t>$60,000</w:t>
            </w:r>
          </w:p>
        </w:tc>
        <w:tc>
          <w:tcPr>
            <w:tcW w:w="0" w:type="auto"/>
            <w:vAlign w:val="center"/>
            <w:hideMark/>
          </w:tcPr>
          <w:p w14:paraId="28BF9059" w14:textId="45326369" w:rsidR="00E7618B" w:rsidRPr="004520B9" w:rsidRDefault="00E7618B" w:rsidP="00E7618B">
            <w:pPr>
              <w:spacing w:after="60" w:line="276" w:lineRule="auto"/>
              <w:ind w:firstLine="413"/>
              <w:rPr>
                <w:rFonts w:ascii="Calibri" w:hAnsi="Calibri" w:cs="Calibri"/>
                <w:sz w:val="22"/>
                <w:szCs w:val="22"/>
                <w:lang w:val="en-US"/>
              </w:rPr>
            </w:pPr>
            <w:r w:rsidRPr="004520B9">
              <w:rPr>
                <w:rFonts w:ascii="Calibri" w:hAnsi="Calibri" w:cs="Calibri"/>
                <w:sz w:val="22"/>
                <w:szCs w:val="22"/>
                <w:lang w:val="en-US"/>
              </w:rPr>
              <w:t>$65,000</w:t>
            </w:r>
          </w:p>
        </w:tc>
        <w:tc>
          <w:tcPr>
            <w:tcW w:w="0" w:type="auto"/>
            <w:vAlign w:val="center"/>
            <w:hideMark/>
          </w:tcPr>
          <w:p w14:paraId="581174A2" w14:textId="1684BACB" w:rsidR="00E7618B" w:rsidRPr="004520B9" w:rsidRDefault="00E7618B" w:rsidP="00E7618B">
            <w:pPr>
              <w:spacing w:after="60" w:line="276" w:lineRule="auto"/>
              <w:ind w:firstLine="398"/>
              <w:rPr>
                <w:rFonts w:ascii="Calibri" w:hAnsi="Calibri" w:cs="Calibri"/>
                <w:sz w:val="22"/>
                <w:szCs w:val="22"/>
                <w:lang w:val="en-US"/>
              </w:rPr>
            </w:pPr>
            <w:r w:rsidRPr="004520B9">
              <w:rPr>
                <w:rFonts w:ascii="Calibri" w:hAnsi="Calibri" w:cs="Calibri"/>
                <w:sz w:val="22"/>
                <w:szCs w:val="22"/>
                <w:lang w:val="en-US"/>
              </w:rPr>
              <w:t>$70,000</w:t>
            </w:r>
          </w:p>
        </w:tc>
        <w:tc>
          <w:tcPr>
            <w:tcW w:w="0" w:type="auto"/>
            <w:vAlign w:val="center"/>
            <w:hideMark/>
          </w:tcPr>
          <w:p w14:paraId="30B43D93" w14:textId="5185AD84" w:rsidR="00E7618B" w:rsidRPr="004520B9" w:rsidRDefault="00E7618B" w:rsidP="00E7618B">
            <w:pPr>
              <w:spacing w:after="60" w:line="276" w:lineRule="auto"/>
              <w:ind w:firstLine="378"/>
              <w:rPr>
                <w:rFonts w:ascii="Calibri" w:hAnsi="Calibri" w:cs="Calibri"/>
                <w:sz w:val="22"/>
                <w:szCs w:val="22"/>
                <w:lang w:val="en-US"/>
              </w:rPr>
            </w:pPr>
            <w:r w:rsidRPr="004520B9">
              <w:rPr>
                <w:rFonts w:ascii="Calibri" w:hAnsi="Calibri" w:cs="Calibri"/>
                <w:sz w:val="22"/>
                <w:szCs w:val="22"/>
                <w:lang w:val="en-US"/>
              </w:rPr>
              <w:t>$75,000</w:t>
            </w:r>
          </w:p>
        </w:tc>
        <w:tc>
          <w:tcPr>
            <w:tcW w:w="0" w:type="auto"/>
            <w:vAlign w:val="center"/>
            <w:hideMark/>
          </w:tcPr>
          <w:p w14:paraId="0DAAF843" w14:textId="1611F2F8" w:rsidR="00E7618B" w:rsidRPr="004520B9" w:rsidRDefault="00E7618B" w:rsidP="00E7618B">
            <w:pPr>
              <w:spacing w:after="60" w:line="276" w:lineRule="auto"/>
              <w:ind w:firstLine="267"/>
              <w:rPr>
                <w:rFonts w:ascii="Calibri" w:hAnsi="Calibri" w:cs="Calibri"/>
                <w:sz w:val="22"/>
                <w:szCs w:val="22"/>
                <w:lang w:val="en-US"/>
              </w:rPr>
            </w:pPr>
            <w:r w:rsidRPr="004520B9">
              <w:rPr>
                <w:rFonts w:ascii="Calibri" w:hAnsi="Calibri" w:cs="Calibri"/>
                <w:sz w:val="22"/>
                <w:szCs w:val="22"/>
                <w:lang w:val="en-US"/>
              </w:rPr>
              <w:t>$80,000</w:t>
            </w:r>
          </w:p>
        </w:tc>
      </w:tr>
    </w:tbl>
    <w:p w14:paraId="4FEE17CB" w14:textId="77777777" w:rsidR="00E7618B" w:rsidRPr="004520B9" w:rsidRDefault="00E7618B" w:rsidP="00E7618B">
      <w:pPr>
        <w:spacing w:after="60" w:line="276" w:lineRule="auto"/>
        <w:ind w:firstLine="0"/>
        <w:rPr>
          <w:rFonts w:ascii="Calibri" w:hAnsi="Calibri" w:cs="Calibri"/>
          <w:sz w:val="22"/>
          <w:szCs w:val="22"/>
        </w:rPr>
      </w:pPr>
      <w:r w:rsidRPr="004520B9">
        <w:rPr>
          <w:rFonts w:ascii="Calibri" w:hAnsi="Calibri" w:cs="Calibri"/>
          <w:sz w:val="22"/>
          <w:szCs w:val="22"/>
        </w:rPr>
        <w:t>*Note: Instructional Coach role begins in Year 2 based on program development timeline.</w:t>
      </w:r>
    </w:p>
    <w:p w14:paraId="7C13AE38" w14:textId="77777777" w:rsidR="00E7618B" w:rsidRPr="004520B9" w:rsidRDefault="00E7618B" w:rsidP="00E7618B">
      <w:pPr>
        <w:spacing w:after="60" w:line="276" w:lineRule="auto"/>
        <w:ind w:firstLine="0"/>
        <w:rPr>
          <w:rFonts w:ascii="Calibri" w:hAnsi="Calibri" w:cs="Calibri"/>
          <w:b/>
          <w:bCs/>
          <w:color w:val="002060"/>
          <w:sz w:val="22"/>
          <w:szCs w:val="22"/>
          <w:lang w:val="en-US"/>
        </w:rPr>
      </w:pPr>
      <w:r w:rsidRPr="004520B9">
        <w:rPr>
          <w:rFonts w:ascii="Calibri" w:hAnsi="Calibri" w:cs="Calibri"/>
          <w:b/>
          <w:bCs/>
          <w:color w:val="002060"/>
          <w:sz w:val="22"/>
          <w:szCs w:val="22"/>
          <w:lang w:val="en-US"/>
        </w:rPr>
        <w:t>Key Features of the Salary Progression Plan</w:t>
      </w:r>
    </w:p>
    <w:p w14:paraId="1A0F94A1" w14:textId="77777777" w:rsidR="00E7618B" w:rsidRPr="004520B9" w:rsidRDefault="00E7618B" w:rsidP="00E7618B">
      <w:pPr>
        <w:pStyle w:val="ListParagraph"/>
        <w:numPr>
          <w:ilvl w:val="0"/>
          <w:numId w:val="2"/>
        </w:numPr>
        <w:spacing w:after="60" w:line="276" w:lineRule="auto"/>
        <w:rPr>
          <w:rFonts w:ascii="Calibri" w:hAnsi="Calibri" w:cs="Calibri"/>
          <w:sz w:val="22"/>
          <w:szCs w:val="22"/>
          <w:lang w:val="en-US"/>
        </w:rPr>
      </w:pPr>
      <w:r w:rsidRPr="004520B9">
        <w:rPr>
          <w:rFonts w:ascii="Calibri" w:hAnsi="Calibri" w:cs="Calibri"/>
          <w:b/>
          <w:bCs/>
          <w:sz w:val="22"/>
          <w:szCs w:val="22"/>
          <w:lang w:val="en-US"/>
        </w:rPr>
        <w:t>Annual Pay Increases</w:t>
      </w:r>
      <w:r w:rsidRPr="004520B9">
        <w:rPr>
          <w:rFonts w:ascii="Calibri" w:hAnsi="Calibri" w:cs="Calibri"/>
          <w:sz w:val="22"/>
          <w:szCs w:val="22"/>
          <w:lang w:val="en-US"/>
        </w:rPr>
        <w:t xml:space="preserve"> – A predictable, structured progression reinforces long-term commitment and performance.</w:t>
      </w:r>
    </w:p>
    <w:p w14:paraId="62C5A8BF" w14:textId="77777777" w:rsidR="00E7618B" w:rsidRPr="004520B9" w:rsidRDefault="00E7618B" w:rsidP="00E7618B">
      <w:pPr>
        <w:pStyle w:val="ListParagraph"/>
        <w:numPr>
          <w:ilvl w:val="0"/>
          <w:numId w:val="2"/>
        </w:numPr>
        <w:spacing w:after="60" w:line="276" w:lineRule="auto"/>
        <w:rPr>
          <w:rFonts w:ascii="Calibri" w:hAnsi="Calibri" w:cs="Calibri"/>
          <w:sz w:val="22"/>
          <w:szCs w:val="22"/>
          <w:lang w:val="en-US"/>
        </w:rPr>
      </w:pPr>
      <w:r w:rsidRPr="004520B9">
        <w:rPr>
          <w:rFonts w:ascii="Calibri" w:hAnsi="Calibri" w:cs="Calibri"/>
          <w:b/>
          <w:bCs/>
          <w:sz w:val="22"/>
          <w:szCs w:val="22"/>
          <w:lang w:val="en-US"/>
        </w:rPr>
        <w:t>Maximum Salary by Year 5</w:t>
      </w:r>
      <w:r w:rsidRPr="004520B9">
        <w:rPr>
          <w:rFonts w:ascii="Calibri" w:hAnsi="Calibri" w:cs="Calibri"/>
          <w:sz w:val="22"/>
          <w:szCs w:val="22"/>
          <w:lang w:val="en-US"/>
        </w:rPr>
        <w:t xml:space="preserve"> – Staff who consistently meet performance benchmarks are eligible to reach the top of their range within five years.</w:t>
      </w:r>
    </w:p>
    <w:p w14:paraId="53E7936F" w14:textId="77777777" w:rsidR="00E7618B" w:rsidRPr="004520B9" w:rsidRDefault="00E7618B" w:rsidP="00E7618B">
      <w:pPr>
        <w:pStyle w:val="ListParagraph"/>
        <w:numPr>
          <w:ilvl w:val="0"/>
          <w:numId w:val="2"/>
        </w:numPr>
        <w:spacing w:after="60" w:line="276" w:lineRule="auto"/>
        <w:rPr>
          <w:rFonts w:ascii="Calibri" w:hAnsi="Calibri" w:cs="Calibri"/>
          <w:sz w:val="22"/>
          <w:szCs w:val="22"/>
          <w:lang w:val="en-US"/>
        </w:rPr>
      </w:pPr>
      <w:r w:rsidRPr="004520B9">
        <w:rPr>
          <w:rFonts w:ascii="Calibri" w:hAnsi="Calibri" w:cs="Calibri"/>
          <w:b/>
          <w:bCs/>
          <w:sz w:val="22"/>
          <w:szCs w:val="22"/>
          <w:lang w:val="en-US"/>
        </w:rPr>
        <w:lastRenderedPageBreak/>
        <w:t>Merit-Driven Progression</w:t>
      </w:r>
      <w:r w:rsidRPr="004520B9">
        <w:rPr>
          <w:rFonts w:ascii="Calibri" w:hAnsi="Calibri" w:cs="Calibri"/>
          <w:sz w:val="22"/>
          <w:szCs w:val="22"/>
          <w:lang w:val="en-US"/>
        </w:rPr>
        <w:t xml:space="preserve"> – Advancement is based not only on time served but on meaningful contributions to student outcomes and school culture.</w:t>
      </w:r>
    </w:p>
    <w:p w14:paraId="760FE050" w14:textId="77777777" w:rsidR="00E7618B" w:rsidRPr="004520B9" w:rsidRDefault="00E7618B" w:rsidP="00E7618B">
      <w:pPr>
        <w:pStyle w:val="ListParagraph"/>
        <w:numPr>
          <w:ilvl w:val="0"/>
          <w:numId w:val="2"/>
        </w:numPr>
        <w:spacing w:after="60" w:line="276" w:lineRule="auto"/>
        <w:rPr>
          <w:rFonts w:ascii="Calibri" w:hAnsi="Calibri" w:cs="Calibri"/>
          <w:sz w:val="22"/>
          <w:szCs w:val="22"/>
          <w:lang w:val="en-US"/>
        </w:rPr>
      </w:pPr>
      <w:r w:rsidRPr="004520B9">
        <w:rPr>
          <w:rFonts w:ascii="Calibri" w:hAnsi="Calibri" w:cs="Calibri"/>
          <w:b/>
          <w:bCs/>
          <w:sz w:val="22"/>
          <w:szCs w:val="22"/>
          <w:lang w:val="en-US"/>
        </w:rPr>
        <w:t>Support for Growth</w:t>
      </w:r>
      <w:r w:rsidRPr="004520B9">
        <w:rPr>
          <w:rFonts w:ascii="Calibri" w:hAnsi="Calibri" w:cs="Calibri"/>
          <w:sz w:val="22"/>
          <w:szCs w:val="22"/>
          <w:lang w:val="en-US"/>
        </w:rPr>
        <w:t xml:space="preserve"> – Staff not meeting benchmarks receive targeted support with clear improvement timelines.</w:t>
      </w:r>
    </w:p>
    <w:p w14:paraId="5A1D58D8" w14:textId="77777777" w:rsidR="00E7618B" w:rsidRPr="004520B9" w:rsidRDefault="00E7618B" w:rsidP="00E7618B">
      <w:pPr>
        <w:spacing w:after="60" w:line="276" w:lineRule="auto"/>
        <w:ind w:firstLine="0"/>
        <w:jc w:val="center"/>
        <w:rPr>
          <w:rFonts w:ascii="Calibri" w:hAnsi="Calibri" w:cs="Calibri"/>
          <w:sz w:val="22"/>
          <w:szCs w:val="22"/>
          <w:lang w:val="en-US"/>
        </w:rPr>
      </w:pPr>
    </w:p>
    <w:p w14:paraId="32E63302" w14:textId="77777777" w:rsidR="00E7618B" w:rsidRPr="004520B9" w:rsidRDefault="00E7618B" w:rsidP="00E7618B">
      <w:pPr>
        <w:spacing w:after="60" w:line="276" w:lineRule="auto"/>
        <w:ind w:firstLine="0"/>
        <w:jc w:val="center"/>
        <w:rPr>
          <w:rFonts w:ascii="Calibri" w:hAnsi="Calibri" w:cs="Calibri"/>
          <w:b/>
          <w:bCs/>
          <w:color w:val="002060"/>
          <w:sz w:val="22"/>
          <w:szCs w:val="22"/>
        </w:rPr>
      </w:pPr>
    </w:p>
    <w:p w14:paraId="443F93B7" w14:textId="77777777" w:rsidR="00E7618B" w:rsidRPr="004520B9" w:rsidRDefault="00E7618B" w:rsidP="00E7618B">
      <w:pPr>
        <w:spacing w:after="60" w:line="276" w:lineRule="auto"/>
        <w:ind w:firstLine="0"/>
        <w:jc w:val="center"/>
        <w:rPr>
          <w:rFonts w:ascii="Calibri" w:hAnsi="Calibri" w:cs="Calibri"/>
          <w:b/>
          <w:bCs/>
          <w:color w:val="002060"/>
          <w:sz w:val="22"/>
          <w:szCs w:val="22"/>
        </w:rPr>
      </w:pPr>
      <w:r w:rsidRPr="004520B9">
        <w:rPr>
          <w:rFonts w:ascii="Calibri" w:hAnsi="Calibri" w:cs="Calibri"/>
          <w:b/>
          <w:bCs/>
          <w:color w:val="002060"/>
          <w:sz w:val="22"/>
          <w:szCs w:val="22"/>
        </w:rPr>
        <w:t>Instructional Staff Salary Table – 15-Year Progression</w:t>
      </w:r>
    </w:p>
    <w:p w14:paraId="5612B1F7" w14:textId="3A1EC0C4"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ALA implements a structured Instructional Staff Salary Progression Plan that ensures compensation is equitable, transparent, and performance</w:t>
      </w:r>
      <w:r>
        <w:rPr>
          <w:rFonts w:ascii="Calibri" w:hAnsi="Calibri" w:cs="Calibri"/>
          <w:sz w:val="22"/>
          <w:szCs w:val="22"/>
          <w:lang w:val="en-US"/>
        </w:rPr>
        <w:t xml:space="preserve"> </w:t>
      </w:r>
      <w:r w:rsidRPr="004520B9">
        <w:rPr>
          <w:rFonts w:ascii="Calibri" w:hAnsi="Calibri" w:cs="Calibri"/>
          <w:sz w:val="22"/>
          <w:szCs w:val="22"/>
          <w:lang w:val="en-US"/>
        </w:rPr>
        <w:t xml:space="preserve">driven. This 15-year salary schedule applies to all instructional roles, including </w:t>
      </w:r>
      <w:r>
        <w:rPr>
          <w:rFonts w:ascii="Calibri" w:hAnsi="Calibri" w:cs="Calibri"/>
          <w:sz w:val="22"/>
          <w:szCs w:val="22"/>
          <w:lang w:val="en-US"/>
        </w:rPr>
        <w:t>Humanities and STEM</w:t>
      </w:r>
      <w:r w:rsidRPr="004520B9">
        <w:rPr>
          <w:rFonts w:ascii="Calibri" w:hAnsi="Calibri" w:cs="Calibri"/>
          <w:sz w:val="22"/>
          <w:szCs w:val="22"/>
          <w:lang w:val="en-US"/>
        </w:rPr>
        <w:t xml:space="preserve"> Teachers, Elective/Specialist Teachers (Art, Music, PE), and SPED Teachers. Salary advancement is based on a combination of years of service, educational attainment, and merit, as demonstrated through ALA’s performance evaluation framework. By aligning compensation with professional growth and instructional impact, ALA reinforces its commitment to excellence in teaching, ongoing development, and the long-term retention of high-performing educators.</w:t>
      </w:r>
    </w:p>
    <w:tbl>
      <w:tblPr>
        <w:tblW w:w="96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5"/>
        <w:gridCol w:w="1512"/>
        <w:gridCol w:w="1512"/>
        <w:gridCol w:w="1512"/>
        <w:gridCol w:w="1512"/>
        <w:gridCol w:w="1512"/>
        <w:gridCol w:w="1512"/>
      </w:tblGrid>
      <w:tr w:rsidR="00E7618B" w:rsidRPr="004520B9" w14:paraId="680B7C67" w14:textId="77777777" w:rsidTr="004F6B8F">
        <w:trPr>
          <w:tblHeader/>
          <w:tblCellSpacing w:w="15" w:type="dxa"/>
        </w:trPr>
        <w:tc>
          <w:tcPr>
            <w:tcW w:w="580" w:type="dxa"/>
            <w:shd w:val="clear" w:color="auto" w:fill="002060"/>
            <w:vAlign w:val="center"/>
            <w:hideMark/>
          </w:tcPr>
          <w:p w14:paraId="26422C72"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w:t>
            </w:r>
          </w:p>
        </w:tc>
        <w:tc>
          <w:tcPr>
            <w:tcW w:w="1482" w:type="dxa"/>
            <w:shd w:val="clear" w:color="auto" w:fill="002060"/>
            <w:vAlign w:val="center"/>
            <w:hideMark/>
          </w:tcPr>
          <w:p w14:paraId="53AFD17A"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Base Pay</w:t>
            </w:r>
          </w:p>
        </w:tc>
        <w:tc>
          <w:tcPr>
            <w:tcW w:w="1482" w:type="dxa"/>
            <w:shd w:val="clear" w:color="auto" w:fill="002060"/>
            <w:vAlign w:val="center"/>
            <w:hideMark/>
          </w:tcPr>
          <w:p w14:paraId="1B041AC7" w14:textId="77777777" w:rsidR="00E7618B" w:rsidRPr="004520B9" w:rsidRDefault="00E7618B" w:rsidP="004F6B8F">
            <w:pPr>
              <w:spacing w:after="60" w:line="276" w:lineRule="auto"/>
              <w:ind w:firstLine="0"/>
              <w:jc w:val="center"/>
              <w:rPr>
                <w:rFonts w:ascii="Calibri" w:hAnsi="Calibri" w:cs="Calibri"/>
                <w:sz w:val="22"/>
                <w:szCs w:val="22"/>
                <w:lang w:val="en-US"/>
              </w:rPr>
            </w:pPr>
            <w:proofErr w:type="gramStart"/>
            <w:r w:rsidRPr="004520B9">
              <w:rPr>
                <w:rFonts w:ascii="Calibri" w:hAnsi="Calibri" w:cs="Calibri"/>
                <w:sz w:val="22"/>
                <w:szCs w:val="22"/>
                <w:lang w:val="en-US"/>
              </w:rPr>
              <w:t>Associate's Degree</w:t>
            </w:r>
            <w:proofErr w:type="gramEnd"/>
          </w:p>
        </w:tc>
        <w:tc>
          <w:tcPr>
            <w:tcW w:w="1482" w:type="dxa"/>
            <w:shd w:val="clear" w:color="auto" w:fill="002060"/>
            <w:vAlign w:val="center"/>
            <w:hideMark/>
          </w:tcPr>
          <w:p w14:paraId="0783F586"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Bachelor's Degree</w:t>
            </w:r>
          </w:p>
        </w:tc>
        <w:tc>
          <w:tcPr>
            <w:tcW w:w="1482" w:type="dxa"/>
            <w:shd w:val="clear" w:color="auto" w:fill="002060"/>
            <w:vAlign w:val="center"/>
            <w:hideMark/>
          </w:tcPr>
          <w:p w14:paraId="6C6ED61E"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Certified (Teacher's Certification)</w:t>
            </w:r>
          </w:p>
        </w:tc>
        <w:tc>
          <w:tcPr>
            <w:tcW w:w="1482" w:type="dxa"/>
            <w:shd w:val="clear" w:color="auto" w:fill="002060"/>
            <w:vAlign w:val="center"/>
            <w:hideMark/>
          </w:tcPr>
          <w:p w14:paraId="73191ED4"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Master's Degree</w:t>
            </w:r>
          </w:p>
        </w:tc>
        <w:tc>
          <w:tcPr>
            <w:tcW w:w="1467" w:type="dxa"/>
            <w:shd w:val="clear" w:color="auto" w:fill="002060"/>
            <w:vAlign w:val="center"/>
            <w:hideMark/>
          </w:tcPr>
          <w:p w14:paraId="25C09471"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Doctorate's Degree</w:t>
            </w:r>
          </w:p>
        </w:tc>
      </w:tr>
      <w:tr w:rsidR="00E7618B" w:rsidRPr="004520B9" w14:paraId="202A1814" w14:textId="77777777" w:rsidTr="004F6B8F">
        <w:trPr>
          <w:tblCellSpacing w:w="15" w:type="dxa"/>
        </w:trPr>
        <w:tc>
          <w:tcPr>
            <w:tcW w:w="580" w:type="dxa"/>
            <w:vAlign w:val="center"/>
            <w:hideMark/>
          </w:tcPr>
          <w:p w14:paraId="1BB074F4"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w:t>
            </w:r>
          </w:p>
        </w:tc>
        <w:tc>
          <w:tcPr>
            <w:tcW w:w="1482" w:type="dxa"/>
            <w:vAlign w:val="center"/>
            <w:hideMark/>
          </w:tcPr>
          <w:p w14:paraId="5B837FF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$44,000</w:t>
            </w:r>
          </w:p>
        </w:tc>
        <w:tc>
          <w:tcPr>
            <w:tcW w:w="1482" w:type="dxa"/>
            <w:vAlign w:val="center"/>
            <w:hideMark/>
          </w:tcPr>
          <w:p w14:paraId="5ED02F7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$45,000</w:t>
            </w:r>
          </w:p>
        </w:tc>
        <w:tc>
          <w:tcPr>
            <w:tcW w:w="1482" w:type="dxa"/>
            <w:vAlign w:val="center"/>
            <w:hideMark/>
          </w:tcPr>
          <w:p w14:paraId="73B8FBA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$48,000</w:t>
            </w:r>
          </w:p>
        </w:tc>
        <w:tc>
          <w:tcPr>
            <w:tcW w:w="1482" w:type="dxa"/>
            <w:vAlign w:val="center"/>
            <w:hideMark/>
          </w:tcPr>
          <w:p w14:paraId="1A9B54A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$51,000</w:t>
            </w:r>
          </w:p>
        </w:tc>
        <w:tc>
          <w:tcPr>
            <w:tcW w:w="1482" w:type="dxa"/>
            <w:vAlign w:val="center"/>
            <w:hideMark/>
          </w:tcPr>
          <w:p w14:paraId="540BE8A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$52,000</w:t>
            </w:r>
          </w:p>
        </w:tc>
        <w:tc>
          <w:tcPr>
            <w:tcW w:w="1467" w:type="dxa"/>
            <w:vAlign w:val="center"/>
            <w:hideMark/>
          </w:tcPr>
          <w:p w14:paraId="67EA3CC4"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$53,000</w:t>
            </w:r>
          </w:p>
        </w:tc>
      </w:tr>
      <w:tr w:rsidR="00E7618B" w:rsidRPr="004520B9" w14:paraId="57542816" w14:textId="77777777" w:rsidTr="004F6B8F">
        <w:trPr>
          <w:tblCellSpacing w:w="15" w:type="dxa"/>
        </w:trPr>
        <w:tc>
          <w:tcPr>
            <w:tcW w:w="580" w:type="dxa"/>
            <w:vAlign w:val="center"/>
            <w:hideMark/>
          </w:tcPr>
          <w:p w14:paraId="09EA67D3"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2</w:t>
            </w:r>
          </w:p>
        </w:tc>
        <w:tc>
          <w:tcPr>
            <w:tcW w:w="1482" w:type="dxa"/>
            <w:vAlign w:val="center"/>
            <w:hideMark/>
          </w:tcPr>
          <w:p w14:paraId="009DB1B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$44,500</w:t>
            </w:r>
          </w:p>
        </w:tc>
        <w:tc>
          <w:tcPr>
            <w:tcW w:w="1482" w:type="dxa"/>
            <w:vAlign w:val="center"/>
            <w:hideMark/>
          </w:tcPr>
          <w:p w14:paraId="3CB8805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$45,500</w:t>
            </w:r>
          </w:p>
        </w:tc>
        <w:tc>
          <w:tcPr>
            <w:tcW w:w="1482" w:type="dxa"/>
            <w:vAlign w:val="center"/>
            <w:hideMark/>
          </w:tcPr>
          <w:p w14:paraId="0D1F896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$48,500</w:t>
            </w:r>
          </w:p>
        </w:tc>
        <w:tc>
          <w:tcPr>
            <w:tcW w:w="1482" w:type="dxa"/>
            <w:vAlign w:val="center"/>
            <w:hideMark/>
          </w:tcPr>
          <w:p w14:paraId="0DE721E4"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$51,500</w:t>
            </w:r>
          </w:p>
        </w:tc>
        <w:tc>
          <w:tcPr>
            <w:tcW w:w="1482" w:type="dxa"/>
            <w:vAlign w:val="center"/>
            <w:hideMark/>
          </w:tcPr>
          <w:p w14:paraId="770BE9C3"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$52,500</w:t>
            </w:r>
          </w:p>
        </w:tc>
        <w:tc>
          <w:tcPr>
            <w:tcW w:w="1467" w:type="dxa"/>
            <w:vAlign w:val="center"/>
            <w:hideMark/>
          </w:tcPr>
          <w:p w14:paraId="1F13D80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$53,500</w:t>
            </w:r>
          </w:p>
        </w:tc>
      </w:tr>
      <w:tr w:rsidR="00E7618B" w:rsidRPr="004520B9" w14:paraId="100E47D1" w14:textId="77777777" w:rsidTr="004F6B8F">
        <w:trPr>
          <w:tblCellSpacing w:w="15" w:type="dxa"/>
        </w:trPr>
        <w:tc>
          <w:tcPr>
            <w:tcW w:w="580" w:type="dxa"/>
            <w:vAlign w:val="center"/>
            <w:hideMark/>
          </w:tcPr>
          <w:p w14:paraId="5292CB2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3</w:t>
            </w:r>
          </w:p>
        </w:tc>
        <w:tc>
          <w:tcPr>
            <w:tcW w:w="1482" w:type="dxa"/>
            <w:vAlign w:val="center"/>
            <w:hideMark/>
          </w:tcPr>
          <w:p w14:paraId="6487837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$45,000</w:t>
            </w:r>
          </w:p>
        </w:tc>
        <w:tc>
          <w:tcPr>
            <w:tcW w:w="1482" w:type="dxa"/>
            <w:vAlign w:val="center"/>
            <w:hideMark/>
          </w:tcPr>
          <w:p w14:paraId="3DCC055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$46,000</w:t>
            </w:r>
          </w:p>
        </w:tc>
        <w:tc>
          <w:tcPr>
            <w:tcW w:w="1482" w:type="dxa"/>
            <w:vAlign w:val="center"/>
            <w:hideMark/>
          </w:tcPr>
          <w:p w14:paraId="56F6880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$49,000</w:t>
            </w:r>
          </w:p>
        </w:tc>
        <w:tc>
          <w:tcPr>
            <w:tcW w:w="1482" w:type="dxa"/>
            <w:vAlign w:val="center"/>
            <w:hideMark/>
          </w:tcPr>
          <w:p w14:paraId="4ACDDDDF"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$52,000</w:t>
            </w:r>
          </w:p>
        </w:tc>
        <w:tc>
          <w:tcPr>
            <w:tcW w:w="1482" w:type="dxa"/>
            <w:vAlign w:val="center"/>
            <w:hideMark/>
          </w:tcPr>
          <w:p w14:paraId="56C57F9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$53,000</w:t>
            </w:r>
          </w:p>
        </w:tc>
        <w:tc>
          <w:tcPr>
            <w:tcW w:w="1467" w:type="dxa"/>
            <w:vAlign w:val="center"/>
            <w:hideMark/>
          </w:tcPr>
          <w:p w14:paraId="71BD8E7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$54,000</w:t>
            </w:r>
          </w:p>
        </w:tc>
      </w:tr>
      <w:tr w:rsidR="00E7618B" w:rsidRPr="004520B9" w14:paraId="3BB40502" w14:textId="77777777" w:rsidTr="004F6B8F">
        <w:trPr>
          <w:tblCellSpacing w:w="15" w:type="dxa"/>
        </w:trPr>
        <w:tc>
          <w:tcPr>
            <w:tcW w:w="580" w:type="dxa"/>
            <w:vAlign w:val="center"/>
            <w:hideMark/>
          </w:tcPr>
          <w:p w14:paraId="0EE5CA6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w:t>
            </w:r>
          </w:p>
        </w:tc>
        <w:tc>
          <w:tcPr>
            <w:tcW w:w="1482" w:type="dxa"/>
            <w:vAlign w:val="center"/>
            <w:hideMark/>
          </w:tcPr>
          <w:p w14:paraId="2092DB7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$45,500</w:t>
            </w:r>
          </w:p>
        </w:tc>
        <w:tc>
          <w:tcPr>
            <w:tcW w:w="1482" w:type="dxa"/>
            <w:vAlign w:val="center"/>
            <w:hideMark/>
          </w:tcPr>
          <w:p w14:paraId="3CF9217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$46,500</w:t>
            </w:r>
          </w:p>
        </w:tc>
        <w:tc>
          <w:tcPr>
            <w:tcW w:w="1482" w:type="dxa"/>
            <w:vAlign w:val="center"/>
            <w:hideMark/>
          </w:tcPr>
          <w:p w14:paraId="3C86B564"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$49,500</w:t>
            </w:r>
          </w:p>
        </w:tc>
        <w:tc>
          <w:tcPr>
            <w:tcW w:w="1482" w:type="dxa"/>
            <w:vAlign w:val="center"/>
            <w:hideMark/>
          </w:tcPr>
          <w:p w14:paraId="16E9964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$52,500</w:t>
            </w:r>
          </w:p>
        </w:tc>
        <w:tc>
          <w:tcPr>
            <w:tcW w:w="1482" w:type="dxa"/>
            <w:vAlign w:val="center"/>
            <w:hideMark/>
          </w:tcPr>
          <w:p w14:paraId="1A369FD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$53,500</w:t>
            </w:r>
          </w:p>
        </w:tc>
        <w:tc>
          <w:tcPr>
            <w:tcW w:w="1467" w:type="dxa"/>
            <w:vAlign w:val="center"/>
            <w:hideMark/>
          </w:tcPr>
          <w:p w14:paraId="3C9F05F3"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$54,500</w:t>
            </w:r>
          </w:p>
        </w:tc>
      </w:tr>
      <w:tr w:rsidR="00E7618B" w:rsidRPr="004520B9" w14:paraId="6F865DC1" w14:textId="77777777" w:rsidTr="004F6B8F">
        <w:trPr>
          <w:tblCellSpacing w:w="15" w:type="dxa"/>
        </w:trPr>
        <w:tc>
          <w:tcPr>
            <w:tcW w:w="580" w:type="dxa"/>
            <w:vAlign w:val="center"/>
            <w:hideMark/>
          </w:tcPr>
          <w:p w14:paraId="0430ED6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w:t>
            </w:r>
          </w:p>
        </w:tc>
        <w:tc>
          <w:tcPr>
            <w:tcW w:w="1482" w:type="dxa"/>
            <w:vAlign w:val="center"/>
            <w:hideMark/>
          </w:tcPr>
          <w:p w14:paraId="640F58EF"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$46,000</w:t>
            </w:r>
          </w:p>
        </w:tc>
        <w:tc>
          <w:tcPr>
            <w:tcW w:w="1482" w:type="dxa"/>
            <w:vAlign w:val="center"/>
            <w:hideMark/>
          </w:tcPr>
          <w:p w14:paraId="3BD3B99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$47,000</w:t>
            </w:r>
          </w:p>
        </w:tc>
        <w:tc>
          <w:tcPr>
            <w:tcW w:w="1482" w:type="dxa"/>
            <w:vAlign w:val="center"/>
            <w:hideMark/>
          </w:tcPr>
          <w:p w14:paraId="4483BDD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$50,000</w:t>
            </w:r>
          </w:p>
        </w:tc>
        <w:tc>
          <w:tcPr>
            <w:tcW w:w="1482" w:type="dxa"/>
            <w:vAlign w:val="center"/>
            <w:hideMark/>
          </w:tcPr>
          <w:p w14:paraId="0D1758E6"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$53,000</w:t>
            </w:r>
          </w:p>
        </w:tc>
        <w:tc>
          <w:tcPr>
            <w:tcW w:w="1482" w:type="dxa"/>
            <w:vAlign w:val="center"/>
            <w:hideMark/>
          </w:tcPr>
          <w:p w14:paraId="53BA16F7"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$54,000</w:t>
            </w:r>
          </w:p>
        </w:tc>
        <w:tc>
          <w:tcPr>
            <w:tcW w:w="1467" w:type="dxa"/>
            <w:vAlign w:val="center"/>
            <w:hideMark/>
          </w:tcPr>
          <w:p w14:paraId="250FF067"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$55,000</w:t>
            </w:r>
          </w:p>
        </w:tc>
      </w:tr>
      <w:tr w:rsidR="00E7618B" w:rsidRPr="004520B9" w14:paraId="3BC6076F" w14:textId="77777777" w:rsidTr="004F6B8F">
        <w:trPr>
          <w:tblCellSpacing w:w="15" w:type="dxa"/>
        </w:trPr>
        <w:tc>
          <w:tcPr>
            <w:tcW w:w="580" w:type="dxa"/>
            <w:vAlign w:val="center"/>
            <w:hideMark/>
          </w:tcPr>
          <w:p w14:paraId="10C7BA1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6</w:t>
            </w:r>
          </w:p>
        </w:tc>
        <w:tc>
          <w:tcPr>
            <w:tcW w:w="1482" w:type="dxa"/>
            <w:vAlign w:val="center"/>
            <w:hideMark/>
          </w:tcPr>
          <w:p w14:paraId="593BADE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$46,500</w:t>
            </w:r>
          </w:p>
        </w:tc>
        <w:tc>
          <w:tcPr>
            <w:tcW w:w="1482" w:type="dxa"/>
            <w:vAlign w:val="center"/>
            <w:hideMark/>
          </w:tcPr>
          <w:p w14:paraId="618B0F5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$47,500</w:t>
            </w:r>
          </w:p>
        </w:tc>
        <w:tc>
          <w:tcPr>
            <w:tcW w:w="1482" w:type="dxa"/>
            <w:vAlign w:val="center"/>
            <w:hideMark/>
          </w:tcPr>
          <w:p w14:paraId="2ED8850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$50,500</w:t>
            </w:r>
          </w:p>
        </w:tc>
        <w:tc>
          <w:tcPr>
            <w:tcW w:w="1482" w:type="dxa"/>
            <w:vAlign w:val="center"/>
            <w:hideMark/>
          </w:tcPr>
          <w:p w14:paraId="437514A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$53,500</w:t>
            </w:r>
          </w:p>
        </w:tc>
        <w:tc>
          <w:tcPr>
            <w:tcW w:w="1482" w:type="dxa"/>
            <w:vAlign w:val="center"/>
            <w:hideMark/>
          </w:tcPr>
          <w:p w14:paraId="7DA5DE5F"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$54,500</w:t>
            </w:r>
          </w:p>
        </w:tc>
        <w:tc>
          <w:tcPr>
            <w:tcW w:w="1467" w:type="dxa"/>
            <w:vAlign w:val="center"/>
            <w:hideMark/>
          </w:tcPr>
          <w:p w14:paraId="5F50D9F2"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$55,500</w:t>
            </w:r>
          </w:p>
        </w:tc>
      </w:tr>
      <w:tr w:rsidR="00E7618B" w:rsidRPr="004520B9" w14:paraId="129C0802" w14:textId="77777777" w:rsidTr="004F6B8F">
        <w:trPr>
          <w:tblCellSpacing w:w="15" w:type="dxa"/>
        </w:trPr>
        <w:tc>
          <w:tcPr>
            <w:tcW w:w="580" w:type="dxa"/>
            <w:vAlign w:val="center"/>
            <w:hideMark/>
          </w:tcPr>
          <w:p w14:paraId="3718041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7</w:t>
            </w:r>
          </w:p>
        </w:tc>
        <w:tc>
          <w:tcPr>
            <w:tcW w:w="1482" w:type="dxa"/>
            <w:vAlign w:val="center"/>
            <w:hideMark/>
          </w:tcPr>
          <w:p w14:paraId="2F61CD3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$47,000</w:t>
            </w:r>
          </w:p>
        </w:tc>
        <w:tc>
          <w:tcPr>
            <w:tcW w:w="1482" w:type="dxa"/>
            <w:vAlign w:val="center"/>
            <w:hideMark/>
          </w:tcPr>
          <w:p w14:paraId="560B395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$48,000</w:t>
            </w:r>
          </w:p>
        </w:tc>
        <w:tc>
          <w:tcPr>
            <w:tcW w:w="1482" w:type="dxa"/>
            <w:vAlign w:val="center"/>
            <w:hideMark/>
          </w:tcPr>
          <w:p w14:paraId="07A3571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$51,000</w:t>
            </w:r>
          </w:p>
        </w:tc>
        <w:tc>
          <w:tcPr>
            <w:tcW w:w="1482" w:type="dxa"/>
            <w:vAlign w:val="center"/>
            <w:hideMark/>
          </w:tcPr>
          <w:p w14:paraId="20518FD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$54,000</w:t>
            </w:r>
          </w:p>
        </w:tc>
        <w:tc>
          <w:tcPr>
            <w:tcW w:w="1482" w:type="dxa"/>
            <w:vAlign w:val="center"/>
            <w:hideMark/>
          </w:tcPr>
          <w:p w14:paraId="7408B7B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$55,000</w:t>
            </w:r>
          </w:p>
        </w:tc>
        <w:tc>
          <w:tcPr>
            <w:tcW w:w="1467" w:type="dxa"/>
            <w:vAlign w:val="center"/>
            <w:hideMark/>
          </w:tcPr>
          <w:p w14:paraId="0D7D150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$56,000</w:t>
            </w:r>
          </w:p>
        </w:tc>
      </w:tr>
      <w:tr w:rsidR="00E7618B" w:rsidRPr="004520B9" w14:paraId="5AE298BF" w14:textId="77777777" w:rsidTr="004F6B8F">
        <w:trPr>
          <w:tblCellSpacing w:w="15" w:type="dxa"/>
        </w:trPr>
        <w:tc>
          <w:tcPr>
            <w:tcW w:w="580" w:type="dxa"/>
            <w:vAlign w:val="center"/>
            <w:hideMark/>
          </w:tcPr>
          <w:p w14:paraId="06EBE822"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8</w:t>
            </w:r>
          </w:p>
        </w:tc>
        <w:tc>
          <w:tcPr>
            <w:tcW w:w="1482" w:type="dxa"/>
            <w:vAlign w:val="center"/>
            <w:hideMark/>
          </w:tcPr>
          <w:p w14:paraId="233504B2"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$47,500</w:t>
            </w:r>
          </w:p>
        </w:tc>
        <w:tc>
          <w:tcPr>
            <w:tcW w:w="1482" w:type="dxa"/>
            <w:vAlign w:val="center"/>
            <w:hideMark/>
          </w:tcPr>
          <w:p w14:paraId="4401D7D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$48,500</w:t>
            </w:r>
          </w:p>
        </w:tc>
        <w:tc>
          <w:tcPr>
            <w:tcW w:w="1482" w:type="dxa"/>
            <w:vAlign w:val="center"/>
            <w:hideMark/>
          </w:tcPr>
          <w:p w14:paraId="15C1146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$51,500</w:t>
            </w:r>
          </w:p>
        </w:tc>
        <w:tc>
          <w:tcPr>
            <w:tcW w:w="1482" w:type="dxa"/>
            <w:vAlign w:val="center"/>
            <w:hideMark/>
          </w:tcPr>
          <w:p w14:paraId="2B38F5C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$54,500</w:t>
            </w:r>
          </w:p>
        </w:tc>
        <w:tc>
          <w:tcPr>
            <w:tcW w:w="1482" w:type="dxa"/>
            <w:vAlign w:val="center"/>
            <w:hideMark/>
          </w:tcPr>
          <w:p w14:paraId="4339DA3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$55,500</w:t>
            </w:r>
          </w:p>
        </w:tc>
        <w:tc>
          <w:tcPr>
            <w:tcW w:w="1467" w:type="dxa"/>
            <w:vAlign w:val="center"/>
            <w:hideMark/>
          </w:tcPr>
          <w:p w14:paraId="1D76352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$56,500</w:t>
            </w:r>
          </w:p>
        </w:tc>
      </w:tr>
      <w:tr w:rsidR="00E7618B" w:rsidRPr="004520B9" w14:paraId="7791E17A" w14:textId="77777777" w:rsidTr="004F6B8F">
        <w:trPr>
          <w:tblCellSpacing w:w="15" w:type="dxa"/>
        </w:trPr>
        <w:tc>
          <w:tcPr>
            <w:tcW w:w="580" w:type="dxa"/>
            <w:vAlign w:val="center"/>
            <w:hideMark/>
          </w:tcPr>
          <w:p w14:paraId="420AC754"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9</w:t>
            </w:r>
          </w:p>
        </w:tc>
        <w:tc>
          <w:tcPr>
            <w:tcW w:w="1482" w:type="dxa"/>
            <w:vAlign w:val="center"/>
            <w:hideMark/>
          </w:tcPr>
          <w:p w14:paraId="328DC99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$48,000</w:t>
            </w:r>
          </w:p>
        </w:tc>
        <w:tc>
          <w:tcPr>
            <w:tcW w:w="1482" w:type="dxa"/>
            <w:vAlign w:val="center"/>
            <w:hideMark/>
          </w:tcPr>
          <w:p w14:paraId="047B8B2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$49,000</w:t>
            </w:r>
          </w:p>
        </w:tc>
        <w:tc>
          <w:tcPr>
            <w:tcW w:w="1482" w:type="dxa"/>
            <w:vAlign w:val="center"/>
            <w:hideMark/>
          </w:tcPr>
          <w:p w14:paraId="12966D8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$52,000</w:t>
            </w:r>
          </w:p>
        </w:tc>
        <w:tc>
          <w:tcPr>
            <w:tcW w:w="1482" w:type="dxa"/>
            <w:vAlign w:val="center"/>
            <w:hideMark/>
          </w:tcPr>
          <w:p w14:paraId="2FF582E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$55,000</w:t>
            </w:r>
          </w:p>
        </w:tc>
        <w:tc>
          <w:tcPr>
            <w:tcW w:w="1482" w:type="dxa"/>
            <w:vAlign w:val="center"/>
            <w:hideMark/>
          </w:tcPr>
          <w:p w14:paraId="78ABB91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$56,000</w:t>
            </w:r>
          </w:p>
        </w:tc>
        <w:tc>
          <w:tcPr>
            <w:tcW w:w="1467" w:type="dxa"/>
            <w:vAlign w:val="center"/>
            <w:hideMark/>
          </w:tcPr>
          <w:p w14:paraId="6EE8E47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$57,000</w:t>
            </w:r>
          </w:p>
        </w:tc>
      </w:tr>
      <w:tr w:rsidR="00E7618B" w:rsidRPr="004520B9" w14:paraId="55C9B8F5" w14:textId="77777777" w:rsidTr="004F6B8F">
        <w:trPr>
          <w:tblCellSpacing w:w="15" w:type="dxa"/>
        </w:trPr>
        <w:tc>
          <w:tcPr>
            <w:tcW w:w="580" w:type="dxa"/>
            <w:vAlign w:val="center"/>
            <w:hideMark/>
          </w:tcPr>
          <w:p w14:paraId="3283F856"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10</w:t>
            </w:r>
          </w:p>
        </w:tc>
        <w:tc>
          <w:tcPr>
            <w:tcW w:w="1482" w:type="dxa"/>
            <w:vAlign w:val="center"/>
            <w:hideMark/>
          </w:tcPr>
          <w:p w14:paraId="0BDACE3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$48,500</w:t>
            </w:r>
          </w:p>
        </w:tc>
        <w:tc>
          <w:tcPr>
            <w:tcW w:w="1482" w:type="dxa"/>
            <w:vAlign w:val="center"/>
            <w:hideMark/>
          </w:tcPr>
          <w:p w14:paraId="6424E432"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$49,500</w:t>
            </w:r>
          </w:p>
        </w:tc>
        <w:tc>
          <w:tcPr>
            <w:tcW w:w="1482" w:type="dxa"/>
            <w:vAlign w:val="center"/>
            <w:hideMark/>
          </w:tcPr>
          <w:p w14:paraId="76534D6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$52,500</w:t>
            </w:r>
          </w:p>
        </w:tc>
        <w:tc>
          <w:tcPr>
            <w:tcW w:w="1482" w:type="dxa"/>
            <w:vAlign w:val="center"/>
            <w:hideMark/>
          </w:tcPr>
          <w:p w14:paraId="74CDFA5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$55,500</w:t>
            </w:r>
          </w:p>
        </w:tc>
        <w:tc>
          <w:tcPr>
            <w:tcW w:w="1482" w:type="dxa"/>
            <w:vAlign w:val="center"/>
            <w:hideMark/>
          </w:tcPr>
          <w:p w14:paraId="1D0A51E6"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$56,500</w:t>
            </w:r>
          </w:p>
        </w:tc>
        <w:tc>
          <w:tcPr>
            <w:tcW w:w="1467" w:type="dxa"/>
            <w:vAlign w:val="center"/>
            <w:hideMark/>
          </w:tcPr>
          <w:p w14:paraId="2FF49A2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$57,500</w:t>
            </w:r>
          </w:p>
        </w:tc>
      </w:tr>
      <w:tr w:rsidR="00E7618B" w:rsidRPr="004520B9" w14:paraId="1533ADE6" w14:textId="77777777" w:rsidTr="004F6B8F">
        <w:trPr>
          <w:tblCellSpacing w:w="15" w:type="dxa"/>
        </w:trPr>
        <w:tc>
          <w:tcPr>
            <w:tcW w:w="580" w:type="dxa"/>
            <w:vAlign w:val="center"/>
            <w:hideMark/>
          </w:tcPr>
          <w:p w14:paraId="36C9681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11</w:t>
            </w:r>
          </w:p>
        </w:tc>
        <w:tc>
          <w:tcPr>
            <w:tcW w:w="1482" w:type="dxa"/>
            <w:vAlign w:val="center"/>
            <w:hideMark/>
          </w:tcPr>
          <w:p w14:paraId="67AB396F"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$49,000</w:t>
            </w:r>
          </w:p>
        </w:tc>
        <w:tc>
          <w:tcPr>
            <w:tcW w:w="1482" w:type="dxa"/>
            <w:vAlign w:val="center"/>
            <w:hideMark/>
          </w:tcPr>
          <w:p w14:paraId="2EC7339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$50,000</w:t>
            </w:r>
          </w:p>
        </w:tc>
        <w:tc>
          <w:tcPr>
            <w:tcW w:w="1482" w:type="dxa"/>
            <w:vAlign w:val="center"/>
            <w:hideMark/>
          </w:tcPr>
          <w:p w14:paraId="2B11E5C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$53,000</w:t>
            </w:r>
          </w:p>
        </w:tc>
        <w:tc>
          <w:tcPr>
            <w:tcW w:w="1482" w:type="dxa"/>
            <w:vAlign w:val="center"/>
            <w:hideMark/>
          </w:tcPr>
          <w:p w14:paraId="68A9655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$56,000</w:t>
            </w:r>
          </w:p>
        </w:tc>
        <w:tc>
          <w:tcPr>
            <w:tcW w:w="1482" w:type="dxa"/>
            <w:vAlign w:val="center"/>
            <w:hideMark/>
          </w:tcPr>
          <w:p w14:paraId="45A207E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$57,000</w:t>
            </w:r>
          </w:p>
        </w:tc>
        <w:tc>
          <w:tcPr>
            <w:tcW w:w="1467" w:type="dxa"/>
            <w:vAlign w:val="center"/>
            <w:hideMark/>
          </w:tcPr>
          <w:p w14:paraId="741643C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$58,000</w:t>
            </w:r>
          </w:p>
        </w:tc>
      </w:tr>
      <w:tr w:rsidR="00E7618B" w:rsidRPr="004520B9" w14:paraId="2BBC87F9" w14:textId="77777777" w:rsidTr="004F6B8F">
        <w:trPr>
          <w:tblCellSpacing w:w="15" w:type="dxa"/>
        </w:trPr>
        <w:tc>
          <w:tcPr>
            <w:tcW w:w="580" w:type="dxa"/>
            <w:vAlign w:val="center"/>
            <w:hideMark/>
          </w:tcPr>
          <w:p w14:paraId="7AA2FA7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12</w:t>
            </w:r>
          </w:p>
        </w:tc>
        <w:tc>
          <w:tcPr>
            <w:tcW w:w="1482" w:type="dxa"/>
            <w:vAlign w:val="center"/>
            <w:hideMark/>
          </w:tcPr>
          <w:p w14:paraId="596E892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$49,500</w:t>
            </w:r>
          </w:p>
        </w:tc>
        <w:tc>
          <w:tcPr>
            <w:tcW w:w="1482" w:type="dxa"/>
            <w:vAlign w:val="center"/>
            <w:hideMark/>
          </w:tcPr>
          <w:p w14:paraId="008FAD4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$50,500</w:t>
            </w:r>
          </w:p>
        </w:tc>
        <w:tc>
          <w:tcPr>
            <w:tcW w:w="1482" w:type="dxa"/>
            <w:vAlign w:val="center"/>
            <w:hideMark/>
          </w:tcPr>
          <w:p w14:paraId="22F8358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$53,500</w:t>
            </w:r>
          </w:p>
        </w:tc>
        <w:tc>
          <w:tcPr>
            <w:tcW w:w="1482" w:type="dxa"/>
            <w:vAlign w:val="center"/>
            <w:hideMark/>
          </w:tcPr>
          <w:p w14:paraId="272AF5C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$56,500</w:t>
            </w:r>
          </w:p>
        </w:tc>
        <w:tc>
          <w:tcPr>
            <w:tcW w:w="1482" w:type="dxa"/>
            <w:vAlign w:val="center"/>
            <w:hideMark/>
          </w:tcPr>
          <w:p w14:paraId="3623C84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$57,500</w:t>
            </w:r>
          </w:p>
        </w:tc>
        <w:tc>
          <w:tcPr>
            <w:tcW w:w="1467" w:type="dxa"/>
            <w:vAlign w:val="center"/>
            <w:hideMark/>
          </w:tcPr>
          <w:p w14:paraId="15C7C425"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$58,500</w:t>
            </w:r>
          </w:p>
        </w:tc>
      </w:tr>
      <w:tr w:rsidR="00E7618B" w:rsidRPr="004520B9" w14:paraId="27FD1539" w14:textId="77777777" w:rsidTr="004F6B8F">
        <w:trPr>
          <w:tblCellSpacing w:w="15" w:type="dxa"/>
        </w:trPr>
        <w:tc>
          <w:tcPr>
            <w:tcW w:w="580" w:type="dxa"/>
            <w:vAlign w:val="center"/>
            <w:hideMark/>
          </w:tcPr>
          <w:p w14:paraId="7AB92EB3"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13</w:t>
            </w:r>
          </w:p>
        </w:tc>
        <w:tc>
          <w:tcPr>
            <w:tcW w:w="1482" w:type="dxa"/>
            <w:vAlign w:val="center"/>
            <w:hideMark/>
          </w:tcPr>
          <w:p w14:paraId="2D4181A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$50,000</w:t>
            </w:r>
          </w:p>
        </w:tc>
        <w:tc>
          <w:tcPr>
            <w:tcW w:w="1482" w:type="dxa"/>
            <w:vAlign w:val="center"/>
            <w:hideMark/>
          </w:tcPr>
          <w:p w14:paraId="45181B5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$51,000</w:t>
            </w:r>
          </w:p>
        </w:tc>
        <w:tc>
          <w:tcPr>
            <w:tcW w:w="1482" w:type="dxa"/>
            <w:vAlign w:val="center"/>
            <w:hideMark/>
          </w:tcPr>
          <w:p w14:paraId="48DCD3F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$54,000</w:t>
            </w:r>
          </w:p>
        </w:tc>
        <w:tc>
          <w:tcPr>
            <w:tcW w:w="1482" w:type="dxa"/>
            <w:vAlign w:val="center"/>
            <w:hideMark/>
          </w:tcPr>
          <w:p w14:paraId="5ABD310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$57,000</w:t>
            </w:r>
          </w:p>
        </w:tc>
        <w:tc>
          <w:tcPr>
            <w:tcW w:w="1482" w:type="dxa"/>
            <w:vAlign w:val="center"/>
            <w:hideMark/>
          </w:tcPr>
          <w:p w14:paraId="270FBD0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$58,000</w:t>
            </w:r>
          </w:p>
        </w:tc>
        <w:tc>
          <w:tcPr>
            <w:tcW w:w="1467" w:type="dxa"/>
            <w:vAlign w:val="center"/>
            <w:hideMark/>
          </w:tcPr>
          <w:p w14:paraId="21D29DD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$59,000</w:t>
            </w:r>
          </w:p>
        </w:tc>
      </w:tr>
      <w:tr w:rsidR="00E7618B" w:rsidRPr="004520B9" w14:paraId="3C2C6AE1" w14:textId="77777777" w:rsidTr="004F6B8F">
        <w:trPr>
          <w:tblCellSpacing w:w="15" w:type="dxa"/>
        </w:trPr>
        <w:tc>
          <w:tcPr>
            <w:tcW w:w="580" w:type="dxa"/>
            <w:vAlign w:val="center"/>
            <w:hideMark/>
          </w:tcPr>
          <w:p w14:paraId="3323EB52"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14</w:t>
            </w:r>
          </w:p>
        </w:tc>
        <w:tc>
          <w:tcPr>
            <w:tcW w:w="1482" w:type="dxa"/>
            <w:vAlign w:val="center"/>
            <w:hideMark/>
          </w:tcPr>
          <w:p w14:paraId="04078ACD"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$50,500</w:t>
            </w:r>
          </w:p>
        </w:tc>
        <w:tc>
          <w:tcPr>
            <w:tcW w:w="1482" w:type="dxa"/>
            <w:vAlign w:val="center"/>
            <w:hideMark/>
          </w:tcPr>
          <w:p w14:paraId="30647E11"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$51,500</w:t>
            </w:r>
          </w:p>
        </w:tc>
        <w:tc>
          <w:tcPr>
            <w:tcW w:w="1482" w:type="dxa"/>
            <w:vAlign w:val="center"/>
            <w:hideMark/>
          </w:tcPr>
          <w:p w14:paraId="1A45105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$54,500</w:t>
            </w:r>
          </w:p>
        </w:tc>
        <w:tc>
          <w:tcPr>
            <w:tcW w:w="1482" w:type="dxa"/>
            <w:vAlign w:val="center"/>
            <w:hideMark/>
          </w:tcPr>
          <w:p w14:paraId="6691B6D8"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$57,500</w:t>
            </w:r>
          </w:p>
        </w:tc>
        <w:tc>
          <w:tcPr>
            <w:tcW w:w="1482" w:type="dxa"/>
            <w:vAlign w:val="center"/>
            <w:hideMark/>
          </w:tcPr>
          <w:p w14:paraId="7F206E5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$58,500</w:t>
            </w:r>
          </w:p>
        </w:tc>
        <w:tc>
          <w:tcPr>
            <w:tcW w:w="1467" w:type="dxa"/>
            <w:vAlign w:val="center"/>
            <w:hideMark/>
          </w:tcPr>
          <w:p w14:paraId="1A369CDC"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$59,500</w:t>
            </w:r>
          </w:p>
        </w:tc>
      </w:tr>
      <w:tr w:rsidR="00E7618B" w:rsidRPr="004520B9" w14:paraId="2DEDA74E" w14:textId="77777777" w:rsidTr="004F6B8F">
        <w:trPr>
          <w:tblCellSpacing w:w="15" w:type="dxa"/>
        </w:trPr>
        <w:tc>
          <w:tcPr>
            <w:tcW w:w="580" w:type="dxa"/>
            <w:vAlign w:val="center"/>
            <w:hideMark/>
          </w:tcPr>
          <w:p w14:paraId="0F0D141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15</w:t>
            </w:r>
          </w:p>
        </w:tc>
        <w:tc>
          <w:tcPr>
            <w:tcW w:w="1482" w:type="dxa"/>
            <w:vAlign w:val="center"/>
            <w:hideMark/>
          </w:tcPr>
          <w:p w14:paraId="03C9058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$51,000</w:t>
            </w:r>
          </w:p>
        </w:tc>
        <w:tc>
          <w:tcPr>
            <w:tcW w:w="1482" w:type="dxa"/>
            <w:vAlign w:val="center"/>
            <w:hideMark/>
          </w:tcPr>
          <w:p w14:paraId="51E61550"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$52,000</w:t>
            </w:r>
          </w:p>
        </w:tc>
        <w:tc>
          <w:tcPr>
            <w:tcW w:w="1482" w:type="dxa"/>
            <w:vAlign w:val="center"/>
            <w:hideMark/>
          </w:tcPr>
          <w:p w14:paraId="02CC6EEA"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$55,000</w:t>
            </w:r>
          </w:p>
        </w:tc>
        <w:tc>
          <w:tcPr>
            <w:tcW w:w="1482" w:type="dxa"/>
            <w:vAlign w:val="center"/>
            <w:hideMark/>
          </w:tcPr>
          <w:p w14:paraId="77C7BA1B"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$58,000</w:t>
            </w:r>
          </w:p>
        </w:tc>
        <w:tc>
          <w:tcPr>
            <w:tcW w:w="1482" w:type="dxa"/>
            <w:vAlign w:val="center"/>
            <w:hideMark/>
          </w:tcPr>
          <w:p w14:paraId="443B995E"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$59,000</w:t>
            </w:r>
          </w:p>
        </w:tc>
        <w:tc>
          <w:tcPr>
            <w:tcW w:w="1467" w:type="dxa"/>
            <w:vAlign w:val="center"/>
            <w:hideMark/>
          </w:tcPr>
          <w:p w14:paraId="3D7789C9" w14:textId="77777777" w:rsidR="00E7618B" w:rsidRPr="004520B9" w:rsidRDefault="00E7618B" w:rsidP="004F6B8F">
            <w:pPr>
              <w:spacing w:after="60" w:line="276" w:lineRule="auto"/>
              <w:ind w:firstLine="0"/>
              <w:rPr>
                <w:rFonts w:ascii="Calibri" w:hAnsi="Calibri" w:cs="Calibri"/>
                <w:sz w:val="22"/>
                <w:szCs w:val="22"/>
                <w:lang w:val="en-US"/>
              </w:rPr>
            </w:pPr>
            <w:r w:rsidRPr="004520B9">
              <w:rPr>
                <w:rFonts w:ascii="Calibri" w:hAnsi="Calibri" w:cs="Calibri"/>
                <w:sz w:val="22"/>
                <w:szCs w:val="22"/>
                <w:lang w:val="en-US"/>
              </w:rPr>
              <w:t>$60,000</w:t>
            </w:r>
          </w:p>
        </w:tc>
      </w:tr>
    </w:tbl>
    <w:p w14:paraId="11383986" w14:textId="77777777" w:rsidR="00E7618B" w:rsidRPr="004520B9" w:rsidRDefault="00E7618B" w:rsidP="00E7618B">
      <w:pPr>
        <w:spacing w:after="60" w:line="276" w:lineRule="auto"/>
        <w:ind w:firstLine="0"/>
        <w:rPr>
          <w:rFonts w:ascii="Calibri" w:hAnsi="Calibri" w:cs="Calibri"/>
          <w:b/>
          <w:bCs/>
          <w:color w:val="002060"/>
          <w:sz w:val="22"/>
          <w:szCs w:val="22"/>
          <w:lang w:val="en-US"/>
        </w:rPr>
      </w:pPr>
      <w:r w:rsidRPr="004520B9">
        <w:rPr>
          <w:rFonts w:ascii="Calibri" w:hAnsi="Calibri" w:cs="Calibri"/>
          <w:b/>
          <w:bCs/>
          <w:color w:val="002060"/>
          <w:sz w:val="22"/>
          <w:szCs w:val="22"/>
          <w:lang w:val="en-US"/>
        </w:rPr>
        <w:lastRenderedPageBreak/>
        <w:t>Key Features of the Instructional Staff Salary Progression Plan</w:t>
      </w:r>
    </w:p>
    <w:p w14:paraId="35038985" w14:textId="77777777" w:rsidR="00E7618B" w:rsidRPr="004520B9" w:rsidRDefault="00E7618B" w:rsidP="00E7618B">
      <w:pPr>
        <w:numPr>
          <w:ilvl w:val="0"/>
          <w:numId w:val="3"/>
        </w:numPr>
        <w:spacing w:after="60" w:line="276" w:lineRule="auto"/>
        <w:rPr>
          <w:rFonts w:ascii="Calibri" w:hAnsi="Calibri" w:cs="Calibri"/>
          <w:sz w:val="22"/>
          <w:szCs w:val="22"/>
          <w:lang w:val="en-US"/>
        </w:rPr>
      </w:pPr>
      <w:r w:rsidRPr="004520B9">
        <w:rPr>
          <w:rFonts w:ascii="Calibri" w:hAnsi="Calibri" w:cs="Calibri"/>
          <w:b/>
          <w:bCs/>
          <w:sz w:val="22"/>
          <w:szCs w:val="22"/>
          <w:lang w:val="en-US"/>
        </w:rPr>
        <w:t>Tiered Compensation by Credential Level</w:t>
      </w:r>
      <w:r w:rsidRPr="004520B9">
        <w:rPr>
          <w:rFonts w:ascii="Calibri" w:hAnsi="Calibri" w:cs="Calibri"/>
          <w:sz w:val="22"/>
          <w:szCs w:val="22"/>
          <w:lang w:val="en-US"/>
        </w:rPr>
        <w:br/>
        <w:t>Educators are compensated based on their highest attained degree or certification, promoting continued education and professional development.</w:t>
      </w:r>
    </w:p>
    <w:p w14:paraId="63BF83DD" w14:textId="77777777" w:rsidR="00E7618B" w:rsidRPr="004520B9" w:rsidRDefault="00E7618B" w:rsidP="00E7618B">
      <w:pPr>
        <w:numPr>
          <w:ilvl w:val="0"/>
          <w:numId w:val="3"/>
        </w:numPr>
        <w:spacing w:after="60" w:line="276" w:lineRule="auto"/>
        <w:rPr>
          <w:rFonts w:ascii="Calibri" w:hAnsi="Calibri" w:cs="Calibri"/>
          <w:sz w:val="22"/>
          <w:szCs w:val="22"/>
          <w:lang w:val="en-US"/>
        </w:rPr>
      </w:pPr>
      <w:r w:rsidRPr="004520B9">
        <w:rPr>
          <w:rFonts w:ascii="Calibri" w:hAnsi="Calibri" w:cs="Calibri"/>
          <w:b/>
          <w:bCs/>
          <w:sz w:val="22"/>
          <w:szCs w:val="22"/>
          <w:lang w:val="en-US"/>
        </w:rPr>
        <w:t>Equitable, Predictable Growth</w:t>
      </w:r>
      <w:r w:rsidRPr="004520B9">
        <w:rPr>
          <w:rFonts w:ascii="Calibri" w:hAnsi="Calibri" w:cs="Calibri"/>
          <w:sz w:val="22"/>
          <w:szCs w:val="22"/>
          <w:lang w:val="en-US"/>
        </w:rPr>
        <w:br/>
        <w:t>Each role within the instructional team is included in the step plan, ensuring transparent and consistent pay increases across all content areas and specialties.</w:t>
      </w:r>
    </w:p>
    <w:p w14:paraId="4532993D" w14:textId="77777777" w:rsidR="00E7618B" w:rsidRPr="004520B9" w:rsidRDefault="00E7618B" w:rsidP="00E7618B">
      <w:pPr>
        <w:numPr>
          <w:ilvl w:val="0"/>
          <w:numId w:val="3"/>
        </w:numPr>
        <w:spacing w:after="60" w:line="276" w:lineRule="auto"/>
        <w:rPr>
          <w:rFonts w:ascii="Calibri" w:hAnsi="Calibri" w:cs="Calibri"/>
          <w:sz w:val="22"/>
          <w:szCs w:val="22"/>
          <w:lang w:val="en-US"/>
        </w:rPr>
      </w:pPr>
      <w:r w:rsidRPr="004520B9">
        <w:rPr>
          <w:rFonts w:ascii="Calibri" w:hAnsi="Calibri" w:cs="Calibri"/>
          <w:b/>
          <w:bCs/>
          <w:sz w:val="22"/>
          <w:szCs w:val="22"/>
          <w:lang w:val="en-US"/>
        </w:rPr>
        <w:t>Retention-Oriented Design</w:t>
      </w:r>
      <w:r w:rsidRPr="004520B9">
        <w:rPr>
          <w:rFonts w:ascii="Calibri" w:hAnsi="Calibri" w:cs="Calibri"/>
          <w:sz w:val="22"/>
          <w:szCs w:val="22"/>
          <w:lang w:val="en-US"/>
        </w:rPr>
        <w:br/>
        <w:t>Incremental annual raises reinforce long-term commitment, minimize turnover, and support the growth of a mission-aligned instructional community.</w:t>
      </w:r>
    </w:p>
    <w:p w14:paraId="412D9ED7" w14:textId="77777777" w:rsidR="00E7618B" w:rsidRPr="004520B9" w:rsidRDefault="00E7618B" w:rsidP="00E7618B">
      <w:pPr>
        <w:numPr>
          <w:ilvl w:val="0"/>
          <w:numId w:val="3"/>
        </w:numPr>
        <w:spacing w:after="60" w:line="276" w:lineRule="auto"/>
        <w:rPr>
          <w:rFonts w:ascii="Calibri" w:hAnsi="Calibri" w:cs="Calibri"/>
          <w:sz w:val="22"/>
          <w:szCs w:val="22"/>
          <w:lang w:val="en-US"/>
        </w:rPr>
      </w:pPr>
      <w:r w:rsidRPr="004520B9">
        <w:rPr>
          <w:rFonts w:ascii="Calibri" w:hAnsi="Calibri" w:cs="Calibri"/>
          <w:b/>
          <w:bCs/>
          <w:sz w:val="22"/>
          <w:szCs w:val="22"/>
          <w:lang w:val="en-US"/>
        </w:rPr>
        <w:t>Performance Accountability</w:t>
      </w:r>
      <w:r w:rsidRPr="004520B9">
        <w:rPr>
          <w:rFonts w:ascii="Calibri" w:hAnsi="Calibri" w:cs="Calibri"/>
          <w:sz w:val="22"/>
          <w:szCs w:val="22"/>
          <w:lang w:val="en-US"/>
        </w:rPr>
        <w:br/>
        <w:t>Step advancement is contingent on satisfactory performance as defined by ALA’s teacher evaluation framework. Those not meeting expectations may have progression paused and be supported through a professional growth plan.</w:t>
      </w:r>
    </w:p>
    <w:p w14:paraId="0E33643E" w14:textId="77777777" w:rsidR="00E7618B" w:rsidRPr="004520B9" w:rsidRDefault="00E7618B" w:rsidP="00E7618B">
      <w:pPr>
        <w:pStyle w:val="ListParagraph"/>
        <w:spacing w:after="60" w:line="276" w:lineRule="auto"/>
        <w:ind w:left="0" w:firstLine="0"/>
        <w:jc w:val="center"/>
        <w:rPr>
          <w:rFonts w:ascii="Calibri" w:hAnsi="Calibri" w:cs="Calibri"/>
          <w:b/>
          <w:bCs/>
          <w:color w:val="002060"/>
          <w:sz w:val="22"/>
          <w:szCs w:val="22"/>
        </w:rPr>
      </w:pPr>
      <w:r w:rsidRPr="004520B9">
        <w:rPr>
          <w:rFonts w:ascii="Calibri" w:hAnsi="Calibri" w:cs="Calibri"/>
          <w:b/>
          <w:bCs/>
          <w:color w:val="002060"/>
          <w:sz w:val="22"/>
          <w:szCs w:val="22"/>
        </w:rPr>
        <w:t>Support Staff Hourly Table – 5-Year Progression</w:t>
      </w:r>
    </w:p>
    <w:p w14:paraId="64995299" w14:textId="77777777" w:rsidR="00E7618B" w:rsidRPr="004520B9" w:rsidRDefault="00E7618B" w:rsidP="00E7618B">
      <w:pPr>
        <w:spacing w:after="60" w:line="276" w:lineRule="auto"/>
        <w:ind w:firstLine="720"/>
        <w:rPr>
          <w:rFonts w:ascii="Calibri" w:hAnsi="Calibri" w:cs="Calibri"/>
          <w:sz w:val="22"/>
          <w:szCs w:val="22"/>
          <w:lang w:val="en-US"/>
        </w:rPr>
      </w:pPr>
      <w:r w:rsidRPr="004520B9">
        <w:rPr>
          <w:rFonts w:ascii="Calibri" w:hAnsi="Calibri" w:cs="Calibri"/>
          <w:sz w:val="22"/>
          <w:szCs w:val="22"/>
          <w:lang w:val="en-US"/>
        </w:rPr>
        <w:t>ALA maintains a Support Staff Hourly Progression Plan to provide fair, consistent, and motivating compensation for the school’s essential support personnel. This five-year progression model applies to roles including SPED paraprofessionals, facilities and janitorial staff, administrative assistants, and instructional tutors. Hourly wage increases are structured annually, beginning with a standardized starting rate and progressing to the maximum hourly rate by the fifth year. Advancement is based on continued service, satisfactory performance, and demonstrated reliability, reinforcing ALA’s commitment to valuing the critical contributions of its support staff in maintaining a safe, efficient, and student-centered learning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0"/>
        <w:gridCol w:w="1690"/>
        <w:gridCol w:w="828"/>
        <w:gridCol w:w="813"/>
        <w:gridCol w:w="793"/>
        <w:gridCol w:w="1516"/>
      </w:tblGrid>
      <w:tr w:rsidR="00E7618B" w:rsidRPr="004520B9" w14:paraId="7A89C27A" w14:textId="77777777" w:rsidTr="004F6B8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69029AA3" w14:textId="77777777" w:rsidR="00E7618B" w:rsidRPr="004520B9" w:rsidRDefault="00E7618B" w:rsidP="004F6B8F">
            <w:pPr>
              <w:spacing w:after="60" w:line="276" w:lineRule="auto"/>
              <w:ind w:left="123" w:firstLine="0"/>
              <w:jc w:val="center"/>
              <w:rPr>
                <w:rFonts w:ascii="Calibri" w:hAnsi="Calibri" w:cs="Calibri"/>
                <w:sz w:val="22"/>
                <w:szCs w:val="22"/>
                <w:lang w:val="en-US"/>
              </w:rPr>
            </w:pPr>
            <w:r w:rsidRPr="004520B9">
              <w:rPr>
                <w:rFonts w:ascii="Calibri" w:hAnsi="Calibri" w:cs="Calibri"/>
                <w:sz w:val="22"/>
                <w:szCs w:val="22"/>
                <w:lang w:val="en-US"/>
              </w:rPr>
              <w:t>Position</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3F33E00"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Year 1</w:t>
            </w:r>
          </w:p>
          <w:p w14:paraId="459E5739"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(Starting Hourly)</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6684FBA6"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 2</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16B6F642"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 3</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04120B7C" w14:textId="77777777" w:rsidR="00E7618B" w:rsidRPr="004520B9" w:rsidRDefault="00E7618B" w:rsidP="004F6B8F">
            <w:pPr>
              <w:spacing w:after="60" w:line="276" w:lineRule="auto"/>
              <w:ind w:firstLine="0"/>
              <w:jc w:val="center"/>
              <w:rPr>
                <w:rFonts w:ascii="Calibri" w:hAnsi="Calibri" w:cs="Calibri"/>
                <w:sz w:val="22"/>
                <w:szCs w:val="22"/>
                <w:lang w:val="en-US"/>
              </w:rPr>
            </w:pPr>
            <w:r w:rsidRPr="004520B9">
              <w:rPr>
                <w:rFonts w:ascii="Calibri" w:hAnsi="Calibri" w:cs="Calibri"/>
                <w:sz w:val="22"/>
                <w:szCs w:val="22"/>
                <w:lang w:val="en-US"/>
              </w:rPr>
              <w:t>Year 4</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34F4ECA"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Year 5</w:t>
            </w:r>
          </w:p>
          <w:p w14:paraId="548E84CE"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(Max Hourly)</w:t>
            </w:r>
          </w:p>
        </w:tc>
      </w:tr>
      <w:tr w:rsidR="00E7618B" w:rsidRPr="004520B9" w14:paraId="7882F804" w14:textId="77777777" w:rsidTr="004F6B8F">
        <w:trPr>
          <w:tblCellSpacing w:w="15" w:type="dxa"/>
        </w:trPr>
        <w:tc>
          <w:tcPr>
            <w:tcW w:w="0" w:type="auto"/>
            <w:vAlign w:val="center"/>
            <w:hideMark/>
          </w:tcPr>
          <w:p w14:paraId="11F6B4E4"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SPED Paraprofessionals</w:t>
            </w:r>
          </w:p>
        </w:tc>
        <w:tc>
          <w:tcPr>
            <w:tcW w:w="0" w:type="auto"/>
            <w:vAlign w:val="center"/>
            <w:hideMark/>
          </w:tcPr>
          <w:p w14:paraId="408637F7"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$20</w:t>
            </w:r>
          </w:p>
        </w:tc>
        <w:tc>
          <w:tcPr>
            <w:tcW w:w="0" w:type="auto"/>
            <w:vAlign w:val="center"/>
            <w:hideMark/>
          </w:tcPr>
          <w:p w14:paraId="781DCDDA" w14:textId="77777777" w:rsidR="00E7618B" w:rsidRPr="004520B9" w:rsidRDefault="00E7618B" w:rsidP="004F6B8F">
            <w:pPr>
              <w:spacing w:after="60" w:line="276" w:lineRule="auto"/>
              <w:ind w:firstLine="413"/>
              <w:jc w:val="center"/>
              <w:rPr>
                <w:rFonts w:ascii="Calibri" w:hAnsi="Calibri" w:cs="Calibri"/>
                <w:sz w:val="22"/>
                <w:szCs w:val="22"/>
                <w:lang w:val="en-US"/>
              </w:rPr>
            </w:pPr>
            <w:r w:rsidRPr="004520B9">
              <w:rPr>
                <w:rFonts w:ascii="Calibri" w:hAnsi="Calibri" w:cs="Calibri"/>
                <w:sz w:val="22"/>
                <w:szCs w:val="22"/>
                <w:lang w:val="en-US"/>
              </w:rPr>
              <w:t>$21</w:t>
            </w:r>
          </w:p>
        </w:tc>
        <w:tc>
          <w:tcPr>
            <w:tcW w:w="0" w:type="auto"/>
            <w:vAlign w:val="center"/>
            <w:hideMark/>
          </w:tcPr>
          <w:p w14:paraId="2A6F1D35" w14:textId="77777777" w:rsidR="00E7618B" w:rsidRPr="004520B9" w:rsidRDefault="00E7618B" w:rsidP="004F6B8F">
            <w:pPr>
              <w:spacing w:after="60" w:line="276" w:lineRule="auto"/>
              <w:ind w:firstLine="398"/>
              <w:jc w:val="center"/>
              <w:rPr>
                <w:rFonts w:ascii="Calibri" w:hAnsi="Calibri" w:cs="Calibri"/>
                <w:sz w:val="22"/>
                <w:szCs w:val="22"/>
                <w:lang w:val="en-US"/>
              </w:rPr>
            </w:pPr>
            <w:r w:rsidRPr="004520B9">
              <w:rPr>
                <w:rFonts w:ascii="Calibri" w:hAnsi="Calibri" w:cs="Calibri"/>
                <w:sz w:val="22"/>
                <w:szCs w:val="22"/>
                <w:lang w:val="en-US"/>
              </w:rPr>
              <w:t>$22</w:t>
            </w:r>
          </w:p>
        </w:tc>
        <w:tc>
          <w:tcPr>
            <w:tcW w:w="0" w:type="auto"/>
            <w:vAlign w:val="center"/>
            <w:hideMark/>
          </w:tcPr>
          <w:p w14:paraId="03C03B39" w14:textId="77777777" w:rsidR="00E7618B" w:rsidRPr="004520B9" w:rsidRDefault="00E7618B" w:rsidP="004F6B8F">
            <w:pPr>
              <w:spacing w:after="60" w:line="276" w:lineRule="auto"/>
              <w:ind w:firstLine="378"/>
              <w:jc w:val="center"/>
              <w:rPr>
                <w:rFonts w:ascii="Calibri" w:hAnsi="Calibri" w:cs="Calibri"/>
                <w:sz w:val="22"/>
                <w:szCs w:val="22"/>
                <w:lang w:val="en-US"/>
              </w:rPr>
            </w:pPr>
            <w:r w:rsidRPr="004520B9">
              <w:rPr>
                <w:rFonts w:ascii="Calibri" w:hAnsi="Calibri" w:cs="Calibri"/>
                <w:sz w:val="22"/>
                <w:szCs w:val="22"/>
                <w:lang w:val="en-US"/>
              </w:rPr>
              <w:t>$23</w:t>
            </w:r>
          </w:p>
        </w:tc>
        <w:tc>
          <w:tcPr>
            <w:tcW w:w="0" w:type="auto"/>
            <w:vAlign w:val="center"/>
            <w:hideMark/>
          </w:tcPr>
          <w:p w14:paraId="00AC9955"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$24</w:t>
            </w:r>
          </w:p>
        </w:tc>
      </w:tr>
      <w:tr w:rsidR="00E7618B" w:rsidRPr="004520B9" w14:paraId="36BB200B" w14:textId="77777777" w:rsidTr="004F6B8F">
        <w:trPr>
          <w:tblCellSpacing w:w="15" w:type="dxa"/>
        </w:trPr>
        <w:tc>
          <w:tcPr>
            <w:tcW w:w="0" w:type="auto"/>
            <w:vAlign w:val="center"/>
            <w:hideMark/>
          </w:tcPr>
          <w:p w14:paraId="53719CC0"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Facilities Maintenance &amp; Janitorial Staff</w:t>
            </w:r>
          </w:p>
        </w:tc>
        <w:tc>
          <w:tcPr>
            <w:tcW w:w="0" w:type="auto"/>
            <w:vAlign w:val="center"/>
            <w:hideMark/>
          </w:tcPr>
          <w:p w14:paraId="48975B53"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$20</w:t>
            </w:r>
          </w:p>
        </w:tc>
        <w:tc>
          <w:tcPr>
            <w:tcW w:w="0" w:type="auto"/>
            <w:vAlign w:val="center"/>
            <w:hideMark/>
          </w:tcPr>
          <w:p w14:paraId="7197565E" w14:textId="77777777" w:rsidR="00E7618B" w:rsidRPr="004520B9" w:rsidRDefault="00E7618B" w:rsidP="004F6B8F">
            <w:pPr>
              <w:spacing w:after="60" w:line="276" w:lineRule="auto"/>
              <w:ind w:firstLine="413"/>
              <w:jc w:val="center"/>
              <w:rPr>
                <w:rFonts w:ascii="Calibri" w:hAnsi="Calibri" w:cs="Calibri"/>
                <w:sz w:val="22"/>
                <w:szCs w:val="22"/>
                <w:lang w:val="en-US"/>
              </w:rPr>
            </w:pPr>
            <w:r w:rsidRPr="004520B9">
              <w:rPr>
                <w:rFonts w:ascii="Calibri" w:hAnsi="Calibri" w:cs="Calibri"/>
                <w:sz w:val="22"/>
                <w:szCs w:val="22"/>
                <w:lang w:val="en-US"/>
              </w:rPr>
              <w:t>$21</w:t>
            </w:r>
          </w:p>
        </w:tc>
        <w:tc>
          <w:tcPr>
            <w:tcW w:w="0" w:type="auto"/>
            <w:vAlign w:val="center"/>
            <w:hideMark/>
          </w:tcPr>
          <w:p w14:paraId="55D93E78" w14:textId="77777777" w:rsidR="00E7618B" w:rsidRPr="004520B9" w:rsidRDefault="00E7618B" w:rsidP="004F6B8F">
            <w:pPr>
              <w:spacing w:after="60" w:line="276" w:lineRule="auto"/>
              <w:ind w:firstLine="398"/>
              <w:jc w:val="center"/>
              <w:rPr>
                <w:rFonts w:ascii="Calibri" w:hAnsi="Calibri" w:cs="Calibri"/>
                <w:sz w:val="22"/>
                <w:szCs w:val="22"/>
                <w:lang w:val="en-US"/>
              </w:rPr>
            </w:pPr>
            <w:r w:rsidRPr="004520B9">
              <w:rPr>
                <w:rFonts w:ascii="Calibri" w:hAnsi="Calibri" w:cs="Calibri"/>
                <w:sz w:val="22"/>
                <w:szCs w:val="22"/>
                <w:lang w:val="en-US"/>
              </w:rPr>
              <w:t>$22</w:t>
            </w:r>
          </w:p>
        </w:tc>
        <w:tc>
          <w:tcPr>
            <w:tcW w:w="0" w:type="auto"/>
            <w:vAlign w:val="center"/>
            <w:hideMark/>
          </w:tcPr>
          <w:p w14:paraId="0A3E7835" w14:textId="77777777" w:rsidR="00E7618B" w:rsidRPr="004520B9" w:rsidRDefault="00E7618B" w:rsidP="004F6B8F">
            <w:pPr>
              <w:spacing w:after="60" w:line="276" w:lineRule="auto"/>
              <w:ind w:firstLine="378"/>
              <w:jc w:val="center"/>
              <w:rPr>
                <w:rFonts w:ascii="Calibri" w:hAnsi="Calibri" w:cs="Calibri"/>
                <w:sz w:val="22"/>
                <w:szCs w:val="22"/>
                <w:lang w:val="en-US"/>
              </w:rPr>
            </w:pPr>
            <w:r w:rsidRPr="004520B9">
              <w:rPr>
                <w:rFonts w:ascii="Calibri" w:hAnsi="Calibri" w:cs="Calibri"/>
                <w:sz w:val="22"/>
                <w:szCs w:val="22"/>
                <w:lang w:val="en-US"/>
              </w:rPr>
              <w:t>$23</w:t>
            </w:r>
          </w:p>
        </w:tc>
        <w:tc>
          <w:tcPr>
            <w:tcW w:w="0" w:type="auto"/>
            <w:vAlign w:val="center"/>
            <w:hideMark/>
          </w:tcPr>
          <w:p w14:paraId="19965156"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$24</w:t>
            </w:r>
          </w:p>
        </w:tc>
      </w:tr>
      <w:tr w:rsidR="00E7618B" w:rsidRPr="004520B9" w14:paraId="3692986F" w14:textId="77777777" w:rsidTr="004F6B8F">
        <w:trPr>
          <w:tblCellSpacing w:w="15" w:type="dxa"/>
        </w:trPr>
        <w:tc>
          <w:tcPr>
            <w:tcW w:w="0" w:type="auto"/>
            <w:vAlign w:val="center"/>
            <w:hideMark/>
          </w:tcPr>
          <w:p w14:paraId="43C90AA1"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Administrative Assistants</w:t>
            </w:r>
          </w:p>
        </w:tc>
        <w:tc>
          <w:tcPr>
            <w:tcW w:w="0" w:type="auto"/>
            <w:vAlign w:val="center"/>
            <w:hideMark/>
          </w:tcPr>
          <w:p w14:paraId="12A9AB04"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$20</w:t>
            </w:r>
          </w:p>
        </w:tc>
        <w:tc>
          <w:tcPr>
            <w:tcW w:w="0" w:type="auto"/>
            <w:vAlign w:val="center"/>
            <w:hideMark/>
          </w:tcPr>
          <w:p w14:paraId="12127AD8" w14:textId="77777777" w:rsidR="00E7618B" w:rsidRPr="004520B9" w:rsidRDefault="00E7618B" w:rsidP="004F6B8F">
            <w:pPr>
              <w:spacing w:after="60" w:line="276" w:lineRule="auto"/>
              <w:ind w:firstLine="413"/>
              <w:jc w:val="center"/>
              <w:rPr>
                <w:rFonts w:ascii="Calibri" w:hAnsi="Calibri" w:cs="Calibri"/>
                <w:sz w:val="22"/>
                <w:szCs w:val="22"/>
                <w:lang w:val="en-US"/>
              </w:rPr>
            </w:pPr>
            <w:r w:rsidRPr="004520B9">
              <w:rPr>
                <w:rFonts w:ascii="Calibri" w:hAnsi="Calibri" w:cs="Calibri"/>
                <w:sz w:val="22"/>
                <w:szCs w:val="22"/>
                <w:lang w:val="en-US"/>
              </w:rPr>
              <w:t>$21</w:t>
            </w:r>
          </w:p>
        </w:tc>
        <w:tc>
          <w:tcPr>
            <w:tcW w:w="0" w:type="auto"/>
            <w:vAlign w:val="center"/>
            <w:hideMark/>
          </w:tcPr>
          <w:p w14:paraId="69FF6165" w14:textId="77777777" w:rsidR="00E7618B" w:rsidRPr="004520B9" w:rsidRDefault="00E7618B" w:rsidP="004F6B8F">
            <w:pPr>
              <w:spacing w:after="60" w:line="276" w:lineRule="auto"/>
              <w:ind w:firstLine="398"/>
              <w:jc w:val="center"/>
              <w:rPr>
                <w:rFonts w:ascii="Calibri" w:hAnsi="Calibri" w:cs="Calibri"/>
                <w:sz w:val="22"/>
                <w:szCs w:val="22"/>
                <w:lang w:val="en-US"/>
              </w:rPr>
            </w:pPr>
            <w:r w:rsidRPr="004520B9">
              <w:rPr>
                <w:rFonts w:ascii="Calibri" w:hAnsi="Calibri" w:cs="Calibri"/>
                <w:sz w:val="22"/>
                <w:szCs w:val="22"/>
                <w:lang w:val="en-US"/>
              </w:rPr>
              <w:t>$22</w:t>
            </w:r>
          </w:p>
        </w:tc>
        <w:tc>
          <w:tcPr>
            <w:tcW w:w="0" w:type="auto"/>
            <w:vAlign w:val="center"/>
            <w:hideMark/>
          </w:tcPr>
          <w:p w14:paraId="054850FD" w14:textId="77777777" w:rsidR="00E7618B" w:rsidRPr="004520B9" w:rsidRDefault="00E7618B" w:rsidP="004F6B8F">
            <w:pPr>
              <w:spacing w:after="60" w:line="276" w:lineRule="auto"/>
              <w:ind w:firstLine="378"/>
              <w:jc w:val="center"/>
              <w:rPr>
                <w:rFonts w:ascii="Calibri" w:hAnsi="Calibri" w:cs="Calibri"/>
                <w:sz w:val="22"/>
                <w:szCs w:val="22"/>
                <w:lang w:val="en-US"/>
              </w:rPr>
            </w:pPr>
            <w:r w:rsidRPr="004520B9">
              <w:rPr>
                <w:rFonts w:ascii="Calibri" w:hAnsi="Calibri" w:cs="Calibri"/>
                <w:sz w:val="22"/>
                <w:szCs w:val="22"/>
                <w:lang w:val="en-US"/>
              </w:rPr>
              <w:t>$23</w:t>
            </w:r>
          </w:p>
        </w:tc>
        <w:tc>
          <w:tcPr>
            <w:tcW w:w="0" w:type="auto"/>
            <w:vAlign w:val="center"/>
            <w:hideMark/>
          </w:tcPr>
          <w:p w14:paraId="42579F99"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$24</w:t>
            </w:r>
          </w:p>
        </w:tc>
      </w:tr>
      <w:tr w:rsidR="00E7618B" w:rsidRPr="004520B9" w14:paraId="3FAD00AB" w14:textId="77777777" w:rsidTr="004F6B8F">
        <w:trPr>
          <w:tblCellSpacing w:w="15" w:type="dxa"/>
        </w:trPr>
        <w:tc>
          <w:tcPr>
            <w:tcW w:w="0" w:type="auto"/>
            <w:vAlign w:val="center"/>
          </w:tcPr>
          <w:p w14:paraId="30EEAAB9" w14:textId="77777777" w:rsidR="00E7618B" w:rsidRPr="004520B9" w:rsidRDefault="00E7618B" w:rsidP="004F6B8F">
            <w:pPr>
              <w:spacing w:after="60" w:line="276" w:lineRule="auto"/>
              <w:ind w:left="123" w:firstLine="0"/>
              <w:rPr>
                <w:rFonts w:ascii="Calibri" w:hAnsi="Calibri" w:cs="Calibri"/>
                <w:sz w:val="22"/>
                <w:szCs w:val="22"/>
                <w:lang w:val="en-US"/>
              </w:rPr>
            </w:pPr>
            <w:r w:rsidRPr="004520B9">
              <w:rPr>
                <w:rFonts w:ascii="Calibri" w:hAnsi="Calibri" w:cs="Calibri"/>
                <w:sz w:val="22"/>
                <w:szCs w:val="22"/>
                <w:lang w:val="en-US"/>
              </w:rPr>
              <w:t>Instructional Tutors</w:t>
            </w:r>
          </w:p>
        </w:tc>
        <w:tc>
          <w:tcPr>
            <w:tcW w:w="0" w:type="auto"/>
            <w:vAlign w:val="center"/>
          </w:tcPr>
          <w:p w14:paraId="4F185139" w14:textId="77777777" w:rsidR="00E7618B" w:rsidRPr="004520B9" w:rsidRDefault="00E7618B" w:rsidP="004F6B8F">
            <w:pPr>
              <w:spacing w:after="60" w:line="276" w:lineRule="auto"/>
              <w:ind w:left="145" w:firstLine="0"/>
              <w:jc w:val="center"/>
              <w:rPr>
                <w:rFonts w:ascii="Calibri" w:hAnsi="Calibri" w:cs="Calibri"/>
                <w:sz w:val="22"/>
                <w:szCs w:val="22"/>
                <w:lang w:val="en-US"/>
              </w:rPr>
            </w:pPr>
            <w:r w:rsidRPr="004520B9">
              <w:rPr>
                <w:rFonts w:ascii="Calibri" w:hAnsi="Calibri" w:cs="Calibri"/>
                <w:sz w:val="22"/>
                <w:szCs w:val="22"/>
                <w:lang w:val="en-US"/>
              </w:rPr>
              <w:t>$20</w:t>
            </w:r>
          </w:p>
        </w:tc>
        <w:tc>
          <w:tcPr>
            <w:tcW w:w="0" w:type="auto"/>
            <w:vAlign w:val="center"/>
          </w:tcPr>
          <w:p w14:paraId="72F0E5A0" w14:textId="77777777" w:rsidR="00E7618B" w:rsidRPr="004520B9" w:rsidRDefault="00E7618B" w:rsidP="004F6B8F">
            <w:pPr>
              <w:spacing w:after="60" w:line="276" w:lineRule="auto"/>
              <w:ind w:firstLine="413"/>
              <w:jc w:val="center"/>
              <w:rPr>
                <w:rFonts w:ascii="Calibri" w:hAnsi="Calibri" w:cs="Calibri"/>
                <w:sz w:val="22"/>
                <w:szCs w:val="22"/>
                <w:lang w:val="en-US"/>
              </w:rPr>
            </w:pPr>
            <w:r w:rsidRPr="004520B9">
              <w:rPr>
                <w:rFonts w:ascii="Calibri" w:hAnsi="Calibri" w:cs="Calibri"/>
                <w:sz w:val="22"/>
                <w:szCs w:val="22"/>
                <w:lang w:val="en-US"/>
              </w:rPr>
              <w:t>$21</w:t>
            </w:r>
          </w:p>
        </w:tc>
        <w:tc>
          <w:tcPr>
            <w:tcW w:w="0" w:type="auto"/>
            <w:vAlign w:val="center"/>
          </w:tcPr>
          <w:p w14:paraId="1EA616E0" w14:textId="77777777" w:rsidR="00E7618B" w:rsidRPr="004520B9" w:rsidRDefault="00E7618B" w:rsidP="004F6B8F">
            <w:pPr>
              <w:spacing w:after="60" w:line="276" w:lineRule="auto"/>
              <w:ind w:firstLine="398"/>
              <w:jc w:val="center"/>
              <w:rPr>
                <w:rFonts w:ascii="Calibri" w:hAnsi="Calibri" w:cs="Calibri"/>
                <w:sz w:val="22"/>
                <w:szCs w:val="22"/>
                <w:lang w:val="en-US"/>
              </w:rPr>
            </w:pPr>
            <w:r w:rsidRPr="004520B9">
              <w:rPr>
                <w:rFonts w:ascii="Calibri" w:hAnsi="Calibri" w:cs="Calibri"/>
                <w:sz w:val="22"/>
                <w:szCs w:val="22"/>
                <w:lang w:val="en-US"/>
              </w:rPr>
              <w:t>$22</w:t>
            </w:r>
          </w:p>
        </w:tc>
        <w:tc>
          <w:tcPr>
            <w:tcW w:w="0" w:type="auto"/>
            <w:vAlign w:val="center"/>
          </w:tcPr>
          <w:p w14:paraId="64C84AA4" w14:textId="77777777" w:rsidR="00E7618B" w:rsidRPr="004520B9" w:rsidRDefault="00E7618B" w:rsidP="004F6B8F">
            <w:pPr>
              <w:spacing w:after="60" w:line="276" w:lineRule="auto"/>
              <w:ind w:firstLine="378"/>
              <w:jc w:val="center"/>
              <w:rPr>
                <w:rFonts w:ascii="Calibri" w:hAnsi="Calibri" w:cs="Calibri"/>
                <w:sz w:val="22"/>
                <w:szCs w:val="22"/>
                <w:lang w:val="en-US"/>
              </w:rPr>
            </w:pPr>
            <w:r w:rsidRPr="004520B9">
              <w:rPr>
                <w:rFonts w:ascii="Calibri" w:hAnsi="Calibri" w:cs="Calibri"/>
                <w:sz w:val="22"/>
                <w:szCs w:val="22"/>
                <w:lang w:val="en-US"/>
              </w:rPr>
              <w:t>$23</w:t>
            </w:r>
          </w:p>
        </w:tc>
        <w:tc>
          <w:tcPr>
            <w:tcW w:w="0" w:type="auto"/>
            <w:vAlign w:val="center"/>
          </w:tcPr>
          <w:p w14:paraId="72E4696A" w14:textId="77777777" w:rsidR="00E7618B" w:rsidRPr="004520B9" w:rsidRDefault="00E7618B" w:rsidP="004F6B8F">
            <w:pPr>
              <w:spacing w:after="60" w:line="276" w:lineRule="auto"/>
              <w:ind w:firstLine="267"/>
              <w:jc w:val="center"/>
              <w:rPr>
                <w:rFonts w:ascii="Calibri" w:hAnsi="Calibri" w:cs="Calibri"/>
                <w:sz w:val="22"/>
                <w:szCs w:val="22"/>
                <w:lang w:val="en-US"/>
              </w:rPr>
            </w:pPr>
            <w:r w:rsidRPr="004520B9">
              <w:rPr>
                <w:rFonts w:ascii="Calibri" w:hAnsi="Calibri" w:cs="Calibri"/>
                <w:sz w:val="22"/>
                <w:szCs w:val="22"/>
                <w:lang w:val="en-US"/>
              </w:rPr>
              <w:t>$24</w:t>
            </w:r>
          </w:p>
        </w:tc>
      </w:tr>
    </w:tbl>
    <w:p w14:paraId="6AFF6F05" w14:textId="77777777" w:rsidR="00E7618B" w:rsidRPr="004520B9" w:rsidRDefault="00E7618B" w:rsidP="00E7618B">
      <w:pPr>
        <w:spacing w:after="60" w:line="276" w:lineRule="auto"/>
        <w:ind w:firstLine="0"/>
        <w:rPr>
          <w:rFonts w:ascii="Calibri" w:hAnsi="Calibri" w:cs="Calibri"/>
          <w:b/>
          <w:bCs/>
          <w:color w:val="002060"/>
          <w:sz w:val="22"/>
          <w:szCs w:val="22"/>
          <w:lang w:val="en-US"/>
        </w:rPr>
      </w:pPr>
      <w:r w:rsidRPr="004520B9">
        <w:rPr>
          <w:rFonts w:ascii="Calibri" w:hAnsi="Calibri" w:cs="Calibri"/>
          <w:b/>
          <w:bCs/>
          <w:color w:val="002060"/>
          <w:sz w:val="22"/>
          <w:szCs w:val="22"/>
          <w:lang w:val="en-US"/>
        </w:rPr>
        <w:t>Key Features of the Support Staff Progression Plan</w:t>
      </w:r>
    </w:p>
    <w:p w14:paraId="6452F6EB" w14:textId="77777777" w:rsidR="00E7618B" w:rsidRPr="004520B9" w:rsidRDefault="00E7618B" w:rsidP="00E7618B">
      <w:pPr>
        <w:numPr>
          <w:ilvl w:val="0"/>
          <w:numId w:val="4"/>
        </w:numPr>
        <w:spacing w:after="60" w:line="276" w:lineRule="auto"/>
        <w:rPr>
          <w:rFonts w:ascii="Calibri" w:hAnsi="Calibri" w:cs="Calibri"/>
          <w:sz w:val="22"/>
          <w:szCs w:val="22"/>
          <w:lang w:val="en-US"/>
        </w:rPr>
      </w:pPr>
      <w:r w:rsidRPr="004520B9">
        <w:rPr>
          <w:rFonts w:ascii="Calibri" w:hAnsi="Calibri" w:cs="Calibri"/>
          <w:b/>
          <w:bCs/>
          <w:sz w:val="22"/>
          <w:szCs w:val="22"/>
          <w:lang w:val="en-US"/>
        </w:rPr>
        <w:t>Standardized Starting Wage</w:t>
      </w:r>
      <w:r w:rsidRPr="004520B9">
        <w:rPr>
          <w:rFonts w:ascii="Calibri" w:hAnsi="Calibri" w:cs="Calibri"/>
          <w:sz w:val="22"/>
          <w:szCs w:val="22"/>
          <w:lang w:val="en-US"/>
        </w:rPr>
        <w:t xml:space="preserve"> – All eligible positions begin with a consistent, competitive hourly rate.</w:t>
      </w:r>
    </w:p>
    <w:p w14:paraId="5DD788FC" w14:textId="77777777" w:rsidR="00E7618B" w:rsidRPr="004520B9" w:rsidRDefault="00E7618B" w:rsidP="00E7618B">
      <w:pPr>
        <w:numPr>
          <w:ilvl w:val="0"/>
          <w:numId w:val="4"/>
        </w:numPr>
        <w:spacing w:after="60" w:line="276" w:lineRule="auto"/>
        <w:rPr>
          <w:rFonts w:ascii="Calibri" w:hAnsi="Calibri" w:cs="Calibri"/>
          <w:sz w:val="22"/>
          <w:szCs w:val="22"/>
          <w:lang w:val="en-US"/>
        </w:rPr>
      </w:pPr>
      <w:r w:rsidRPr="004520B9">
        <w:rPr>
          <w:rFonts w:ascii="Calibri" w:hAnsi="Calibri" w:cs="Calibri"/>
          <w:b/>
          <w:bCs/>
          <w:sz w:val="22"/>
          <w:szCs w:val="22"/>
          <w:lang w:val="en-US"/>
        </w:rPr>
        <w:t>Annual Step Increases</w:t>
      </w:r>
      <w:r w:rsidRPr="004520B9">
        <w:rPr>
          <w:rFonts w:ascii="Calibri" w:hAnsi="Calibri" w:cs="Calibri"/>
          <w:sz w:val="22"/>
          <w:szCs w:val="22"/>
          <w:lang w:val="en-US"/>
        </w:rPr>
        <w:t xml:space="preserve"> – Hourly pay increases each year over a five-year period, supporting staff retention and loyalty.</w:t>
      </w:r>
    </w:p>
    <w:p w14:paraId="30AF0FCD" w14:textId="77777777" w:rsidR="00E7618B" w:rsidRPr="004520B9" w:rsidRDefault="00E7618B" w:rsidP="00E7618B">
      <w:pPr>
        <w:numPr>
          <w:ilvl w:val="0"/>
          <w:numId w:val="4"/>
        </w:numPr>
        <w:spacing w:after="60" w:line="276" w:lineRule="auto"/>
        <w:rPr>
          <w:rFonts w:ascii="Calibri" w:hAnsi="Calibri" w:cs="Calibri"/>
          <w:sz w:val="22"/>
          <w:szCs w:val="22"/>
          <w:lang w:val="en-US"/>
        </w:rPr>
      </w:pPr>
      <w:r w:rsidRPr="004520B9">
        <w:rPr>
          <w:rFonts w:ascii="Calibri" w:hAnsi="Calibri" w:cs="Calibri"/>
          <w:b/>
          <w:bCs/>
          <w:sz w:val="22"/>
          <w:szCs w:val="22"/>
          <w:lang w:val="en-US"/>
        </w:rPr>
        <w:lastRenderedPageBreak/>
        <w:t>Performance-Based Advancement</w:t>
      </w:r>
      <w:r w:rsidRPr="004520B9">
        <w:rPr>
          <w:rFonts w:ascii="Calibri" w:hAnsi="Calibri" w:cs="Calibri"/>
          <w:sz w:val="22"/>
          <w:szCs w:val="22"/>
          <w:lang w:val="en-US"/>
        </w:rPr>
        <w:t xml:space="preserve"> – Step progression is contingent on meeting performance expectations outlined in ALA’s staff evaluation criteria.</w:t>
      </w:r>
    </w:p>
    <w:p w14:paraId="46FE06A9" w14:textId="77777777" w:rsidR="00E7618B" w:rsidRPr="004520B9" w:rsidRDefault="00E7618B" w:rsidP="00E7618B">
      <w:pPr>
        <w:numPr>
          <w:ilvl w:val="0"/>
          <w:numId w:val="4"/>
        </w:numPr>
        <w:spacing w:after="60" w:line="276" w:lineRule="auto"/>
        <w:rPr>
          <w:rFonts w:ascii="Calibri" w:hAnsi="Calibri" w:cs="Calibri"/>
          <w:sz w:val="22"/>
          <w:szCs w:val="22"/>
          <w:lang w:val="en-US"/>
        </w:rPr>
      </w:pPr>
      <w:r w:rsidRPr="004520B9">
        <w:rPr>
          <w:rFonts w:ascii="Calibri" w:hAnsi="Calibri" w:cs="Calibri"/>
          <w:b/>
          <w:bCs/>
          <w:sz w:val="22"/>
          <w:szCs w:val="22"/>
          <w:lang w:val="en-US"/>
        </w:rPr>
        <w:t>Equity Across Roles</w:t>
      </w:r>
      <w:r w:rsidRPr="004520B9">
        <w:rPr>
          <w:rFonts w:ascii="Calibri" w:hAnsi="Calibri" w:cs="Calibri"/>
          <w:sz w:val="22"/>
          <w:szCs w:val="22"/>
          <w:lang w:val="en-US"/>
        </w:rPr>
        <w:t xml:space="preserve"> – All support positions follow the same progression model, ensuring consistent treatment across departments.</w:t>
      </w:r>
    </w:p>
    <w:p w14:paraId="59D2310E" w14:textId="77777777" w:rsidR="00E7618B" w:rsidRDefault="00E7618B"/>
    <w:sectPr w:rsidR="00E76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378A5"/>
    <w:multiLevelType w:val="multilevel"/>
    <w:tmpl w:val="35BE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C284E"/>
    <w:multiLevelType w:val="hybridMultilevel"/>
    <w:tmpl w:val="D29891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B27247"/>
    <w:multiLevelType w:val="hybridMultilevel"/>
    <w:tmpl w:val="CE5A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D7AFA"/>
    <w:multiLevelType w:val="multilevel"/>
    <w:tmpl w:val="3080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295452">
    <w:abstractNumId w:val="2"/>
  </w:num>
  <w:num w:numId="2" w16cid:durableId="2101024354">
    <w:abstractNumId w:val="1"/>
  </w:num>
  <w:num w:numId="3" w16cid:durableId="616642990">
    <w:abstractNumId w:val="3"/>
  </w:num>
  <w:num w:numId="4" w16cid:durableId="181872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8B"/>
    <w:rsid w:val="001E15FC"/>
    <w:rsid w:val="00E7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AA3C"/>
  <w15:chartTrackingRefBased/>
  <w15:docId w15:val="{EB4BE398-0B10-40F2-8406-890DBEA8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8B"/>
    <w:pPr>
      <w:spacing w:after="0" w:line="480" w:lineRule="auto"/>
      <w:ind w:firstLine="708"/>
    </w:pPr>
    <w:rPr>
      <w:rFonts w:ascii="Times New Roman" w:eastAsia="Times New Roman" w:hAnsi="Times New Roman" w:cs="Times New Roman"/>
      <w:kern w:val="0"/>
      <w:lang w:val="en-GB" w:eastAsia="nl-NL"/>
      <w14:ligatures w14:val="none"/>
    </w:rPr>
  </w:style>
  <w:style w:type="paragraph" w:styleId="Heading1">
    <w:name w:val="heading 1"/>
    <w:basedOn w:val="Normal"/>
    <w:next w:val="Normal"/>
    <w:link w:val="Heading1Char"/>
    <w:uiPriority w:val="9"/>
    <w:qFormat/>
    <w:rsid w:val="00E7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18B"/>
    <w:rPr>
      <w:rFonts w:eastAsiaTheme="majorEastAsia" w:cstheme="majorBidi"/>
      <w:color w:val="272727" w:themeColor="text1" w:themeTint="D8"/>
    </w:rPr>
  </w:style>
  <w:style w:type="paragraph" w:styleId="Title">
    <w:name w:val="Title"/>
    <w:basedOn w:val="Normal"/>
    <w:next w:val="Normal"/>
    <w:link w:val="TitleChar"/>
    <w:uiPriority w:val="10"/>
    <w:qFormat/>
    <w:rsid w:val="00E7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18B"/>
    <w:pPr>
      <w:spacing w:before="160"/>
      <w:jc w:val="center"/>
    </w:pPr>
    <w:rPr>
      <w:i/>
      <w:iCs/>
      <w:color w:val="404040" w:themeColor="text1" w:themeTint="BF"/>
    </w:rPr>
  </w:style>
  <w:style w:type="character" w:customStyle="1" w:styleId="QuoteChar">
    <w:name w:val="Quote Char"/>
    <w:basedOn w:val="DefaultParagraphFont"/>
    <w:link w:val="Quote"/>
    <w:uiPriority w:val="29"/>
    <w:rsid w:val="00E7618B"/>
    <w:rPr>
      <w:i/>
      <w:iCs/>
      <w:color w:val="404040" w:themeColor="text1" w:themeTint="BF"/>
    </w:rPr>
  </w:style>
  <w:style w:type="paragraph" w:styleId="ListParagraph">
    <w:name w:val="List Paragraph"/>
    <w:basedOn w:val="Normal"/>
    <w:uiPriority w:val="34"/>
    <w:qFormat/>
    <w:rsid w:val="00E7618B"/>
    <w:pPr>
      <w:ind w:left="720"/>
      <w:contextualSpacing/>
    </w:pPr>
  </w:style>
  <w:style w:type="character" w:styleId="IntenseEmphasis">
    <w:name w:val="Intense Emphasis"/>
    <w:basedOn w:val="DefaultParagraphFont"/>
    <w:uiPriority w:val="21"/>
    <w:qFormat/>
    <w:rsid w:val="00E7618B"/>
    <w:rPr>
      <w:i/>
      <w:iCs/>
      <w:color w:val="0F4761" w:themeColor="accent1" w:themeShade="BF"/>
    </w:rPr>
  </w:style>
  <w:style w:type="paragraph" w:styleId="IntenseQuote">
    <w:name w:val="Intense Quote"/>
    <w:basedOn w:val="Normal"/>
    <w:next w:val="Normal"/>
    <w:link w:val="IntenseQuoteChar"/>
    <w:uiPriority w:val="30"/>
    <w:qFormat/>
    <w:rsid w:val="00E7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18B"/>
    <w:rPr>
      <w:i/>
      <w:iCs/>
      <w:color w:val="0F4761" w:themeColor="accent1" w:themeShade="BF"/>
    </w:rPr>
  </w:style>
  <w:style w:type="character" w:styleId="IntenseReference">
    <w:name w:val="Intense Reference"/>
    <w:basedOn w:val="DefaultParagraphFont"/>
    <w:uiPriority w:val="32"/>
    <w:qFormat/>
    <w:rsid w:val="00E76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1</cp:revision>
  <dcterms:created xsi:type="dcterms:W3CDTF">2025-11-30T14:53:00Z</dcterms:created>
  <dcterms:modified xsi:type="dcterms:W3CDTF">2025-11-30T15:01:00Z</dcterms:modified>
</cp:coreProperties>
</file>