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E5" w:rsidRPr="00A74FA8" w:rsidRDefault="009812E5" w:rsidP="009812E5">
      <w:pP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A74FA8">
        <w:rPr>
          <w:rFonts w:asciiTheme="minorHAnsi" w:hAnsiTheme="minorHAnsi"/>
          <w:b/>
          <w:sz w:val="23"/>
          <w:szCs w:val="23"/>
        </w:rPr>
        <w:t>EFFECT OF HME ON AEROSOL DRUG DELIVERY AND AIRWAY RESISTANCE</w:t>
      </w:r>
    </w:p>
    <w:p w:rsidR="0065056B" w:rsidRPr="00A74FA8" w:rsidRDefault="009812E5" w:rsidP="00A74FA8">
      <w:pPr>
        <w:spacing w:after="0"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A74FA8">
        <w:rPr>
          <w:rFonts w:asciiTheme="minorHAnsi" w:hAnsiTheme="minorHAnsi"/>
          <w:b/>
          <w:sz w:val="23"/>
          <w:szCs w:val="23"/>
        </w:rPr>
        <w:t>IN SIMULATED VENTILATOR DEPENDENT ADULTS</w:t>
      </w:r>
      <w:r w:rsidR="0029446C" w:rsidRPr="00A74FA8">
        <w:rPr>
          <w:rFonts w:asciiTheme="minorHAnsi" w:hAnsiTheme="minorHAnsi"/>
          <w:b/>
          <w:sz w:val="23"/>
          <w:szCs w:val="23"/>
        </w:rPr>
        <w:t xml:space="preserve"> USING JET AND MESH NEBULIZERS</w:t>
      </w:r>
    </w:p>
    <w:p w:rsidR="005E2AF4" w:rsidRPr="00A74FA8" w:rsidRDefault="0065056B" w:rsidP="005E2AF4">
      <w:pPr>
        <w:contextualSpacing/>
        <w:jc w:val="center"/>
        <w:rPr>
          <w:rFonts w:asciiTheme="minorHAnsi" w:hAnsiTheme="minorHAnsi"/>
          <w:sz w:val="23"/>
          <w:szCs w:val="23"/>
        </w:rPr>
      </w:pPr>
      <w:r w:rsidRPr="00A74FA8">
        <w:rPr>
          <w:rFonts w:asciiTheme="minorHAnsi" w:hAnsiTheme="minorHAnsi"/>
          <w:sz w:val="23"/>
          <w:szCs w:val="23"/>
        </w:rPr>
        <w:t>Arzu Ari, Abdulrahman Alkhathami</w:t>
      </w:r>
      <w:r w:rsidR="005E2AF4" w:rsidRPr="00A74FA8">
        <w:rPr>
          <w:rFonts w:asciiTheme="minorHAnsi" w:hAnsiTheme="minorHAnsi"/>
          <w:sz w:val="23"/>
          <w:szCs w:val="23"/>
        </w:rPr>
        <w:t>, Rowaida</w:t>
      </w:r>
      <w:r w:rsidRPr="00A74FA8">
        <w:rPr>
          <w:rFonts w:asciiTheme="minorHAnsi" w:hAnsiTheme="minorHAnsi"/>
          <w:sz w:val="23"/>
          <w:szCs w:val="23"/>
        </w:rPr>
        <w:t xml:space="preserve"> Qoutah</w:t>
      </w:r>
      <w:r w:rsidR="005E2AF4" w:rsidRPr="00A74FA8">
        <w:rPr>
          <w:rFonts w:asciiTheme="minorHAnsi" w:hAnsiTheme="minorHAnsi"/>
          <w:sz w:val="23"/>
          <w:szCs w:val="23"/>
        </w:rPr>
        <w:t>, Ahmad</w:t>
      </w:r>
      <w:r w:rsidRPr="00A74FA8">
        <w:rPr>
          <w:rFonts w:asciiTheme="minorHAnsi" w:hAnsiTheme="minorHAnsi"/>
          <w:sz w:val="23"/>
          <w:szCs w:val="23"/>
        </w:rPr>
        <w:t xml:space="preserve"> Almmary</w:t>
      </w:r>
      <w:r w:rsidR="005E2AF4" w:rsidRPr="00A74FA8">
        <w:rPr>
          <w:rFonts w:asciiTheme="minorHAnsi" w:hAnsiTheme="minorHAnsi"/>
          <w:sz w:val="23"/>
          <w:szCs w:val="23"/>
        </w:rPr>
        <w:t>, James B. Fink</w:t>
      </w:r>
    </w:p>
    <w:p w:rsidR="0065056B" w:rsidRPr="00A74FA8" w:rsidRDefault="0065056B" w:rsidP="005E2AF4">
      <w:pPr>
        <w:contextualSpacing/>
        <w:jc w:val="center"/>
        <w:rPr>
          <w:rFonts w:asciiTheme="minorHAnsi" w:hAnsiTheme="minorHAnsi"/>
          <w:sz w:val="23"/>
          <w:szCs w:val="23"/>
        </w:rPr>
      </w:pPr>
      <w:r w:rsidRPr="00A74FA8">
        <w:rPr>
          <w:rFonts w:asciiTheme="minorHAnsi" w:hAnsiTheme="minorHAnsi"/>
          <w:sz w:val="23"/>
          <w:szCs w:val="23"/>
        </w:rPr>
        <w:t>Georgia State University, Department of Respiratory Therapy, Atlanta, GA, USA</w:t>
      </w:r>
    </w:p>
    <w:p w:rsidR="005E2AF4" w:rsidRPr="00A74FA8" w:rsidRDefault="005E2AF4" w:rsidP="0065056B">
      <w:pPr>
        <w:contextualSpacing/>
        <w:rPr>
          <w:rFonts w:asciiTheme="minorHAnsi" w:hAnsiTheme="minorHAnsi"/>
          <w:sz w:val="23"/>
          <w:szCs w:val="23"/>
        </w:rPr>
      </w:pPr>
      <w:r w:rsidRPr="00A74FA8">
        <w:rPr>
          <w:rFonts w:asciiTheme="minorHAnsi" w:hAnsiTheme="minorHAnsi"/>
          <w:sz w:val="23"/>
          <w:szCs w:val="23"/>
        </w:rPr>
        <w:t xml:space="preserve">       </w:t>
      </w:r>
      <w:r w:rsidR="0065056B" w:rsidRPr="00A74FA8">
        <w:rPr>
          <w:rFonts w:asciiTheme="minorHAnsi" w:hAnsiTheme="minorHAnsi"/>
          <w:sz w:val="23"/>
          <w:szCs w:val="23"/>
        </w:rPr>
        <w:tab/>
      </w:r>
    </w:p>
    <w:p w:rsidR="00A74FA8" w:rsidRPr="00A74FA8" w:rsidRDefault="00A74FA8" w:rsidP="00A74FA8">
      <w:pPr>
        <w:spacing w:after="0" w:line="240" w:lineRule="auto"/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</w:pPr>
      <w:r w:rsidRPr="00A74FA8"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  <w:t>BACKGROUND:</w:t>
      </w:r>
      <w:r w:rsidR="00307864">
        <w:rPr>
          <w:rFonts w:asciiTheme="minorHAnsi" w:hAnsiTheme="minorHAnsi" w:cs="Arial"/>
          <w:color w:val="333333"/>
          <w:sz w:val="23"/>
          <w:szCs w:val="23"/>
          <w:lang/>
        </w:rPr>
        <w:t xml:space="preserve"> P</w:t>
      </w:r>
      <w:r w:rsidR="00867EBC">
        <w:rPr>
          <w:rFonts w:asciiTheme="minorHAnsi" w:hAnsiTheme="minorHAnsi" w:cs="Arial"/>
          <w:color w:val="333333"/>
          <w:sz w:val="23"/>
          <w:szCs w:val="23"/>
          <w:lang/>
        </w:rPr>
        <w:t xml:space="preserve">lacement of a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heat moisture exchanger (HME)</w:t>
      </w:r>
      <w:r w:rsidR="00867EBC">
        <w:rPr>
          <w:rFonts w:asciiTheme="minorHAnsi" w:hAnsiTheme="minorHAnsi" w:cs="Arial"/>
          <w:color w:val="333333"/>
          <w:sz w:val="23"/>
          <w:szCs w:val="23"/>
          <w:lang/>
        </w:rPr>
        <w:t xml:space="preserve"> between aerosol generator and patient has been associated with gre</w:t>
      </w:r>
      <w:r w:rsidR="00307864">
        <w:rPr>
          <w:rFonts w:asciiTheme="minorHAnsi" w:hAnsiTheme="minorHAnsi" w:cs="Arial"/>
          <w:color w:val="333333"/>
          <w:sz w:val="23"/>
          <w:szCs w:val="23"/>
          <w:lang/>
        </w:rPr>
        <w:t xml:space="preserve">atly reduced drug delivery and </w:t>
      </w:r>
      <w:r w:rsidR="00867EBC">
        <w:rPr>
          <w:rFonts w:asciiTheme="minorHAnsi" w:hAnsiTheme="minorHAnsi" w:cs="Arial"/>
          <w:color w:val="333333"/>
          <w:sz w:val="23"/>
          <w:szCs w:val="23"/>
          <w:lang/>
        </w:rPr>
        <w:t>increased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resistance of gas passing through </w:t>
      </w:r>
      <w:r w:rsidR="00867EBC">
        <w:rPr>
          <w:rFonts w:asciiTheme="minorHAnsi" w:hAnsiTheme="minorHAnsi" w:cs="Arial"/>
          <w:color w:val="333333"/>
          <w:sz w:val="23"/>
          <w:szCs w:val="23"/>
          <w:lang/>
        </w:rPr>
        <w:t xml:space="preserve">the HME </w:t>
      </w:r>
      <w:r w:rsidR="00307864">
        <w:rPr>
          <w:rFonts w:asciiTheme="minorHAnsi" w:hAnsiTheme="minorHAnsi" w:cs="Arial"/>
          <w:color w:val="333333"/>
          <w:sz w:val="23"/>
          <w:szCs w:val="23"/>
          <w:lang/>
        </w:rPr>
        <w:t xml:space="preserve">increasing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work of breathing</w:t>
      </w:r>
      <w:r w:rsidR="00867EBC">
        <w:rPr>
          <w:rFonts w:asciiTheme="minorHAnsi" w:hAnsiTheme="minorHAnsi" w:cs="Arial"/>
          <w:color w:val="333333"/>
          <w:sz w:val="23"/>
          <w:szCs w:val="23"/>
          <w:lang/>
        </w:rPr>
        <w:t xml:space="preserve">.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The purpose of this study was to evaluate the effect of </w:t>
      </w:r>
      <w:r w:rsidR="00307864">
        <w:rPr>
          <w:rFonts w:asciiTheme="minorHAnsi" w:hAnsiTheme="minorHAnsi" w:cs="Arial"/>
          <w:color w:val="333333"/>
          <w:sz w:val="23"/>
          <w:szCs w:val="23"/>
          <w:lang/>
        </w:rPr>
        <w:t xml:space="preserve"> a specific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HME </w:t>
      </w:r>
      <w:r w:rsidR="00867EBC">
        <w:rPr>
          <w:rFonts w:asciiTheme="minorHAnsi" w:hAnsiTheme="minorHAnsi" w:cs="Arial"/>
          <w:color w:val="333333"/>
          <w:sz w:val="23"/>
          <w:szCs w:val="23"/>
          <w:lang/>
        </w:rPr>
        <w:t xml:space="preserve">placed between nebulizer and patient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on aerosol deposition and airway resistance (Raw) in simulated ventilator dependent adults.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br/>
      </w:r>
    </w:p>
    <w:p w:rsidR="00A74FA8" w:rsidRPr="00A74FA8" w:rsidRDefault="00A74FA8" w:rsidP="00516703">
      <w:pPr>
        <w:spacing w:after="0" w:line="240" w:lineRule="auto"/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</w:pPr>
      <w:r w:rsidRPr="00A74FA8"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  <w:t>METHODS: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An in vitro lung model was developed to simulate a mechanically ventilated adult </w:t>
      </w:r>
      <w:r w:rsidR="007D12F2" w:rsidRPr="00A74FA8">
        <w:rPr>
          <w:rFonts w:asciiTheme="minorHAnsi" w:hAnsiTheme="minorHAnsi" w:cs="Arial"/>
          <w:color w:val="333333"/>
          <w:sz w:val="23"/>
          <w:szCs w:val="23"/>
          <w:lang/>
        </w:rPr>
        <w:t>(Vt 500 ml, RR 15/min, PE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EP 5 cmH2O and I:E ratio: 1:2) to an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intubated 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adullt manikin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wit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h an endotracheal tube (8 mmID). The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mainstem bronchi 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 xml:space="preserve">of the manikin was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connected to a Y adapter through a collecting filter (Respirgard II) attached to a test lung through a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heated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cascade humidifier (37</w:t>
      </w:r>
      <w:r w:rsidRPr="00A74FA8">
        <w:rPr>
          <w:rFonts w:asciiTheme="minorHAnsi" w:hAnsiTheme="minorHAnsi" w:cs="Cambria Math"/>
          <w:color w:val="333333"/>
          <w:sz w:val="23"/>
          <w:szCs w:val="23"/>
          <w:lang/>
        </w:rPr>
        <w:t>⁰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C 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>producing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100% relative humidity) to simulate exhaled humidity. 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For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treatment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conditions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,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a</w:t>
      </w:r>
      <w:r w:rsidR="004A124E">
        <w:rPr>
          <w:rFonts w:asciiTheme="minorHAnsi" w:hAnsiTheme="minorHAnsi" w:cs="Arial"/>
          <w:color w:val="333333"/>
          <w:sz w:val="23"/>
          <w:szCs w:val="23"/>
          <w:lang/>
        </w:rPr>
        <w:t>n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HME (ThermoFlo</w:t>
      </w:r>
      <w:r w:rsidR="004A124E" w:rsidRPr="004A124E">
        <w:rPr>
          <w:rFonts w:asciiTheme="minorHAnsi" w:hAnsiTheme="minorHAnsi" w:cs="Arial"/>
          <w:color w:val="333333"/>
          <w:sz w:val="23"/>
          <w:szCs w:val="23"/>
          <w:vertAlign w:val="superscript"/>
          <w:lang/>
        </w:rPr>
        <w:t>TM</w:t>
      </w:r>
      <w:r w:rsidR="004A124E">
        <w:rPr>
          <w:rFonts w:asciiTheme="minorHAnsi" w:hAnsiTheme="minorHAnsi" w:cs="Arial"/>
          <w:color w:val="333333"/>
          <w:sz w:val="23"/>
          <w:szCs w:val="23"/>
          <w:lang/>
        </w:rPr>
        <w:t xml:space="preserve"> 6070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, ARC Medical)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was placed between the ventilator circuit at the ETT and allowed to acclimate to the exhaled heat and humidity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for 30 min 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>pr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ior to aerosol administration. The values on a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irway resistance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 xml:space="preserve"> (cmH</w:t>
      </w:r>
      <w:r w:rsidR="00516703" w:rsidRPr="00516703">
        <w:rPr>
          <w:rFonts w:asciiTheme="minorHAnsi" w:hAnsiTheme="minorHAnsi" w:cs="Arial"/>
          <w:color w:val="333333"/>
          <w:sz w:val="23"/>
          <w:szCs w:val="23"/>
          <w:vertAlign w:val="subscript"/>
          <w:lang/>
        </w:rPr>
        <w:t>2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 xml:space="preserve">0/l/s) was taken </w:t>
      </w:r>
      <w:r w:rsidR="00516703">
        <w:rPr>
          <w:rFonts w:asciiTheme="minorHAnsi" w:hAnsiTheme="minorHAnsi"/>
        </w:rPr>
        <w:t>from the</w:t>
      </w:r>
      <w:r w:rsidR="00516703" w:rsidRPr="003D1971">
        <w:rPr>
          <w:rFonts w:asciiTheme="minorHAnsi" w:hAnsiTheme="minorHAnsi"/>
        </w:rPr>
        <w:t xml:space="preserve"> display on the ventilator monitor</w:t>
      </w:r>
      <w:r w:rsidR="00516703">
        <w:rPr>
          <w:rFonts w:asciiTheme="minorHAnsi" w:hAnsiTheme="minorHAnsi"/>
        </w:rPr>
        <w:t xml:space="preserve"> (Hamilton Galileo)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>at 0,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10, 20 and 30 min</w:t>
      </w:r>
      <w:r w:rsidR="007D12F2">
        <w:rPr>
          <w:rFonts w:asciiTheme="minorHAnsi" w:hAnsiTheme="minorHAnsi" w:cs="Arial"/>
          <w:color w:val="333333"/>
          <w:sz w:val="23"/>
          <w:szCs w:val="23"/>
          <w:lang/>
        </w:rPr>
        <w:t xml:space="preserve"> after HME placement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and after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each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 xml:space="preserve"> of 4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aerosol treatment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s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.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A</w:t>
      </w:r>
      <w:r w:rsidR="00BD3D8C"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lbuterol sulfate (2.5 mg/3mL)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was administered with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jet (MistyM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 xml:space="preserve">ax10, Airlife) and mesh (Aerogen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Solo, Aerogen) nebulizers positioned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 xml:space="preserve">in the inspiratory limb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6 in from the Y adaptor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 xml:space="preserve"> and at the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Y, resp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>ectively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. </w:t>
      </w:r>
      <w:r w:rsidR="00BD3D8C">
        <w:rPr>
          <w:rFonts w:asciiTheme="minorHAnsi" w:hAnsiTheme="minorHAnsi" w:cs="Arial"/>
          <w:color w:val="333333"/>
          <w:sz w:val="23"/>
          <w:szCs w:val="23"/>
          <w:lang/>
        </w:rPr>
        <w:t>Control consisted of nebulization with no HME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. </w:t>
      </w:r>
      <w:r w:rsidR="00307864">
        <w:rPr>
          <w:rFonts w:asciiTheme="minorHAnsi" w:hAnsiTheme="minorHAnsi" w:cs="Arial"/>
          <w:color w:val="333333"/>
          <w:sz w:val="23"/>
          <w:szCs w:val="23"/>
          <w:lang/>
        </w:rPr>
        <w:t>Drug was elu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>ted from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filter at the end of the trachea and measured using spectrophotometry (276 nm).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br/>
      </w:r>
    </w:p>
    <w:p w:rsidR="00A74FA8" w:rsidRPr="00A74FA8" w:rsidRDefault="00A74FA8" w:rsidP="00A74FA8">
      <w:pPr>
        <w:spacing w:after="0" w:line="240" w:lineRule="auto"/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</w:pPr>
      <w:r w:rsidRPr="00A74FA8"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  <w:t>RESULTS: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The table shows mean±SD percent dose delivered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>and Raw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.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 Greater than 60</w:t>
      </w:r>
      <w:r w:rsidR="004A124E">
        <w:rPr>
          <w:rFonts w:asciiTheme="minorHAnsi" w:hAnsiTheme="minorHAnsi" w:cs="Arial"/>
          <w:color w:val="333333"/>
          <w:sz w:val="23"/>
          <w:szCs w:val="23"/>
          <w:lang/>
        </w:rPr>
        <w:t>% of the control dose was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delivered through the ThermoFlo</w:t>
      </w:r>
      <w:r w:rsidR="004A124E" w:rsidRPr="004A124E">
        <w:rPr>
          <w:rFonts w:asciiTheme="minorHAnsi" w:hAnsiTheme="minorHAnsi" w:cs="Arial"/>
          <w:color w:val="333333"/>
          <w:sz w:val="23"/>
          <w:szCs w:val="23"/>
          <w:vertAlign w:val="superscript"/>
          <w:lang/>
        </w:rPr>
        <w:t>TM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. No significant difference was found between the first four treatments given by the jet (p=0.825) and the mesh (p=0.753) nebulizer. 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There was a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 small but significan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t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increase in Raw 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 xml:space="preserve">between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>pre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-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 and post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-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4 treatments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with the jet (p=0.001) and mesh (p=0.015) nebulizers.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br/>
      </w:r>
    </w:p>
    <w:p w:rsidR="00EA34D0" w:rsidRDefault="00A74FA8" w:rsidP="00A74FA8">
      <w:pPr>
        <w:spacing w:after="0" w:line="240" w:lineRule="auto"/>
        <w:rPr>
          <w:rFonts w:asciiTheme="minorHAnsi" w:hAnsiTheme="minorHAnsi" w:cs="Arial"/>
          <w:color w:val="333333"/>
          <w:sz w:val="23"/>
          <w:szCs w:val="23"/>
          <w:lang/>
        </w:rPr>
      </w:pPr>
      <w:r w:rsidRPr="00A74FA8">
        <w:rPr>
          <w:rFonts w:asciiTheme="minorHAnsi" w:hAnsiTheme="minorHAnsi" w:cs="Arial"/>
          <w:b/>
          <w:bCs/>
          <w:color w:val="333333"/>
          <w:sz w:val="23"/>
          <w:szCs w:val="23"/>
          <w:lang/>
        </w:rPr>
        <w:t>CONCLUSION: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>Th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e ThermoFlo</w:t>
      </w:r>
      <w:r w:rsidR="004A124E" w:rsidRPr="004A124E">
        <w:rPr>
          <w:rFonts w:asciiTheme="minorHAnsi" w:hAnsiTheme="minorHAnsi" w:cs="Arial"/>
          <w:color w:val="333333"/>
          <w:sz w:val="23"/>
          <w:szCs w:val="23"/>
          <w:vertAlign w:val="superscript"/>
          <w:lang/>
        </w:rPr>
        <w:t>TM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HME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effectively pass</w:t>
      </w:r>
      <w:r w:rsidR="00655EEE">
        <w:rPr>
          <w:rFonts w:asciiTheme="minorHAnsi" w:hAnsiTheme="minorHAnsi" w:cs="Arial"/>
          <w:color w:val="333333"/>
          <w:sz w:val="23"/>
          <w:szCs w:val="23"/>
          <w:lang/>
        </w:rPr>
        <w:t>ed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>the maj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>o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rity of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aerosol on to the </w:t>
      </w:r>
      <w:r w:rsidR="00516703">
        <w:rPr>
          <w:rFonts w:asciiTheme="minorHAnsi" w:hAnsiTheme="minorHAnsi" w:cs="Arial"/>
          <w:color w:val="333333"/>
          <w:sz w:val="23"/>
          <w:szCs w:val="23"/>
          <w:lang/>
        </w:rPr>
        <w:t xml:space="preserve">airway. </w:t>
      </w:r>
      <w:r w:rsidR="00655EEE">
        <w:rPr>
          <w:rFonts w:asciiTheme="minorHAnsi" w:hAnsiTheme="minorHAnsi" w:cs="Arial"/>
          <w:color w:val="333333"/>
          <w:sz w:val="23"/>
          <w:szCs w:val="23"/>
          <w:lang/>
        </w:rPr>
        <w:t xml:space="preserve">Increases in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Raw </w:t>
      </w:r>
      <w:r w:rsidR="00655EEE">
        <w:rPr>
          <w:rFonts w:asciiTheme="minorHAnsi" w:hAnsiTheme="minorHAnsi" w:cs="Arial"/>
          <w:color w:val="333333"/>
          <w:sz w:val="23"/>
          <w:szCs w:val="23"/>
          <w:lang/>
        </w:rPr>
        <w:t>would likely not be outside of a tolerable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 range in ventilated patients. 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 xml:space="preserve">Further research </w:t>
      </w:r>
      <w:r w:rsidR="00A0420C">
        <w:rPr>
          <w:rFonts w:asciiTheme="minorHAnsi" w:hAnsiTheme="minorHAnsi" w:cs="Arial"/>
          <w:color w:val="333333"/>
          <w:sz w:val="23"/>
          <w:szCs w:val="23"/>
          <w:lang/>
        </w:rPr>
        <w:t xml:space="preserve">with other HMEs and materials </w:t>
      </w:r>
      <w:r w:rsidRPr="00A74FA8">
        <w:rPr>
          <w:rFonts w:asciiTheme="minorHAnsi" w:hAnsiTheme="minorHAnsi" w:cs="Arial"/>
          <w:color w:val="333333"/>
          <w:sz w:val="23"/>
          <w:szCs w:val="23"/>
          <w:lang/>
        </w:rPr>
        <w:t>is warranted.</w:t>
      </w:r>
    </w:p>
    <w:p w:rsidR="00516703" w:rsidRPr="00A74FA8" w:rsidRDefault="00516703" w:rsidP="00A74FA8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tbl>
      <w:tblPr>
        <w:tblStyle w:val="TableGrid"/>
        <w:tblW w:w="10098" w:type="dxa"/>
        <w:tblLook w:val="04A0"/>
      </w:tblPr>
      <w:tblGrid>
        <w:gridCol w:w="3116"/>
        <w:gridCol w:w="1559"/>
        <w:gridCol w:w="1823"/>
        <w:gridCol w:w="1890"/>
        <w:gridCol w:w="1710"/>
      </w:tblGrid>
      <w:tr w:rsidR="001770F7">
        <w:trPr>
          <w:trHeight w:val="467"/>
        </w:trPr>
        <w:tc>
          <w:tcPr>
            <w:tcW w:w="3116" w:type="dxa"/>
          </w:tcPr>
          <w:p w:rsidR="001770F7" w:rsidRPr="001770F7" w:rsidRDefault="001770F7" w:rsidP="007B173C">
            <w:pPr>
              <w:jc w:val="center"/>
              <w:rPr>
                <w:b/>
              </w:rPr>
            </w:pPr>
          </w:p>
        </w:tc>
        <w:tc>
          <w:tcPr>
            <w:tcW w:w="3382" w:type="dxa"/>
            <w:gridSpan w:val="2"/>
          </w:tcPr>
          <w:p w:rsidR="001770F7" w:rsidRPr="001770F7" w:rsidRDefault="001770F7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TREATMENT GROUPS (WITH HME)</w:t>
            </w:r>
          </w:p>
        </w:tc>
        <w:tc>
          <w:tcPr>
            <w:tcW w:w="3600" w:type="dxa"/>
            <w:gridSpan w:val="2"/>
          </w:tcPr>
          <w:p w:rsidR="001770F7" w:rsidRPr="001770F7" w:rsidRDefault="001770F7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CONTROL GROUPS (WITHOUT HME)</w:t>
            </w:r>
          </w:p>
        </w:tc>
      </w:tr>
      <w:tr w:rsidR="00A74FA8">
        <w:tc>
          <w:tcPr>
            <w:tcW w:w="3116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Measuring Aerosol Deposition</w:t>
            </w:r>
          </w:p>
        </w:tc>
        <w:tc>
          <w:tcPr>
            <w:tcW w:w="1559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Jet Nebulizer</w:t>
            </w:r>
          </w:p>
        </w:tc>
        <w:tc>
          <w:tcPr>
            <w:tcW w:w="1823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Mesh Nebulizer</w:t>
            </w:r>
          </w:p>
        </w:tc>
        <w:tc>
          <w:tcPr>
            <w:tcW w:w="1890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Jet Nebulizer</w:t>
            </w:r>
          </w:p>
        </w:tc>
        <w:tc>
          <w:tcPr>
            <w:tcW w:w="1710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  <w:r w:rsidRPr="001770F7">
              <w:rPr>
                <w:b/>
              </w:rPr>
              <w:t>Mesh Nebulizer</w:t>
            </w:r>
          </w:p>
        </w:tc>
      </w:tr>
      <w:tr w:rsidR="00A74FA8">
        <w:trPr>
          <w:trHeight w:val="548"/>
        </w:trPr>
        <w:tc>
          <w:tcPr>
            <w:tcW w:w="3116" w:type="dxa"/>
          </w:tcPr>
          <w:p w:rsidR="00A74FA8" w:rsidRDefault="00A74FA8" w:rsidP="007B173C">
            <w:pPr>
              <w:jc w:val="center"/>
            </w:pPr>
            <w:r>
              <w:t>1</w:t>
            </w:r>
            <w:r w:rsidRPr="001770F7">
              <w:rPr>
                <w:vertAlign w:val="superscript"/>
              </w:rPr>
              <w:t>st</w:t>
            </w:r>
            <w:r>
              <w:t xml:space="preserve"> treatment</w:t>
            </w:r>
          </w:p>
        </w:tc>
        <w:tc>
          <w:tcPr>
            <w:tcW w:w="1559" w:type="dxa"/>
          </w:tcPr>
          <w:p w:rsidR="00A74FA8" w:rsidRDefault="00A74FA8" w:rsidP="007B173C">
            <w:pPr>
              <w:jc w:val="center"/>
            </w:pPr>
            <w:r>
              <w:t>3.47 ± 0.40</w:t>
            </w:r>
          </w:p>
        </w:tc>
        <w:tc>
          <w:tcPr>
            <w:tcW w:w="1823" w:type="dxa"/>
          </w:tcPr>
          <w:p w:rsidR="00A74FA8" w:rsidRDefault="00A74FA8" w:rsidP="007B173C">
            <w:pPr>
              <w:jc w:val="center"/>
            </w:pPr>
            <w:r>
              <w:t>6.61 ± 0.34</w:t>
            </w:r>
          </w:p>
        </w:tc>
        <w:tc>
          <w:tcPr>
            <w:tcW w:w="1890" w:type="dxa"/>
          </w:tcPr>
          <w:p w:rsidR="00A74FA8" w:rsidRDefault="00A74FA8" w:rsidP="007B173C">
            <w:pPr>
              <w:jc w:val="center"/>
            </w:pPr>
            <w:r>
              <w:t>5.44 ± 0.17</w:t>
            </w:r>
            <w:r w:rsidR="00BD3D8C">
              <w:t>*</w:t>
            </w:r>
          </w:p>
        </w:tc>
        <w:tc>
          <w:tcPr>
            <w:tcW w:w="1710" w:type="dxa"/>
          </w:tcPr>
          <w:p w:rsidR="00A74FA8" w:rsidRDefault="00A74FA8" w:rsidP="007B173C">
            <w:pPr>
              <w:jc w:val="center"/>
            </w:pPr>
            <w:r>
              <w:t>10.64 ± 0.53</w:t>
            </w:r>
            <w:r w:rsidR="00BD3D8C">
              <w:t>*</w:t>
            </w:r>
          </w:p>
        </w:tc>
      </w:tr>
      <w:tr w:rsidR="00A74FA8">
        <w:tc>
          <w:tcPr>
            <w:tcW w:w="3116" w:type="dxa"/>
          </w:tcPr>
          <w:p w:rsidR="00A74FA8" w:rsidRDefault="00A74FA8" w:rsidP="007B173C">
            <w:pPr>
              <w:jc w:val="center"/>
            </w:pPr>
            <w:r>
              <w:t>2</w:t>
            </w:r>
            <w:r w:rsidRPr="001770F7">
              <w:rPr>
                <w:vertAlign w:val="superscript"/>
              </w:rPr>
              <w:t>nd</w:t>
            </w:r>
            <w:r>
              <w:t xml:space="preserve"> treatment</w:t>
            </w:r>
          </w:p>
        </w:tc>
        <w:tc>
          <w:tcPr>
            <w:tcW w:w="1559" w:type="dxa"/>
          </w:tcPr>
          <w:p w:rsidR="00A74FA8" w:rsidRDefault="00A74FA8" w:rsidP="007B173C">
            <w:pPr>
              <w:jc w:val="center"/>
            </w:pPr>
            <w:r>
              <w:t>3.56 ± 0.52</w:t>
            </w:r>
          </w:p>
        </w:tc>
        <w:tc>
          <w:tcPr>
            <w:tcW w:w="1823" w:type="dxa"/>
          </w:tcPr>
          <w:p w:rsidR="00A74FA8" w:rsidRDefault="00A74FA8" w:rsidP="007B173C">
            <w:pPr>
              <w:jc w:val="center"/>
            </w:pPr>
            <w:r>
              <w:t>6.54 ± 0.71</w:t>
            </w:r>
          </w:p>
        </w:tc>
        <w:tc>
          <w:tcPr>
            <w:tcW w:w="1890" w:type="dxa"/>
          </w:tcPr>
          <w:p w:rsidR="00A74FA8" w:rsidRDefault="00A74FA8" w:rsidP="007B173C">
            <w:pPr>
              <w:jc w:val="center"/>
            </w:pPr>
          </w:p>
        </w:tc>
        <w:tc>
          <w:tcPr>
            <w:tcW w:w="1710" w:type="dxa"/>
          </w:tcPr>
          <w:p w:rsidR="00A74FA8" w:rsidRDefault="00A74FA8" w:rsidP="007B173C">
            <w:pPr>
              <w:jc w:val="center"/>
            </w:pPr>
          </w:p>
        </w:tc>
      </w:tr>
      <w:tr w:rsidR="00A74FA8">
        <w:tc>
          <w:tcPr>
            <w:tcW w:w="3116" w:type="dxa"/>
          </w:tcPr>
          <w:p w:rsidR="00A74FA8" w:rsidRDefault="00A74FA8" w:rsidP="007B173C">
            <w:pPr>
              <w:jc w:val="center"/>
            </w:pPr>
            <w:r>
              <w:t>3</w:t>
            </w:r>
            <w:r w:rsidRPr="001770F7">
              <w:rPr>
                <w:vertAlign w:val="superscript"/>
              </w:rPr>
              <w:t>rd</w:t>
            </w:r>
            <w:r>
              <w:t xml:space="preserve"> treatment</w:t>
            </w:r>
          </w:p>
        </w:tc>
        <w:tc>
          <w:tcPr>
            <w:tcW w:w="1559" w:type="dxa"/>
          </w:tcPr>
          <w:p w:rsidR="00A74FA8" w:rsidRDefault="00A74FA8" w:rsidP="007B173C">
            <w:pPr>
              <w:jc w:val="center"/>
            </w:pPr>
            <w:r>
              <w:t>3.38 ± 0.41</w:t>
            </w:r>
          </w:p>
        </w:tc>
        <w:tc>
          <w:tcPr>
            <w:tcW w:w="1823" w:type="dxa"/>
          </w:tcPr>
          <w:p w:rsidR="00A74FA8" w:rsidRDefault="00A74FA8" w:rsidP="007B173C">
            <w:pPr>
              <w:jc w:val="center"/>
            </w:pPr>
            <w:r>
              <w:t>6.57 ± 0.84</w:t>
            </w:r>
          </w:p>
        </w:tc>
        <w:tc>
          <w:tcPr>
            <w:tcW w:w="1890" w:type="dxa"/>
          </w:tcPr>
          <w:p w:rsidR="00A74FA8" w:rsidRDefault="00A74FA8" w:rsidP="007B173C">
            <w:pPr>
              <w:jc w:val="center"/>
            </w:pPr>
          </w:p>
        </w:tc>
        <w:tc>
          <w:tcPr>
            <w:tcW w:w="1710" w:type="dxa"/>
          </w:tcPr>
          <w:p w:rsidR="00A74FA8" w:rsidRDefault="00A74FA8" w:rsidP="007B173C">
            <w:pPr>
              <w:jc w:val="center"/>
            </w:pPr>
          </w:p>
        </w:tc>
      </w:tr>
      <w:tr w:rsidR="00A74FA8">
        <w:tc>
          <w:tcPr>
            <w:tcW w:w="3116" w:type="dxa"/>
          </w:tcPr>
          <w:p w:rsidR="00A74FA8" w:rsidRDefault="00A74FA8" w:rsidP="007B173C">
            <w:pPr>
              <w:jc w:val="center"/>
            </w:pPr>
            <w:r>
              <w:t>4</w:t>
            </w:r>
            <w:r w:rsidRPr="001770F7">
              <w:rPr>
                <w:vertAlign w:val="superscript"/>
              </w:rPr>
              <w:t>th</w:t>
            </w:r>
            <w:r>
              <w:t xml:space="preserve"> treatment</w:t>
            </w:r>
          </w:p>
        </w:tc>
        <w:tc>
          <w:tcPr>
            <w:tcW w:w="1559" w:type="dxa"/>
          </w:tcPr>
          <w:p w:rsidR="00A74FA8" w:rsidRDefault="00A74FA8" w:rsidP="007B173C">
            <w:pPr>
              <w:jc w:val="center"/>
            </w:pPr>
            <w:r>
              <w:t>3.64 ± 0.44</w:t>
            </w:r>
          </w:p>
        </w:tc>
        <w:tc>
          <w:tcPr>
            <w:tcW w:w="1823" w:type="dxa"/>
          </w:tcPr>
          <w:p w:rsidR="00A74FA8" w:rsidRDefault="00A74FA8" w:rsidP="007B173C">
            <w:pPr>
              <w:jc w:val="center"/>
            </w:pPr>
            <w:r>
              <w:t>6.40 ± 0.66</w:t>
            </w:r>
          </w:p>
        </w:tc>
        <w:tc>
          <w:tcPr>
            <w:tcW w:w="1890" w:type="dxa"/>
          </w:tcPr>
          <w:p w:rsidR="00A74FA8" w:rsidRDefault="00A74FA8" w:rsidP="007B173C">
            <w:pPr>
              <w:jc w:val="center"/>
            </w:pPr>
          </w:p>
        </w:tc>
        <w:tc>
          <w:tcPr>
            <w:tcW w:w="1710" w:type="dxa"/>
          </w:tcPr>
          <w:p w:rsidR="00A74FA8" w:rsidRDefault="00A74FA8" w:rsidP="007B173C">
            <w:pPr>
              <w:jc w:val="center"/>
            </w:pPr>
          </w:p>
        </w:tc>
      </w:tr>
      <w:tr w:rsidR="00A74FA8" w:rsidRPr="001770F7">
        <w:trPr>
          <w:trHeight w:val="467"/>
        </w:trPr>
        <w:tc>
          <w:tcPr>
            <w:tcW w:w="3116" w:type="dxa"/>
          </w:tcPr>
          <w:p w:rsidR="00A74FA8" w:rsidRPr="001770F7" w:rsidRDefault="00A74FA8" w:rsidP="00516703">
            <w:pPr>
              <w:jc w:val="center"/>
              <w:rPr>
                <w:b/>
              </w:rPr>
            </w:pPr>
            <w:r w:rsidRPr="001770F7">
              <w:rPr>
                <w:b/>
              </w:rPr>
              <w:t>Measuring Raw</w:t>
            </w:r>
            <w:r w:rsidR="00516703">
              <w:rPr>
                <w:b/>
              </w:rPr>
              <w:t xml:space="preserve"> (</w:t>
            </w:r>
            <w:r w:rsidR="00516703" w:rsidRPr="00516703">
              <w:rPr>
                <w:rFonts w:asciiTheme="minorHAnsi" w:hAnsiTheme="minorHAnsi" w:cs="Arial"/>
                <w:b/>
                <w:color w:val="333333"/>
                <w:lang/>
              </w:rPr>
              <w:t>cmH</w:t>
            </w:r>
            <w:r w:rsidR="00516703">
              <w:rPr>
                <w:rFonts w:asciiTheme="minorHAnsi" w:hAnsiTheme="minorHAnsi" w:cs="Arial"/>
                <w:b/>
                <w:color w:val="333333"/>
                <w:lang/>
              </w:rPr>
              <w:softHyphen/>
            </w:r>
            <w:r w:rsidR="00516703">
              <w:rPr>
                <w:rFonts w:asciiTheme="minorHAnsi" w:hAnsiTheme="minorHAnsi" w:cs="Arial"/>
                <w:b/>
                <w:color w:val="333333"/>
                <w:lang/>
              </w:rPr>
              <w:softHyphen/>
            </w:r>
            <w:r w:rsidR="00516703" w:rsidRPr="00516703">
              <w:rPr>
                <w:rFonts w:asciiTheme="minorHAnsi" w:hAnsiTheme="minorHAnsi" w:cs="Arial"/>
                <w:b/>
                <w:color w:val="333333"/>
                <w:vertAlign w:val="subscript"/>
                <w:lang/>
              </w:rPr>
              <w:t>2</w:t>
            </w:r>
            <w:r w:rsidR="00516703">
              <w:rPr>
                <w:rFonts w:asciiTheme="minorHAnsi" w:hAnsiTheme="minorHAnsi" w:cs="Arial"/>
                <w:b/>
                <w:color w:val="333333"/>
                <w:lang/>
              </w:rPr>
              <w:t>0/</w:t>
            </w:r>
            <w:r w:rsidR="00516703" w:rsidRPr="00516703">
              <w:rPr>
                <w:rFonts w:asciiTheme="minorHAnsi" w:hAnsiTheme="minorHAnsi" w:cs="Arial"/>
                <w:b/>
                <w:color w:val="333333"/>
                <w:lang/>
              </w:rPr>
              <w:t>l/s)</w:t>
            </w:r>
          </w:p>
        </w:tc>
        <w:tc>
          <w:tcPr>
            <w:tcW w:w="1559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</w:p>
        </w:tc>
        <w:tc>
          <w:tcPr>
            <w:tcW w:w="1823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A74FA8" w:rsidRPr="001770F7" w:rsidRDefault="00A74FA8" w:rsidP="007B173C">
            <w:pPr>
              <w:jc w:val="center"/>
              <w:rPr>
                <w:b/>
              </w:rPr>
            </w:pPr>
          </w:p>
        </w:tc>
      </w:tr>
      <w:tr w:rsidR="00A74FA8">
        <w:tc>
          <w:tcPr>
            <w:tcW w:w="3116" w:type="dxa"/>
          </w:tcPr>
          <w:p w:rsidR="00A74FA8" w:rsidRDefault="00A74FA8" w:rsidP="007B173C">
            <w:pPr>
              <w:jc w:val="center"/>
            </w:pPr>
            <w:r>
              <w:t>Before treatment</w:t>
            </w:r>
          </w:p>
        </w:tc>
        <w:tc>
          <w:tcPr>
            <w:tcW w:w="1559" w:type="dxa"/>
          </w:tcPr>
          <w:p w:rsidR="00A74FA8" w:rsidRDefault="00A74FA8" w:rsidP="007B173C">
            <w:pPr>
              <w:jc w:val="center"/>
            </w:pPr>
            <w:r>
              <w:t>15.50 ± 0.57</w:t>
            </w:r>
          </w:p>
        </w:tc>
        <w:tc>
          <w:tcPr>
            <w:tcW w:w="1823" w:type="dxa"/>
          </w:tcPr>
          <w:p w:rsidR="00A74FA8" w:rsidRDefault="00A74FA8" w:rsidP="007B173C">
            <w:pPr>
              <w:jc w:val="center"/>
            </w:pPr>
            <w:r>
              <w:t>13.75 ± 0.50</w:t>
            </w:r>
          </w:p>
        </w:tc>
        <w:tc>
          <w:tcPr>
            <w:tcW w:w="1890" w:type="dxa"/>
          </w:tcPr>
          <w:p w:rsidR="00A74FA8" w:rsidRDefault="00A74FA8" w:rsidP="007B173C">
            <w:pPr>
              <w:jc w:val="center"/>
            </w:pPr>
          </w:p>
        </w:tc>
        <w:tc>
          <w:tcPr>
            <w:tcW w:w="1710" w:type="dxa"/>
          </w:tcPr>
          <w:p w:rsidR="00A74FA8" w:rsidRDefault="00A74FA8" w:rsidP="007B173C">
            <w:pPr>
              <w:jc w:val="center"/>
            </w:pPr>
          </w:p>
        </w:tc>
      </w:tr>
      <w:tr w:rsidR="00A74FA8">
        <w:tc>
          <w:tcPr>
            <w:tcW w:w="3116" w:type="dxa"/>
          </w:tcPr>
          <w:p w:rsidR="00A74FA8" w:rsidRDefault="00A74FA8" w:rsidP="007B173C">
            <w:pPr>
              <w:jc w:val="center"/>
            </w:pPr>
            <w:r>
              <w:t>After treatment</w:t>
            </w:r>
          </w:p>
        </w:tc>
        <w:tc>
          <w:tcPr>
            <w:tcW w:w="1559" w:type="dxa"/>
          </w:tcPr>
          <w:p w:rsidR="00A74FA8" w:rsidRDefault="00A74FA8" w:rsidP="007B173C">
            <w:pPr>
              <w:jc w:val="center"/>
            </w:pPr>
            <w:r>
              <w:t>17.50 ± 0.57</w:t>
            </w:r>
          </w:p>
        </w:tc>
        <w:tc>
          <w:tcPr>
            <w:tcW w:w="1823" w:type="dxa"/>
          </w:tcPr>
          <w:p w:rsidR="00A74FA8" w:rsidRDefault="00A74FA8" w:rsidP="007B173C">
            <w:pPr>
              <w:jc w:val="center"/>
            </w:pPr>
            <w:r>
              <w:t>16.75 ± 1.70</w:t>
            </w:r>
          </w:p>
        </w:tc>
        <w:tc>
          <w:tcPr>
            <w:tcW w:w="1890" w:type="dxa"/>
          </w:tcPr>
          <w:p w:rsidR="00A74FA8" w:rsidRDefault="00A74FA8" w:rsidP="007B173C">
            <w:pPr>
              <w:jc w:val="center"/>
            </w:pPr>
          </w:p>
        </w:tc>
        <w:tc>
          <w:tcPr>
            <w:tcW w:w="1710" w:type="dxa"/>
          </w:tcPr>
          <w:p w:rsidR="00A74FA8" w:rsidRDefault="00A74FA8" w:rsidP="007B173C">
            <w:pPr>
              <w:jc w:val="center"/>
            </w:pPr>
          </w:p>
        </w:tc>
      </w:tr>
    </w:tbl>
    <w:p w:rsidR="001770F7" w:rsidRDefault="00071BF3" w:rsidP="00A74FA8">
      <w:bookmarkStart w:id="0" w:name="_GoBack"/>
      <w:r>
        <w:t xml:space="preserve">* </w:t>
      </w:r>
      <w:r w:rsidR="00516703">
        <w:t>D</w:t>
      </w:r>
      <w:r w:rsidR="007B173C">
        <w:t xml:space="preserve">elivered dose </w:t>
      </w:r>
      <w:r>
        <w:t>greater than t</w:t>
      </w:r>
      <w:r w:rsidR="00516703">
        <w:t>reatment with same nebulizer (p=</w:t>
      </w:r>
      <w:r>
        <w:t>0.001)</w:t>
      </w:r>
      <w:bookmarkEnd w:id="0"/>
    </w:p>
    <w:sectPr w:rsidR="001770F7" w:rsidSect="00A74FA8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9812E5"/>
    <w:rsid w:val="00056ED9"/>
    <w:rsid w:val="000716A0"/>
    <w:rsid w:val="00071BF3"/>
    <w:rsid w:val="000B3DC1"/>
    <w:rsid w:val="001673FB"/>
    <w:rsid w:val="001770F7"/>
    <w:rsid w:val="0021061F"/>
    <w:rsid w:val="0029446C"/>
    <w:rsid w:val="00307864"/>
    <w:rsid w:val="004A124E"/>
    <w:rsid w:val="0051181A"/>
    <w:rsid w:val="0051260C"/>
    <w:rsid w:val="00516703"/>
    <w:rsid w:val="005A0F15"/>
    <w:rsid w:val="005B3422"/>
    <w:rsid w:val="005E2AF4"/>
    <w:rsid w:val="0065056B"/>
    <w:rsid w:val="00655EEE"/>
    <w:rsid w:val="00755EDA"/>
    <w:rsid w:val="007B173C"/>
    <w:rsid w:val="007D12F2"/>
    <w:rsid w:val="008309DE"/>
    <w:rsid w:val="00851E80"/>
    <w:rsid w:val="00867EBC"/>
    <w:rsid w:val="008B51FF"/>
    <w:rsid w:val="008F7E86"/>
    <w:rsid w:val="00955D4C"/>
    <w:rsid w:val="009812E5"/>
    <w:rsid w:val="009B0B20"/>
    <w:rsid w:val="00A0420C"/>
    <w:rsid w:val="00A74FA8"/>
    <w:rsid w:val="00BA369D"/>
    <w:rsid w:val="00BD3D8C"/>
    <w:rsid w:val="00C55639"/>
    <w:rsid w:val="00EA34D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177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D12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2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2F2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F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2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F2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F87D-098A-3047-A6EC-D7A74659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Ari</dc:creator>
  <cp:keywords/>
  <dc:description/>
  <cp:lastModifiedBy>Jannine Meszler</cp:lastModifiedBy>
  <cp:revision>2</cp:revision>
  <cp:lastPrinted>2016-11-10T16:29:00Z</cp:lastPrinted>
  <dcterms:created xsi:type="dcterms:W3CDTF">2016-11-10T16:39:00Z</dcterms:created>
  <dcterms:modified xsi:type="dcterms:W3CDTF">2016-11-10T16:39:00Z</dcterms:modified>
</cp:coreProperties>
</file>