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09A5F" w14:textId="77777777" w:rsidR="00451446" w:rsidRPr="00F32109" w:rsidRDefault="00902B94">
      <w:pPr>
        <w:pStyle w:val="Corpsdetexte"/>
        <w:ind w:left="4105"/>
        <w:rPr>
          <w:rFonts w:ascii="Times New Roman"/>
          <w:sz w:val="20"/>
          <w:lang w:val="fr-CA"/>
        </w:rPr>
      </w:pPr>
      <w:r w:rsidRPr="00F32109">
        <w:rPr>
          <w:rFonts w:ascii="Times New Roman"/>
          <w:noProof/>
          <w:sz w:val="20"/>
          <w:lang w:val="fr-CA"/>
        </w:rPr>
        <w:drawing>
          <wp:inline distT="0" distB="0" distL="0" distR="0" wp14:anchorId="1091E820" wp14:editId="4882CA66">
            <wp:extent cx="856816" cy="7524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816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F032F" w14:textId="77777777" w:rsidR="00451446" w:rsidRPr="00F32109" w:rsidRDefault="00451446">
      <w:pPr>
        <w:pStyle w:val="Corpsdetexte"/>
        <w:spacing w:before="88"/>
        <w:rPr>
          <w:rFonts w:ascii="Times New Roman"/>
          <w:sz w:val="28"/>
          <w:lang w:val="fr-CA"/>
        </w:rPr>
      </w:pPr>
    </w:p>
    <w:p w14:paraId="6E4B24B5" w14:textId="612F97BA" w:rsidR="0076258E" w:rsidRPr="00F32109" w:rsidRDefault="00D508F6">
      <w:pPr>
        <w:ind w:left="96" w:right="76"/>
        <w:jc w:val="center"/>
        <w:rPr>
          <w:b/>
          <w:sz w:val="28"/>
          <w:lang w:val="fr-CA"/>
        </w:rPr>
      </w:pPr>
      <w:r w:rsidRPr="00F32109">
        <w:rPr>
          <w:b/>
          <w:sz w:val="28"/>
          <w:lang w:val="fr-CA"/>
        </w:rPr>
        <w:t xml:space="preserve">ROWING NEW BRUNSWICK </w:t>
      </w:r>
      <w:r w:rsidRPr="00F32109">
        <w:rPr>
          <w:b/>
          <w:spacing w:val="-2"/>
          <w:sz w:val="28"/>
          <w:lang w:val="fr-CA"/>
        </w:rPr>
        <w:t>AVIRON</w:t>
      </w:r>
    </w:p>
    <w:p w14:paraId="53CC2C63" w14:textId="26DEC268" w:rsidR="0076258E" w:rsidRPr="00F32109" w:rsidRDefault="00AB7248">
      <w:pPr>
        <w:spacing w:before="47"/>
        <w:ind w:left="96"/>
        <w:jc w:val="center"/>
        <w:rPr>
          <w:b/>
          <w:sz w:val="28"/>
          <w:lang w:val="fr-CA"/>
        </w:rPr>
      </w:pPr>
      <w:r w:rsidRPr="00F32109">
        <w:rPr>
          <w:b/>
          <w:sz w:val="28"/>
          <w:lang w:val="fr-CA"/>
        </w:rPr>
        <w:t xml:space="preserve">Règle de </w:t>
      </w:r>
      <w:r w:rsidRPr="00F32109">
        <w:rPr>
          <w:b/>
          <w:spacing w:val="-5"/>
          <w:sz w:val="28"/>
          <w:lang w:val="fr-CA"/>
        </w:rPr>
        <w:t xml:space="preserve">deux </w:t>
      </w:r>
      <w:r w:rsidR="00BF7BC9">
        <w:rPr>
          <w:b/>
          <w:sz w:val="28"/>
          <w:lang w:val="fr-CA"/>
        </w:rPr>
        <w:t>des équipes</w:t>
      </w:r>
    </w:p>
    <w:p w14:paraId="5ACFBCE3" w14:textId="77777777" w:rsidR="0076258E" w:rsidRPr="00F32109" w:rsidRDefault="00AB7248">
      <w:pPr>
        <w:spacing w:before="49"/>
        <w:ind w:left="96" w:right="78"/>
        <w:jc w:val="center"/>
        <w:rPr>
          <w:b/>
          <w:sz w:val="28"/>
          <w:lang w:val="fr-CA"/>
        </w:rPr>
      </w:pPr>
      <w:r w:rsidRPr="00F32109">
        <w:rPr>
          <w:b/>
          <w:sz w:val="28"/>
          <w:lang w:val="fr-CA"/>
        </w:rPr>
        <w:t xml:space="preserve">Lignes directrices pour les entraîneurs et le personnel travaillant avec des </w:t>
      </w:r>
      <w:r w:rsidRPr="00F32109">
        <w:rPr>
          <w:b/>
          <w:spacing w:val="-2"/>
          <w:sz w:val="28"/>
          <w:lang w:val="fr-CA"/>
        </w:rPr>
        <w:t>athlètes</w:t>
      </w:r>
    </w:p>
    <w:p w14:paraId="588C49B6" w14:textId="77777777" w:rsidR="00451446" w:rsidRPr="00934481" w:rsidRDefault="00451446">
      <w:pPr>
        <w:pStyle w:val="Corpsdetexte"/>
        <w:rPr>
          <w:b/>
          <w:sz w:val="21"/>
          <w:szCs w:val="21"/>
          <w:lang w:val="fr-CA"/>
        </w:rPr>
      </w:pPr>
    </w:p>
    <w:p w14:paraId="6E8E3205" w14:textId="67E2C41F" w:rsidR="0076258E" w:rsidRPr="00AB7248" w:rsidRDefault="00BF7BC9" w:rsidP="00BF7BC9">
      <w:pPr>
        <w:pStyle w:val="Corpsdetexte"/>
        <w:spacing w:line="276" w:lineRule="auto"/>
        <w:ind w:left="100" w:right="163"/>
        <w:rPr>
          <w:sz w:val="20"/>
          <w:szCs w:val="20"/>
          <w:lang w:val="fr-CA"/>
        </w:rPr>
      </w:pPr>
      <w:r w:rsidRPr="00AB7248">
        <w:rPr>
          <w:sz w:val="20"/>
          <w:szCs w:val="20"/>
          <w:lang w:val="fr-CA"/>
        </w:rPr>
        <w:t>Rowing New Brunswick Aviron a signé l</w:t>
      </w:r>
      <w:r w:rsidR="00F32109" w:rsidRPr="00AB7248">
        <w:rPr>
          <w:sz w:val="20"/>
          <w:szCs w:val="20"/>
          <w:lang w:val="fr-CA"/>
        </w:rPr>
        <w:t>’</w:t>
      </w:r>
      <w:r w:rsidRPr="00AB7248">
        <w:rPr>
          <w:sz w:val="20"/>
          <w:szCs w:val="20"/>
          <w:lang w:val="fr-CA"/>
        </w:rPr>
        <w:t xml:space="preserve">engagement du </w:t>
      </w:r>
      <w:r w:rsidR="006D7902" w:rsidRPr="00AB7248">
        <w:rPr>
          <w:sz w:val="20"/>
          <w:szCs w:val="20"/>
          <w:lang w:val="fr-CA"/>
        </w:rPr>
        <w:t>m</w:t>
      </w:r>
      <w:r w:rsidRPr="00AB7248">
        <w:rPr>
          <w:sz w:val="20"/>
          <w:szCs w:val="20"/>
          <w:lang w:val="fr-CA"/>
        </w:rPr>
        <w:t xml:space="preserve">ouvement </w:t>
      </w:r>
      <w:r w:rsidR="006D7902" w:rsidRPr="00AB7248">
        <w:rPr>
          <w:sz w:val="20"/>
          <w:szCs w:val="20"/>
          <w:lang w:val="fr-CA"/>
        </w:rPr>
        <w:t xml:space="preserve">Entraînement responsable, ce qui signifie que </w:t>
      </w:r>
      <w:r w:rsidR="00934481" w:rsidRPr="00AB7248">
        <w:rPr>
          <w:sz w:val="20"/>
          <w:szCs w:val="20"/>
          <w:lang w:val="fr-CA"/>
        </w:rPr>
        <w:t>l’équipe de l’organisme déploie</w:t>
      </w:r>
      <w:r w:rsidR="006D7902" w:rsidRPr="00AB7248">
        <w:rPr>
          <w:sz w:val="20"/>
          <w:szCs w:val="20"/>
          <w:lang w:val="fr-CA"/>
        </w:rPr>
        <w:t xml:space="preserve"> tous les efforts pour </w:t>
      </w:r>
      <w:r w:rsidR="00934481" w:rsidRPr="00AB7248">
        <w:rPr>
          <w:sz w:val="20"/>
          <w:szCs w:val="20"/>
          <w:lang w:val="fr-CA"/>
        </w:rPr>
        <w:t>s’a</w:t>
      </w:r>
      <w:r w:rsidR="006D7902" w:rsidRPr="00AB7248">
        <w:rPr>
          <w:sz w:val="20"/>
          <w:szCs w:val="20"/>
          <w:lang w:val="fr-CA"/>
        </w:rPr>
        <w:t xml:space="preserve">ssurer que </w:t>
      </w:r>
      <w:r w:rsidR="00EA1B4E" w:rsidRPr="00AB7248">
        <w:rPr>
          <w:sz w:val="20"/>
          <w:szCs w:val="20"/>
          <w:lang w:val="fr-CA"/>
        </w:rPr>
        <w:t>les</w:t>
      </w:r>
      <w:r w:rsidR="006D7902" w:rsidRPr="00AB7248">
        <w:rPr>
          <w:sz w:val="20"/>
          <w:szCs w:val="20"/>
          <w:lang w:val="fr-CA"/>
        </w:rPr>
        <w:t xml:space="preserve"> </w:t>
      </w:r>
      <w:r w:rsidRPr="00AB7248">
        <w:rPr>
          <w:sz w:val="20"/>
          <w:szCs w:val="20"/>
          <w:lang w:val="fr-CA"/>
        </w:rPr>
        <w:t>entraîneurs et le personnel ont fait l</w:t>
      </w:r>
      <w:r w:rsidR="00F32109" w:rsidRPr="00AB7248">
        <w:rPr>
          <w:sz w:val="20"/>
          <w:szCs w:val="20"/>
          <w:lang w:val="fr-CA"/>
        </w:rPr>
        <w:t>’</w:t>
      </w:r>
      <w:r w:rsidRPr="00AB7248">
        <w:rPr>
          <w:sz w:val="20"/>
          <w:szCs w:val="20"/>
          <w:lang w:val="fr-CA"/>
        </w:rPr>
        <w:t>objet d</w:t>
      </w:r>
      <w:r w:rsidR="00F32109" w:rsidRPr="00AB7248">
        <w:rPr>
          <w:sz w:val="20"/>
          <w:szCs w:val="20"/>
          <w:lang w:val="fr-CA"/>
        </w:rPr>
        <w:t>’</w:t>
      </w:r>
      <w:r w:rsidRPr="00AB7248">
        <w:rPr>
          <w:sz w:val="20"/>
          <w:szCs w:val="20"/>
          <w:lang w:val="fr-CA"/>
        </w:rPr>
        <w:t xml:space="preserve">une vérification des antécédents, </w:t>
      </w:r>
      <w:r w:rsidR="00934481" w:rsidRPr="00AB7248">
        <w:rPr>
          <w:sz w:val="20"/>
          <w:szCs w:val="20"/>
          <w:lang w:val="fr-CA"/>
        </w:rPr>
        <w:t xml:space="preserve">qu’ils ont suivi </w:t>
      </w:r>
      <w:r w:rsidRPr="00AB7248">
        <w:rPr>
          <w:sz w:val="20"/>
          <w:szCs w:val="20"/>
          <w:lang w:val="fr-CA"/>
        </w:rPr>
        <w:t>une formation sur le respect et l</w:t>
      </w:r>
      <w:r w:rsidR="00F32109" w:rsidRPr="00AB7248">
        <w:rPr>
          <w:sz w:val="20"/>
          <w:szCs w:val="20"/>
          <w:lang w:val="fr-CA"/>
        </w:rPr>
        <w:t>’</w:t>
      </w:r>
      <w:r w:rsidRPr="00AB7248">
        <w:rPr>
          <w:sz w:val="20"/>
          <w:szCs w:val="20"/>
          <w:lang w:val="fr-CA"/>
        </w:rPr>
        <w:t>éthique</w:t>
      </w:r>
      <w:r w:rsidR="00BA696E" w:rsidRPr="00AB7248">
        <w:rPr>
          <w:sz w:val="20"/>
          <w:szCs w:val="20"/>
          <w:lang w:val="fr-CA"/>
        </w:rPr>
        <w:t>,</w:t>
      </w:r>
      <w:r w:rsidRPr="00AB7248">
        <w:rPr>
          <w:sz w:val="20"/>
          <w:szCs w:val="20"/>
          <w:lang w:val="fr-CA"/>
        </w:rPr>
        <w:t xml:space="preserve"> et qu</w:t>
      </w:r>
      <w:r w:rsidR="00F32109" w:rsidRPr="00AB7248">
        <w:rPr>
          <w:sz w:val="20"/>
          <w:szCs w:val="20"/>
          <w:lang w:val="fr-CA"/>
        </w:rPr>
        <w:t>’</w:t>
      </w:r>
      <w:r w:rsidRPr="00AB7248">
        <w:rPr>
          <w:sz w:val="20"/>
          <w:szCs w:val="20"/>
          <w:lang w:val="fr-CA"/>
        </w:rPr>
        <w:t xml:space="preserve">ils respectent les </w:t>
      </w:r>
      <w:r w:rsidRPr="00AB7248">
        <w:rPr>
          <w:spacing w:val="-2"/>
          <w:sz w:val="20"/>
          <w:szCs w:val="20"/>
          <w:lang w:val="fr-CA"/>
        </w:rPr>
        <w:t xml:space="preserve">lignes directrices de </w:t>
      </w:r>
      <w:r w:rsidRPr="00AB7248">
        <w:rPr>
          <w:sz w:val="20"/>
          <w:szCs w:val="20"/>
          <w:lang w:val="fr-CA"/>
        </w:rPr>
        <w:t>la règle de deux.</w:t>
      </w:r>
    </w:p>
    <w:p w14:paraId="1DF60719" w14:textId="77777777" w:rsidR="00451446" w:rsidRPr="00AB7248" w:rsidRDefault="00451446">
      <w:pPr>
        <w:pStyle w:val="Corpsdetexte"/>
        <w:spacing w:before="39"/>
        <w:rPr>
          <w:sz w:val="20"/>
          <w:szCs w:val="20"/>
          <w:lang w:val="fr-CA"/>
        </w:rPr>
      </w:pPr>
    </w:p>
    <w:p w14:paraId="6021D6B0" w14:textId="0DB4DA6C" w:rsidR="0076258E" w:rsidRPr="00AB7248" w:rsidRDefault="00AB7248">
      <w:pPr>
        <w:pStyle w:val="Corpsdetexte"/>
        <w:spacing w:line="276" w:lineRule="auto"/>
        <w:ind w:left="100" w:right="163"/>
        <w:rPr>
          <w:sz w:val="20"/>
          <w:szCs w:val="20"/>
          <w:lang w:val="fr-CA"/>
        </w:rPr>
      </w:pPr>
      <w:r w:rsidRPr="00AB7248">
        <w:rPr>
          <w:sz w:val="20"/>
          <w:szCs w:val="20"/>
          <w:lang w:val="fr-CA"/>
        </w:rPr>
        <w:t xml:space="preserve">OBJECTIF : ces lignes directrices visent à protéger tous les athlètes </w:t>
      </w:r>
      <w:r w:rsidR="00EA1B4E" w:rsidRPr="00AB7248">
        <w:rPr>
          <w:sz w:val="20"/>
          <w:szCs w:val="20"/>
          <w:lang w:val="fr-CA"/>
        </w:rPr>
        <w:t xml:space="preserve">qui pourraient se trouver </w:t>
      </w:r>
      <w:r w:rsidRPr="00AB7248">
        <w:rPr>
          <w:sz w:val="20"/>
          <w:szCs w:val="20"/>
          <w:lang w:val="fr-CA"/>
        </w:rPr>
        <w:t xml:space="preserve">dans </w:t>
      </w:r>
      <w:r w:rsidR="00D869FB" w:rsidRPr="00AB7248">
        <w:rPr>
          <w:sz w:val="20"/>
          <w:szCs w:val="20"/>
          <w:lang w:val="fr-CA"/>
        </w:rPr>
        <w:t xml:space="preserve">d’éventuelles </w:t>
      </w:r>
      <w:r w:rsidRPr="00AB7248">
        <w:rPr>
          <w:sz w:val="20"/>
          <w:szCs w:val="20"/>
          <w:lang w:val="fr-CA"/>
        </w:rPr>
        <w:t xml:space="preserve">situations </w:t>
      </w:r>
      <w:r w:rsidR="00D869FB" w:rsidRPr="00AB7248">
        <w:rPr>
          <w:sz w:val="20"/>
          <w:szCs w:val="20"/>
          <w:lang w:val="fr-CA"/>
        </w:rPr>
        <w:t xml:space="preserve">de vulnérabilité </w:t>
      </w:r>
      <w:r w:rsidRPr="00AB7248">
        <w:rPr>
          <w:sz w:val="20"/>
          <w:szCs w:val="20"/>
          <w:lang w:val="fr-CA"/>
        </w:rPr>
        <w:t>en veillant à ce que plus d</w:t>
      </w:r>
      <w:r w:rsidR="00F32109" w:rsidRPr="00AB7248">
        <w:rPr>
          <w:sz w:val="20"/>
          <w:szCs w:val="20"/>
          <w:lang w:val="fr-CA"/>
        </w:rPr>
        <w:t>’</w:t>
      </w:r>
      <w:r w:rsidRPr="00AB7248">
        <w:rPr>
          <w:sz w:val="20"/>
          <w:szCs w:val="20"/>
          <w:lang w:val="fr-CA"/>
        </w:rPr>
        <w:t xml:space="preserve">un adulte soit présent. Les situations de vulnérabilité peuvent inclure des réunions à </w:t>
      </w:r>
      <w:r w:rsidRPr="00AB7248">
        <w:rPr>
          <w:spacing w:val="-3"/>
          <w:sz w:val="20"/>
          <w:szCs w:val="20"/>
          <w:lang w:val="fr-CA"/>
        </w:rPr>
        <w:t>huis</w:t>
      </w:r>
      <w:r w:rsidRPr="00AB7248">
        <w:rPr>
          <w:sz w:val="20"/>
          <w:szCs w:val="20"/>
          <w:lang w:val="fr-CA"/>
        </w:rPr>
        <w:t xml:space="preserve"> clos, des </w:t>
      </w:r>
      <w:r w:rsidR="00EA1B4E" w:rsidRPr="00AB7248">
        <w:rPr>
          <w:sz w:val="20"/>
          <w:szCs w:val="20"/>
          <w:lang w:val="fr-CA"/>
        </w:rPr>
        <w:t>déplacements</w:t>
      </w:r>
      <w:r w:rsidRPr="00AB7248">
        <w:rPr>
          <w:sz w:val="20"/>
          <w:szCs w:val="20"/>
          <w:lang w:val="fr-CA"/>
        </w:rPr>
        <w:t xml:space="preserve">, des </w:t>
      </w:r>
      <w:r w:rsidR="00EA1B4E" w:rsidRPr="00AB7248">
        <w:rPr>
          <w:sz w:val="20"/>
          <w:szCs w:val="20"/>
          <w:lang w:val="fr-CA"/>
        </w:rPr>
        <w:t>milieux</w:t>
      </w:r>
      <w:r w:rsidRPr="00AB7248">
        <w:rPr>
          <w:sz w:val="20"/>
          <w:szCs w:val="20"/>
          <w:lang w:val="fr-CA"/>
        </w:rPr>
        <w:t xml:space="preserve"> d</w:t>
      </w:r>
      <w:r w:rsidR="00F32109" w:rsidRPr="00AB7248">
        <w:rPr>
          <w:sz w:val="20"/>
          <w:szCs w:val="20"/>
          <w:lang w:val="fr-CA"/>
        </w:rPr>
        <w:t>’</w:t>
      </w:r>
      <w:r w:rsidRPr="00AB7248">
        <w:rPr>
          <w:sz w:val="20"/>
          <w:szCs w:val="20"/>
          <w:lang w:val="fr-CA"/>
        </w:rPr>
        <w:t>entraînement et de compétition, entre autres.</w:t>
      </w:r>
    </w:p>
    <w:p w14:paraId="447AC752" w14:textId="77777777" w:rsidR="00451446" w:rsidRPr="00AB7248" w:rsidRDefault="00451446">
      <w:pPr>
        <w:pStyle w:val="Corpsdetexte"/>
        <w:spacing w:before="37"/>
        <w:rPr>
          <w:sz w:val="20"/>
          <w:szCs w:val="20"/>
          <w:lang w:val="fr-CA"/>
        </w:rPr>
      </w:pPr>
    </w:p>
    <w:p w14:paraId="0D35F4EF" w14:textId="39B4AB05" w:rsidR="0076258E" w:rsidRPr="00AB7248" w:rsidRDefault="00AB7248">
      <w:pPr>
        <w:pStyle w:val="Corpsdetexte"/>
        <w:spacing w:line="276" w:lineRule="auto"/>
        <w:ind w:left="100" w:right="163"/>
        <w:rPr>
          <w:sz w:val="20"/>
          <w:szCs w:val="20"/>
          <w:lang w:val="fr-CA"/>
        </w:rPr>
      </w:pPr>
      <w:r w:rsidRPr="00AB7248">
        <w:rPr>
          <w:sz w:val="20"/>
          <w:szCs w:val="20"/>
          <w:lang w:val="fr-CA"/>
        </w:rPr>
        <w:t>Selon ces directives, l</w:t>
      </w:r>
      <w:r w:rsidR="00F32109" w:rsidRPr="00AB7248">
        <w:rPr>
          <w:sz w:val="20"/>
          <w:szCs w:val="20"/>
          <w:lang w:val="fr-CA"/>
        </w:rPr>
        <w:t>’</w:t>
      </w:r>
      <w:r w:rsidRPr="00AB7248">
        <w:rPr>
          <w:sz w:val="20"/>
          <w:szCs w:val="20"/>
          <w:lang w:val="fr-CA"/>
        </w:rPr>
        <w:t xml:space="preserve">un des deux entraîneurs doit être du même sexe que </w:t>
      </w:r>
      <w:r w:rsidR="00D869FB" w:rsidRPr="00AB7248">
        <w:rPr>
          <w:sz w:val="20"/>
          <w:szCs w:val="20"/>
          <w:lang w:val="fr-CA"/>
        </w:rPr>
        <w:t xml:space="preserve">celui de </w:t>
      </w:r>
      <w:r w:rsidRPr="00AB7248">
        <w:rPr>
          <w:sz w:val="20"/>
          <w:szCs w:val="20"/>
          <w:lang w:val="fr-CA"/>
        </w:rPr>
        <w:t>l</w:t>
      </w:r>
      <w:r w:rsidR="00F32109" w:rsidRPr="00AB7248">
        <w:rPr>
          <w:sz w:val="20"/>
          <w:szCs w:val="20"/>
          <w:lang w:val="fr-CA"/>
        </w:rPr>
        <w:t>’</w:t>
      </w:r>
      <w:r w:rsidRPr="00AB7248">
        <w:rPr>
          <w:sz w:val="20"/>
          <w:szCs w:val="20"/>
          <w:lang w:val="fr-CA"/>
        </w:rPr>
        <w:t>athlète. En cas d</w:t>
      </w:r>
      <w:r w:rsidR="00F32109" w:rsidRPr="00AB7248">
        <w:rPr>
          <w:sz w:val="20"/>
          <w:szCs w:val="20"/>
          <w:lang w:val="fr-CA"/>
        </w:rPr>
        <w:t>’</w:t>
      </w:r>
      <w:r w:rsidRPr="00AB7248">
        <w:rPr>
          <w:sz w:val="20"/>
          <w:szCs w:val="20"/>
          <w:lang w:val="fr-CA"/>
        </w:rPr>
        <w:t>indisponibilité d</w:t>
      </w:r>
      <w:r w:rsidR="00F32109" w:rsidRPr="00AB7248">
        <w:rPr>
          <w:sz w:val="20"/>
          <w:szCs w:val="20"/>
          <w:lang w:val="fr-CA"/>
        </w:rPr>
        <w:t>’</w:t>
      </w:r>
      <w:r w:rsidRPr="00AB7248">
        <w:rPr>
          <w:sz w:val="20"/>
          <w:szCs w:val="20"/>
          <w:lang w:val="fr-CA"/>
        </w:rPr>
        <w:t xml:space="preserve">un second entraîneur </w:t>
      </w:r>
      <w:r w:rsidR="005707C4" w:rsidRPr="00AB7248">
        <w:rPr>
          <w:sz w:val="20"/>
          <w:szCs w:val="20"/>
          <w:lang w:val="fr-CA"/>
        </w:rPr>
        <w:t>ayant fait l’objet d’une vérification des antécédents</w:t>
      </w:r>
      <w:r w:rsidR="000E7ECA" w:rsidRPr="00AB7248">
        <w:rPr>
          <w:sz w:val="20"/>
          <w:szCs w:val="20"/>
          <w:lang w:val="fr-CA"/>
        </w:rPr>
        <w:t xml:space="preserve"> et qui a été </w:t>
      </w:r>
      <w:r w:rsidRPr="00AB7248">
        <w:rPr>
          <w:sz w:val="20"/>
          <w:szCs w:val="20"/>
          <w:lang w:val="fr-CA"/>
        </w:rPr>
        <w:t xml:space="preserve">formé ou certifié par le PNCE, </w:t>
      </w:r>
      <w:r w:rsidR="000E7ECA" w:rsidRPr="00AB7248">
        <w:rPr>
          <w:sz w:val="20"/>
          <w:szCs w:val="20"/>
          <w:lang w:val="fr-CA"/>
        </w:rPr>
        <w:t xml:space="preserve">il est possible de recruter </w:t>
      </w:r>
      <w:r w:rsidRPr="00AB7248">
        <w:rPr>
          <w:sz w:val="20"/>
          <w:szCs w:val="20"/>
          <w:lang w:val="fr-CA"/>
        </w:rPr>
        <w:t xml:space="preserve">un membre du personnel, un bénévole, un parent ou un adulte </w:t>
      </w:r>
      <w:r w:rsidR="000E7ECA" w:rsidRPr="00AB7248">
        <w:rPr>
          <w:sz w:val="20"/>
          <w:szCs w:val="20"/>
          <w:lang w:val="fr-CA"/>
        </w:rPr>
        <w:t>ayant faut l’objet d’une vérification des antécédents.</w:t>
      </w:r>
    </w:p>
    <w:p w14:paraId="0F4480A7" w14:textId="77777777" w:rsidR="00451446" w:rsidRPr="00AB7248" w:rsidRDefault="00451446">
      <w:pPr>
        <w:pStyle w:val="Corpsdetexte"/>
        <w:spacing w:before="38"/>
        <w:rPr>
          <w:sz w:val="20"/>
          <w:szCs w:val="20"/>
          <w:lang w:val="fr-CA"/>
        </w:rPr>
      </w:pPr>
    </w:p>
    <w:p w14:paraId="6A0223E0" w14:textId="714C40E1" w:rsidR="0076258E" w:rsidRPr="00AB7248" w:rsidRDefault="003978BA">
      <w:pPr>
        <w:pStyle w:val="Corpsdetexte"/>
        <w:spacing w:line="276" w:lineRule="auto"/>
        <w:ind w:left="100"/>
        <w:rPr>
          <w:sz w:val="20"/>
          <w:szCs w:val="20"/>
          <w:lang w:val="fr-CA"/>
        </w:rPr>
      </w:pPr>
      <w:r w:rsidRPr="00AB7248">
        <w:rPr>
          <w:sz w:val="20"/>
          <w:szCs w:val="20"/>
          <w:lang w:val="fr-CA"/>
        </w:rPr>
        <w:t xml:space="preserve">L’équipe de RNBA a affirmé que </w:t>
      </w:r>
      <w:r w:rsidR="0099594B" w:rsidRPr="00AB7248">
        <w:rPr>
          <w:sz w:val="20"/>
          <w:szCs w:val="20"/>
          <w:lang w:val="fr-CA"/>
        </w:rPr>
        <w:t>les employés</w:t>
      </w:r>
      <w:r w:rsidRPr="00AB7248">
        <w:rPr>
          <w:sz w:val="20"/>
          <w:szCs w:val="20"/>
          <w:lang w:val="fr-CA"/>
        </w:rPr>
        <w:t>, notamment le personnel administratif et de soutien qui travaille avec les athlètes, fer</w:t>
      </w:r>
      <w:r w:rsidR="0099594B" w:rsidRPr="00AB7248">
        <w:rPr>
          <w:sz w:val="20"/>
          <w:szCs w:val="20"/>
          <w:lang w:val="fr-CA"/>
        </w:rPr>
        <w:t>ont</w:t>
      </w:r>
      <w:r w:rsidRPr="00AB7248">
        <w:rPr>
          <w:sz w:val="20"/>
          <w:szCs w:val="20"/>
          <w:lang w:val="fr-CA"/>
        </w:rPr>
        <w:t xml:space="preserve"> l</w:t>
      </w:r>
      <w:r w:rsidR="00F32109" w:rsidRPr="00AB7248">
        <w:rPr>
          <w:sz w:val="20"/>
          <w:szCs w:val="20"/>
          <w:lang w:val="fr-CA"/>
        </w:rPr>
        <w:t>’</w:t>
      </w:r>
      <w:r w:rsidRPr="00AB7248">
        <w:rPr>
          <w:sz w:val="20"/>
          <w:szCs w:val="20"/>
          <w:lang w:val="fr-CA"/>
        </w:rPr>
        <w:t>objet d</w:t>
      </w:r>
      <w:r w:rsidR="00F32109" w:rsidRPr="00AB7248">
        <w:rPr>
          <w:sz w:val="20"/>
          <w:szCs w:val="20"/>
          <w:lang w:val="fr-CA"/>
        </w:rPr>
        <w:t>’</w:t>
      </w:r>
      <w:r w:rsidRPr="00AB7248">
        <w:rPr>
          <w:sz w:val="20"/>
          <w:szCs w:val="20"/>
          <w:lang w:val="fr-CA"/>
        </w:rPr>
        <w:t>une vérification du casier judiciaire et suivr</w:t>
      </w:r>
      <w:r w:rsidR="00E775D1" w:rsidRPr="00AB7248">
        <w:rPr>
          <w:sz w:val="20"/>
          <w:szCs w:val="20"/>
          <w:lang w:val="fr-CA"/>
        </w:rPr>
        <w:t>ont</w:t>
      </w:r>
      <w:r w:rsidRPr="00AB7248">
        <w:rPr>
          <w:sz w:val="20"/>
          <w:szCs w:val="20"/>
          <w:lang w:val="fr-CA"/>
        </w:rPr>
        <w:t xml:space="preserve"> la formation sur le respect dans le sport. Les entraîneurs embauchés ou </w:t>
      </w:r>
      <w:r w:rsidR="00E775D1" w:rsidRPr="00AB7248">
        <w:rPr>
          <w:sz w:val="20"/>
          <w:szCs w:val="20"/>
          <w:lang w:val="fr-CA"/>
        </w:rPr>
        <w:t xml:space="preserve">les </w:t>
      </w:r>
      <w:r w:rsidRPr="00AB7248">
        <w:rPr>
          <w:sz w:val="20"/>
          <w:szCs w:val="20"/>
          <w:lang w:val="fr-CA"/>
        </w:rPr>
        <w:t>bénévoles de RNBA doivent satisfaire aux exigences susmentionnées, suivre les normes de certification des entraîneurs de RCA et</w:t>
      </w:r>
      <w:r w:rsidR="00245539" w:rsidRPr="00AB7248">
        <w:rPr>
          <w:sz w:val="20"/>
          <w:szCs w:val="20"/>
          <w:lang w:val="fr-CA"/>
        </w:rPr>
        <w:t xml:space="preserve"> remplir</w:t>
      </w:r>
      <w:r w:rsidRPr="00AB7248">
        <w:rPr>
          <w:sz w:val="20"/>
          <w:szCs w:val="20"/>
          <w:lang w:val="fr-CA"/>
        </w:rPr>
        <w:t xml:space="preserve"> l</w:t>
      </w:r>
      <w:r w:rsidR="00F32109" w:rsidRPr="00AB7248">
        <w:rPr>
          <w:sz w:val="20"/>
          <w:szCs w:val="20"/>
          <w:lang w:val="fr-CA"/>
        </w:rPr>
        <w:t>’</w:t>
      </w:r>
      <w:r w:rsidRPr="00AB7248">
        <w:rPr>
          <w:sz w:val="20"/>
          <w:szCs w:val="20"/>
          <w:lang w:val="fr-CA"/>
        </w:rPr>
        <w:t xml:space="preserve">évaluation en ligne du PNCE intitulée </w:t>
      </w:r>
      <w:r w:rsidR="00D21B3D" w:rsidRPr="00AB7248">
        <w:rPr>
          <w:sz w:val="20"/>
          <w:szCs w:val="20"/>
          <w:lang w:val="fr-CA"/>
        </w:rPr>
        <w:t>« Prise de</w:t>
      </w:r>
      <w:r w:rsidRPr="00AB7248">
        <w:rPr>
          <w:sz w:val="20"/>
          <w:szCs w:val="20"/>
          <w:lang w:val="fr-CA"/>
        </w:rPr>
        <w:t xml:space="preserve"> décisions éthiques</w:t>
      </w:r>
      <w:r w:rsidR="000E4F08" w:rsidRPr="00AB7248">
        <w:rPr>
          <w:sz w:val="20"/>
          <w:szCs w:val="20"/>
          <w:lang w:val="fr-CA"/>
        </w:rPr>
        <w:t xml:space="preserve"> </w:t>
      </w:r>
      <w:r w:rsidR="00D21B3D" w:rsidRPr="00AB7248">
        <w:rPr>
          <w:sz w:val="20"/>
          <w:szCs w:val="20"/>
          <w:lang w:val="fr-CA"/>
        </w:rPr>
        <w:t>»</w:t>
      </w:r>
      <w:r w:rsidR="000E4F08" w:rsidRPr="00AB7248">
        <w:rPr>
          <w:sz w:val="20"/>
          <w:szCs w:val="20"/>
          <w:lang w:val="fr-CA"/>
        </w:rPr>
        <w:t>.</w:t>
      </w:r>
    </w:p>
    <w:p w14:paraId="21EA80C3" w14:textId="77777777" w:rsidR="00451446" w:rsidRPr="00AB7248" w:rsidRDefault="00451446">
      <w:pPr>
        <w:pStyle w:val="Corpsdetexte"/>
        <w:spacing w:before="38"/>
        <w:rPr>
          <w:sz w:val="20"/>
          <w:szCs w:val="20"/>
          <w:lang w:val="fr-CA"/>
        </w:rPr>
      </w:pPr>
    </w:p>
    <w:p w14:paraId="6F274B46" w14:textId="3C93F821" w:rsidR="0076258E" w:rsidRPr="00AB7248" w:rsidRDefault="000E4F08">
      <w:pPr>
        <w:pStyle w:val="Corpsdetexte"/>
        <w:spacing w:line="276" w:lineRule="auto"/>
        <w:ind w:left="100" w:right="163"/>
        <w:rPr>
          <w:sz w:val="20"/>
          <w:szCs w:val="20"/>
          <w:lang w:val="fr-CA"/>
        </w:rPr>
      </w:pPr>
      <w:r w:rsidRPr="00AB7248">
        <w:rPr>
          <w:sz w:val="20"/>
          <w:szCs w:val="20"/>
          <w:lang w:val="fr-CA"/>
        </w:rPr>
        <w:t xml:space="preserve">Dans le cadre du programme de haute performance de RNBA, on a déterminé que toutes les équipes </w:t>
      </w:r>
      <w:r w:rsidR="006259B4" w:rsidRPr="00AB7248">
        <w:rPr>
          <w:sz w:val="20"/>
          <w:szCs w:val="20"/>
          <w:lang w:val="fr-CA"/>
        </w:rPr>
        <w:t>en déplacement</w:t>
      </w:r>
      <w:r w:rsidRPr="00AB7248">
        <w:rPr>
          <w:sz w:val="20"/>
          <w:szCs w:val="20"/>
          <w:lang w:val="fr-CA"/>
        </w:rPr>
        <w:t xml:space="preserve"> de RNBA répondent aux exigences suivantes :</w:t>
      </w:r>
    </w:p>
    <w:p w14:paraId="517FA2C8" w14:textId="66BEFB0E" w:rsidR="0076258E" w:rsidRPr="00AB7248" w:rsidRDefault="00AB7248">
      <w:pPr>
        <w:pStyle w:val="Paragraphedeliste"/>
        <w:numPr>
          <w:ilvl w:val="0"/>
          <w:numId w:val="1"/>
        </w:numPr>
        <w:tabs>
          <w:tab w:val="left" w:pos="820"/>
        </w:tabs>
        <w:spacing w:line="276" w:lineRule="auto"/>
        <w:ind w:right="266"/>
        <w:rPr>
          <w:sz w:val="20"/>
          <w:szCs w:val="20"/>
          <w:lang w:val="fr-CA"/>
        </w:rPr>
      </w:pPr>
      <w:r w:rsidRPr="00AB7248">
        <w:rPr>
          <w:sz w:val="20"/>
          <w:szCs w:val="20"/>
          <w:lang w:val="fr-CA"/>
        </w:rPr>
        <w:t>Toute interaction individuelle entre un entraîneur et un athlète doit avoir lieu dans un espace public. Elle doit être transparente, autorisée et responsable. Dans une situation de vulnérabilité potentielle, l</w:t>
      </w:r>
      <w:r w:rsidR="00F32109" w:rsidRPr="00AB7248">
        <w:rPr>
          <w:sz w:val="20"/>
          <w:szCs w:val="20"/>
          <w:lang w:val="fr-CA"/>
        </w:rPr>
        <w:t>’</w:t>
      </w:r>
      <w:r w:rsidRPr="00AB7248">
        <w:rPr>
          <w:sz w:val="20"/>
          <w:szCs w:val="20"/>
          <w:lang w:val="fr-CA"/>
        </w:rPr>
        <w:t>interaction doit se faire à proximité et à la vue du deuxième adulte, à l</w:t>
      </w:r>
      <w:r w:rsidR="00F32109" w:rsidRPr="00AB7248">
        <w:rPr>
          <w:sz w:val="20"/>
          <w:szCs w:val="20"/>
          <w:lang w:val="fr-CA"/>
        </w:rPr>
        <w:t>’</w:t>
      </w:r>
      <w:r w:rsidRPr="00AB7248">
        <w:rPr>
          <w:sz w:val="20"/>
          <w:szCs w:val="20"/>
          <w:lang w:val="fr-CA"/>
        </w:rPr>
        <w:t>exception des urgences médicales;</w:t>
      </w:r>
    </w:p>
    <w:p w14:paraId="2894B14B" w14:textId="0307B552" w:rsidR="0076258E" w:rsidRPr="00AB7248" w:rsidRDefault="00AB7248">
      <w:pPr>
        <w:pStyle w:val="Paragraphedeliste"/>
        <w:numPr>
          <w:ilvl w:val="0"/>
          <w:numId w:val="1"/>
        </w:numPr>
        <w:tabs>
          <w:tab w:val="left" w:pos="820"/>
        </w:tabs>
        <w:spacing w:line="276" w:lineRule="auto"/>
        <w:ind w:right="745"/>
        <w:rPr>
          <w:sz w:val="20"/>
          <w:szCs w:val="20"/>
          <w:lang w:val="fr-CA"/>
        </w:rPr>
      </w:pPr>
      <w:r w:rsidRPr="00AB7248">
        <w:rPr>
          <w:sz w:val="20"/>
          <w:szCs w:val="20"/>
          <w:lang w:val="fr-CA"/>
        </w:rPr>
        <w:t xml:space="preserve">Au moins </w:t>
      </w:r>
      <w:r w:rsidR="006259B4" w:rsidRPr="00AB7248">
        <w:rPr>
          <w:sz w:val="20"/>
          <w:szCs w:val="20"/>
          <w:lang w:val="fr-CA"/>
        </w:rPr>
        <w:t>une</w:t>
      </w:r>
      <w:r w:rsidRPr="00AB7248">
        <w:rPr>
          <w:sz w:val="20"/>
          <w:szCs w:val="20"/>
          <w:lang w:val="fr-CA"/>
        </w:rPr>
        <w:t xml:space="preserve"> entraîneu</w:t>
      </w:r>
      <w:r w:rsidR="006259B4" w:rsidRPr="00AB7248">
        <w:rPr>
          <w:sz w:val="20"/>
          <w:szCs w:val="20"/>
          <w:lang w:val="fr-CA"/>
        </w:rPr>
        <w:t>se</w:t>
      </w:r>
      <w:r w:rsidRPr="00AB7248">
        <w:rPr>
          <w:sz w:val="20"/>
          <w:szCs w:val="20"/>
          <w:lang w:val="fr-CA"/>
        </w:rPr>
        <w:t xml:space="preserve">, </w:t>
      </w:r>
      <w:r w:rsidR="006259B4" w:rsidRPr="00AB7248">
        <w:rPr>
          <w:sz w:val="20"/>
          <w:szCs w:val="20"/>
          <w:lang w:val="fr-CA"/>
        </w:rPr>
        <w:t xml:space="preserve">une gérante </w:t>
      </w:r>
      <w:r w:rsidRPr="00AB7248">
        <w:rPr>
          <w:sz w:val="20"/>
          <w:szCs w:val="20"/>
          <w:lang w:val="fr-CA"/>
        </w:rPr>
        <w:t xml:space="preserve">ou </w:t>
      </w:r>
      <w:r w:rsidR="006259B4" w:rsidRPr="00AB7248">
        <w:rPr>
          <w:sz w:val="20"/>
          <w:szCs w:val="20"/>
          <w:lang w:val="fr-CA"/>
        </w:rPr>
        <w:t>une docteure</w:t>
      </w:r>
      <w:r w:rsidRPr="00AB7248">
        <w:rPr>
          <w:sz w:val="20"/>
          <w:szCs w:val="20"/>
          <w:lang w:val="fr-CA"/>
        </w:rPr>
        <w:t xml:space="preserve"> (ou autre personnel de soutien de l</w:t>
      </w:r>
      <w:r w:rsidR="00F32109" w:rsidRPr="00AB7248">
        <w:rPr>
          <w:sz w:val="20"/>
          <w:szCs w:val="20"/>
          <w:lang w:val="fr-CA"/>
        </w:rPr>
        <w:t>’</w:t>
      </w:r>
      <w:r w:rsidRPr="00AB7248">
        <w:rPr>
          <w:sz w:val="20"/>
          <w:szCs w:val="20"/>
          <w:lang w:val="fr-CA"/>
        </w:rPr>
        <w:t xml:space="preserve">équipe) </w:t>
      </w:r>
      <w:r w:rsidRPr="00AB7248">
        <w:rPr>
          <w:spacing w:val="-3"/>
          <w:sz w:val="20"/>
          <w:szCs w:val="20"/>
          <w:lang w:val="fr-CA"/>
        </w:rPr>
        <w:t xml:space="preserve">fera partie </w:t>
      </w:r>
      <w:r w:rsidRPr="00AB7248">
        <w:rPr>
          <w:sz w:val="20"/>
          <w:szCs w:val="20"/>
          <w:lang w:val="fr-CA"/>
        </w:rPr>
        <w:t>de l</w:t>
      </w:r>
      <w:r w:rsidR="00F32109" w:rsidRPr="00AB7248">
        <w:rPr>
          <w:sz w:val="20"/>
          <w:szCs w:val="20"/>
          <w:lang w:val="fr-CA"/>
        </w:rPr>
        <w:t>’</w:t>
      </w:r>
      <w:r w:rsidRPr="00AB7248">
        <w:rPr>
          <w:sz w:val="20"/>
          <w:szCs w:val="20"/>
          <w:lang w:val="fr-CA"/>
        </w:rPr>
        <w:t>équipe s</w:t>
      </w:r>
      <w:r w:rsidR="00F32109" w:rsidRPr="00AB7248">
        <w:rPr>
          <w:sz w:val="20"/>
          <w:szCs w:val="20"/>
          <w:lang w:val="fr-CA"/>
        </w:rPr>
        <w:t>’</w:t>
      </w:r>
      <w:r w:rsidRPr="00AB7248">
        <w:rPr>
          <w:sz w:val="20"/>
          <w:szCs w:val="20"/>
          <w:lang w:val="fr-CA"/>
        </w:rPr>
        <w:t>il y a des athlètes féminines;</w:t>
      </w:r>
    </w:p>
    <w:p w14:paraId="6B624D88" w14:textId="4C665DA1" w:rsidR="0076258E" w:rsidRPr="00AB7248" w:rsidRDefault="00AB7248">
      <w:pPr>
        <w:pStyle w:val="Paragraphedeliste"/>
        <w:numPr>
          <w:ilvl w:val="0"/>
          <w:numId w:val="1"/>
        </w:numPr>
        <w:tabs>
          <w:tab w:val="left" w:pos="820"/>
        </w:tabs>
        <w:spacing w:before="1" w:line="276" w:lineRule="auto"/>
        <w:ind w:right="929"/>
        <w:rPr>
          <w:sz w:val="20"/>
          <w:szCs w:val="20"/>
          <w:lang w:val="fr-CA"/>
        </w:rPr>
      </w:pPr>
      <w:r w:rsidRPr="00AB7248">
        <w:rPr>
          <w:sz w:val="20"/>
          <w:szCs w:val="20"/>
          <w:lang w:val="fr-CA"/>
        </w:rPr>
        <w:t xml:space="preserve">Au moins un entraîneur, un </w:t>
      </w:r>
      <w:r w:rsidR="006259B4" w:rsidRPr="00AB7248">
        <w:rPr>
          <w:sz w:val="20"/>
          <w:szCs w:val="20"/>
          <w:lang w:val="fr-CA"/>
        </w:rPr>
        <w:t xml:space="preserve">gérant </w:t>
      </w:r>
      <w:r w:rsidRPr="00AB7248">
        <w:rPr>
          <w:sz w:val="20"/>
          <w:szCs w:val="20"/>
          <w:lang w:val="fr-CA"/>
        </w:rPr>
        <w:t xml:space="preserve">ou un </w:t>
      </w:r>
      <w:r w:rsidR="00234A89" w:rsidRPr="00AB7248">
        <w:rPr>
          <w:sz w:val="20"/>
          <w:szCs w:val="20"/>
          <w:lang w:val="fr-CA"/>
        </w:rPr>
        <w:t>docteur</w:t>
      </w:r>
      <w:r w:rsidRPr="00AB7248">
        <w:rPr>
          <w:sz w:val="20"/>
          <w:szCs w:val="20"/>
          <w:lang w:val="fr-CA"/>
        </w:rPr>
        <w:t xml:space="preserve"> (ou tout autre membre du personnel de soutien de l</w:t>
      </w:r>
      <w:r w:rsidR="00F32109" w:rsidRPr="00AB7248">
        <w:rPr>
          <w:sz w:val="20"/>
          <w:szCs w:val="20"/>
          <w:lang w:val="fr-CA"/>
        </w:rPr>
        <w:t>’</w:t>
      </w:r>
      <w:r w:rsidRPr="00AB7248">
        <w:rPr>
          <w:sz w:val="20"/>
          <w:szCs w:val="20"/>
          <w:lang w:val="fr-CA"/>
        </w:rPr>
        <w:t xml:space="preserve">équipe) </w:t>
      </w:r>
      <w:r w:rsidRPr="00AB7248">
        <w:rPr>
          <w:spacing w:val="-3"/>
          <w:sz w:val="20"/>
          <w:szCs w:val="20"/>
          <w:lang w:val="fr-CA"/>
        </w:rPr>
        <w:t xml:space="preserve">fera partie </w:t>
      </w:r>
      <w:r w:rsidRPr="00AB7248">
        <w:rPr>
          <w:sz w:val="20"/>
          <w:szCs w:val="20"/>
          <w:lang w:val="fr-CA"/>
        </w:rPr>
        <w:t>de l</w:t>
      </w:r>
      <w:r w:rsidR="00F32109" w:rsidRPr="00AB7248">
        <w:rPr>
          <w:sz w:val="20"/>
          <w:szCs w:val="20"/>
          <w:lang w:val="fr-CA"/>
        </w:rPr>
        <w:t>’</w:t>
      </w:r>
      <w:r w:rsidRPr="00AB7248">
        <w:rPr>
          <w:sz w:val="20"/>
          <w:szCs w:val="20"/>
          <w:lang w:val="fr-CA"/>
        </w:rPr>
        <w:t>équipe</w:t>
      </w:r>
      <w:r w:rsidR="006259B4" w:rsidRPr="00AB7248">
        <w:rPr>
          <w:sz w:val="20"/>
          <w:szCs w:val="20"/>
          <w:lang w:val="fr-CA"/>
        </w:rPr>
        <w:t xml:space="preserve"> </w:t>
      </w:r>
      <w:r w:rsidRPr="00AB7248">
        <w:rPr>
          <w:sz w:val="20"/>
          <w:szCs w:val="20"/>
          <w:lang w:val="fr-CA"/>
        </w:rPr>
        <w:t>s</w:t>
      </w:r>
      <w:r w:rsidR="00F32109" w:rsidRPr="00AB7248">
        <w:rPr>
          <w:sz w:val="20"/>
          <w:szCs w:val="20"/>
          <w:lang w:val="fr-CA"/>
        </w:rPr>
        <w:t>’</w:t>
      </w:r>
      <w:r w:rsidRPr="00AB7248">
        <w:rPr>
          <w:sz w:val="20"/>
          <w:szCs w:val="20"/>
          <w:lang w:val="fr-CA"/>
        </w:rPr>
        <w:t>il y a des athlètes de sexe masculin;</w:t>
      </w:r>
    </w:p>
    <w:p w14:paraId="35453898" w14:textId="77400DE0" w:rsidR="0076258E" w:rsidRPr="00AB7248" w:rsidRDefault="00AB7248">
      <w:pPr>
        <w:pStyle w:val="Paragraphedeliste"/>
        <w:numPr>
          <w:ilvl w:val="0"/>
          <w:numId w:val="1"/>
        </w:numPr>
        <w:tabs>
          <w:tab w:val="left" w:pos="820"/>
        </w:tabs>
        <w:ind w:hanging="360"/>
        <w:rPr>
          <w:sz w:val="20"/>
          <w:szCs w:val="20"/>
          <w:lang w:val="fr-CA"/>
        </w:rPr>
      </w:pPr>
      <w:r w:rsidRPr="00AB7248">
        <w:rPr>
          <w:sz w:val="20"/>
          <w:szCs w:val="20"/>
          <w:lang w:val="fr-CA"/>
        </w:rPr>
        <w:t xml:space="preserve">Les entraîneurs ne partagent pas leur chambre avec les athlètes (hommes ou </w:t>
      </w:r>
      <w:r w:rsidRPr="00AB7248">
        <w:rPr>
          <w:spacing w:val="-2"/>
          <w:sz w:val="20"/>
          <w:szCs w:val="20"/>
          <w:lang w:val="fr-CA"/>
        </w:rPr>
        <w:t>femmes);</w:t>
      </w:r>
    </w:p>
    <w:p w14:paraId="3B98DF22" w14:textId="46EC7365" w:rsidR="0076258E" w:rsidRPr="00AB7248" w:rsidRDefault="00AB7248">
      <w:pPr>
        <w:pStyle w:val="Paragraphedeliste"/>
        <w:numPr>
          <w:ilvl w:val="0"/>
          <w:numId w:val="1"/>
        </w:numPr>
        <w:tabs>
          <w:tab w:val="left" w:pos="820"/>
        </w:tabs>
        <w:spacing w:before="37"/>
        <w:ind w:hanging="360"/>
        <w:rPr>
          <w:sz w:val="20"/>
          <w:szCs w:val="20"/>
          <w:lang w:val="fr-CA"/>
        </w:rPr>
      </w:pPr>
      <w:r w:rsidRPr="00AB7248">
        <w:rPr>
          <w:sz w:val="20"/>
          <w:szCs w:val="20"/>
          <w:lang w:val="fr-CA"/>
        </w:rPr>
        <w:t xml:space="preserve">Les athlètes masculins et féminins </w:t>
      </w:r>
      <w:r w:rsidR="001D0BBC" w:rsidRPr="00AB7248">
        <w:rPr>
          <w:sz w:val="20"/>
          <w:szCs w:val="20"/>
          <w:lang w:val="fr-CA"/>
        </w:rPr>
        <w:t>ne partagent pas la même chambre;</w:t>
      </w:r>
    </w:p>
    <w:p w14:paraId="72B4F2DD" w14:textId="0007DDBA" w:rsidR="0076258E" w:rsidRPr="00AB7248" w:rsidRDefault="00AB7248">
      <w:pPr>
        <w:pStyle w:val="Paragraphedeliste"/>
        <w:numPr>
          <w:ilvl w:val="0"/>
          <w:numId w:val="1"/>
        </w:numPr>
        <w:tabs>
          <w:tab w:val="left" w:pos="820"/>
        </w:tabs>
        <w:spacing w:before="39" w:line="276" w:lineRule="auto"/>
        <w:ind w:right="218"/>
        <w:rPr>
          <w:sz w:val="20"/>
          <w:szCs w:val="20"/>
          <w:lang w:val="fr-CA"/>
        </w:rPr>
      </w:pPr>
      <w:r w:rsidRPr="00AB7248">
        <w:rPr>
          <w:sz w:val="20"/>
          <w:szCs w:val="20"/>
          <w:lang w:val="fr-CA"/>
        </w:rPr>
        <w:t xml:space="preserve">Dans la mesure du possible, les athlètes doivent </w:t>
      </w:r>
      <w:r w:rsidRPr="00AB7248">
        <w:rPr>
          <w:sz w:val="20"/>
          <w:szCs w:val="20"/>
          <w:lang w:val="fr-CA"/>
        </w:rPr>
        <w:t>trouver des endroits communs pour socialiser</w:t>
      </w:r>
      <w:r w:rsidR="001D0BBC" w:rsidRPr="00AB7248">
        <w:rPr>
          <w:sz w:val="20"/>
          <w:szCs w:val="20"/>
          <w:lang w:val="fr-CA"/>
        </w:rPr>
        <w:t>,</w:t>
      </w:r>
      <w:r w:rsidRPr="00AB7248">
        <w:rPr>
          <w:sz w:val="20"/>
          <w:szCs w:val="20"/>
          <w:lang w:val="fr-CA"/>
        </w:rPr>
        <w:t xml:space="preserve"> autres que la chambre </w:t>
      </w:r>
      <w:r w:rsidR="001D0BBC" w:rsidRPr="00AB7248">
        <w:rPr>
          <w:sz w:val="20"/>
          <w:szCs w:val="20"/>
          <w:lang w:val="fr-CA"/>
        </w:rPr>
        <w:t xml:space="preserve">d’une personne. Des renseignements sur le sport sécuritaire </w:t>
      </w:r>
      <w:r w:rsidRPr="00AB7248">
        <w:rPr>
          <w:sz w:val="20"/>
          <w:szCs w:val="20"/>
          <w:lang w:val="fr-CA"/>
        </w:rPr>
        <w:t>et l</w:t>
      </w:r>
      <w:r w:rsidR="00F32109" w:rsidRPr="00AB7248">
        <w:rPr>
          <w:sz w:val="20"/>
          <w:szCs w:val="20"/>
          <w:lang w:val="fr-CA"/>
        </w:rPr>
        <w:t>’</w:t>
      </w:r>
      <w:r w:rsidRPr="00AB7248">
        <w:rPr>
          <w:sz w:val="20"/>
          <w:szCs w:val="20"/>
          <w:lang w:val="fr-CA"/>
        </w:rPr>
        <w:t>accès à la ligne d</w:t>
      </w:r>
      <w:r w:rsidR="00F32109" w:rsidRPr="00AB7248">
        <w:rPr>
          <w:sz w:val="20"/>
          <w:szCs w:val="20"/>
          <w:lang w:val="fr-CA"/>
        </w:rPr>
        <w:t>’</w:t>
      </w:r>
      <w:r w:rsidRPr="00AB7248">
        <w:rPr>
          <w:sz w:val="20"/>
          <w:szCs w:val="20"/>
          <w:lang w:val="fr-CA"/>
        </w:rPr>
        <w:t xml:space="preserve">aide de Sport Canada </w:t>
      </w:r>
      <w:r w:rsidR="001D0BBC" w:rsidRPr="00AB7248">
        <w:rPr>
          <w:sz w:val="20"/>
          <w:szCs w:val="20"/>
          <w:lang w:val="fr-CA"/>
        </w:rPr>
        <w:t>se trouvent</w:t>
      </w:r>
      <w:r w:rsidRPr="00AB7248">
        <w:rPr>
          <w:sz w:val="20"/>
          <w:szCs w:val="20"/>
          <w:lang w:val="fr-CA"/>
        </w:rPr>
        <w:t xml:space="preserve"> sur le site Web d</w:t>
      </w:r>
      <w:r w:rsidR="004C135E" w:rsidRPr="00AB7248">
        <w:rPr>
          <w:sz w:val="20"/>
          <w:szCs w:val="20"/>
          <w:lang w:val="fr-CA"/>
        </w:rPr>
        <w:t xml:space="preserve">e Rowing Canada </w:t>
      </w:r>
      <w:r w:rsidRPr="00AB7248">
        <w:rPr>
          <w:sz w:val="20"/>
          <w:szCs w:val="20"/>
          <w:lang w:val="fr-CA"/>
        </w:rPr>
        <w:t xml:space="preserve">Aviron, sous la rubrique Sport </w:t>
      </w:r>
      <w:r w:rsidR="005A6C12" w:rsidRPr="00AB7248">
        <w:rPr>
          <w:sz w:val="20"/>
          <w:szCs w:val="20"/>
          <w:lang w:val="fr-CA"/>
        </w:rPr>
        <w:t>sécuritaire</w:t>
      </w:r>
      <w:r w:rsidRPr="00AB7248">
        <w:rPr>
          <w:sz w:val="20"/>
          <w:szCs w:val="20"/>
          <w:lang w:val="fr-CA"/>
        </w:rPr>
        <w:t>.</w:t>
      </w:r>
    </w:p>
    <w:p w14:paraId="4CED33AF" w14:textId="77777777" w:rsidR="00552FDD" w:rsidRPr="00AB7248" w:rsidRDefault="00552FDD" w:rsidP="00552FDD">
      <w:pPr>
        <w:tabs>
          <w:tab w:val="left" w:pos="820"/>
        </w:tabs>
        <w:spacing w:before="39" w:line="276" w:lineRule="auto"/>
        <w:ind w:right="218"/>
        <w:rPr>
          <w:sz w:val="20"/>
          <w:szCs w:val="20"/>
          <w:lang w:val="fr-CA"/>
        </w:rPr>
      </w:pPr>
    </w:p>
    <w:p w14:paraId="6D5BAA3C" w14:textId="77777777" w:rsidR="00AB7248" w:rsidRPr="00AB7248" w:rsidRDefault="00AB7248" w:rsidP="00AB7248">
      <w:pPr>
        <w:keepNext/>
        <w:keepLines/>
        <w:tabs>
          <w:tab w:val="left" w:pos="1803"/>
        </w:tabs>
        <w:spacing w:before="59"/>
        <w:rPr>
          <w:sz w:val="18"/>
          <w:szCs w:val="18"/>
          <w:lang w:val="fr-CA"/>
        </w:rPr>
      </w:pPr>
      <w:commentRangeStart w:id="0"/>
      <w:r w:rsidRPr="00AB7248">
        <w:rPr>
          <w:sz w:val="18"/>
          <w:szCs w:val="18"/>
          <w:lang w:val="fr-CA"/>
        </w:rPr>
        <w:t xml:space="preserve">Note : </w:t>
      </w:r>
      <w:commentRangeEnd w:id="0"/>
      <w:r w:rsidRPr="00AB7248">
        <w:rPr>
          <w:rStyle w:val="Marquedecommentaire"/>
          <w:sz w:val="18"/>
          <w:szCs w:val="18"/>
        </w:rPr>
        <w:commentReference w:id="0"/>
      </w:r>
      <w:r w:rsidRPr="00AB7248">
        <w:rPr>
          <w:sz w:val="18"/>
          <w:szCs w:val="18"/>
          <w:lang w:val="fr-CA"/>
        </w:rPr>
        <w:t>Dans le présent document, les mots de genre masculin appliqués aux personnes désignent les hommes et les femmes.</w:t>
      </w:r>
    </w:p>
    <w:p w14:paraId="08A5EEDF" w14:textId="77777777" w:rsidR="00552FDD" w:rsidRPr="00552FDD" w:rsidRDefault="00552FDD" w:rsidP="00552FDD">
      <w:pPr>
        <w:tabs>
          <w:tab w:val="left" w:pos="820"/>
        </w:tabs>
        <w:spacing w:before="39" w:line="276" w:lineRule="auto"/>
        <w:ind w:right="218"/>
        <w:rPr>
          <w:lang w:val="fr-CA"/>
        </w:rPr>
      </w:pPr>
    </w:p>
    <w:sectPr w:rsidR="00552FDD" w:rsidRPr="00552FDD">
      <w:type w:val="continuous"/>
      <w:pgSz w:w="12240" w:h="15840"/>
      <w:pgMar w:top="720" w:right="1360" w:bottom="280" w:left="13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atali Bourret" w:date="2023-11-21T16:53:00Z" w:initials="NB">
    <w:p w14:paraId="709EAF36" w14:textId="77777777" w:rsidR="00AB7248" w:rsidRDefault="00AB7248" w:rsidP="00AB7248">
      <w:pPr>
        <w:pStyle w:val="Commentaire"/>
      </w:pPr>
      <w:r>
        <w:rPr>
          <w:rStyle w:val="Marquedecommentaire"/>
        </w:rPr>
        <w:annotationRef/>
      </w:r>
      <w:r>
        <w:rPr>
          <w:lang w:val="fr-CA"/>
        </w:rPr>
        <w:t>Note to client:</w:t>
      </w:r>
    </w:p>
    <w:p w14:paraId="12B4AEB8" w14:textId="77777777" w:rsidR="00AB7248" w:rsidRDefault="00AB7248" w:rsidP="00AB7248">
      <w:pPr>
        <w:pStyle w:val="Commentaire"/>
      </w:pPr>
      <w:r>
        <w:rPr>
          <w:lang w:val="fr-CA"/>
        </w:rPr>
        <w:t>This is a note in all documents to indicate that the masculine was used but that it refers to the feminine as well. This is done as a whole in the industry to facilitate reading the document.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B4AEB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0D239E6" w16cex:dateUtc="2023-11-21T20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B4AEB8" w16cid:durableId="30D239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532EF" w14:textId="77777777" w:rsidR="00234A89" w:rsidRDefault="00234A89" w:rsidP="00234A89">
      <w:r>
        <w:separator/>
      </w:r>
    </w:p>
  </w:endnote>
  <w:endnote w:type="continuationSeparator" w:id="0">
    <w:p w14:paraId="4BAF8CAA" w14:textId="77777777" w:rsidR="00234A89" w:rsidRDefault="00234A89" w:rsidP="0023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94CBD" w14:textId="77777777" w:rsidR="00234A89" w:rsidRDefault="00234A89" w:rsidP="00234A89">
      <w:r>
        <w:separator/>
      </w:r>
    </w:p>
  </w:footnote>
  <w:footnote w:type="continuationSeparator" w:id="0">
    <w:p w14:paraId="00189043" w14:textId="77777777" w:rsidR="00234A89" w:rsidRDefault="00234A89" w:rsidP="00234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5DF1"/>
    <w:multiLevelType w:val="hybridMultilevel"/>
    <w:tmpl w:val="5E10F774"/>
    <w:lvl w:ilvl="0" w:tplc="CCAA52EA">
      <w:numFmt w:val="bullet"/>
      <w:lvlText w:val="●"/>
      <w:lvlJc w:val="left"/>
      <w:pPr>
        <w:ind w:left="820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303E0DE4"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2" w:tplc="2C320674">
      <w:numFmt w:val="bullet"/>
      <w:lvlText w:val="•"/>
      <w:lvlJc w:val="left"/>
      <w:pPr>
        <w:ind w:left="2564" w:hanging="361"/>
      </w:pPr>
      <w:rPr>
        <w:rFonts w:hint="default"/>
        <w:lang w:val="en-US" w:eastAsia="en-US" w:bidi="ar-SA"/>
      </w:rPr>
    </w:lvl>
    <w:lvl w:ilvl="3" w:tplc="E69C6DFC">
      <w:numFmt w:val="bullet"/>
      <w:lvlText w:val="•"/>
      <w:lvlJc w:val="left"/>
      <w:pPr>
        <w:ind w:left="3436" w:hanging="361"/>
      </w:pPr>
      <w:rPr>
        <w:rFonts w:hint="default"/>
        <w:lang w:val="en-US" w:eastAsia="en-US" w:bidi="ar-SA"/>
      </w:rPr>
    </w:lvl>
    <w:lvl w:ilvl="4" w:tplc="E29ADEF0">
      <w:numFmt w:val="bullet"/>
      <w:lvlText w:val="•"/>
      <w:lvlJc w:val="left"/>
      <w:pPr>
        <w:ind w:left="4308" w:hanging="361"/>
      </w:pPr>
      <w:rPr>
        <w:rFonts w:hint="default"/>
        <w:lang w:val="en-US" w:eastAsia="en-US" w:bidi="ar-SA"/>
      </w:rPr>
    </w:lvl>
    <w:lvl w:ilvl="5" w:tplc="342004A8">
      <w:numFmt w:val="bullet"/>
      <w:lvlText w:val="•"/>
      <w:lvlJc w:val="left"/>
      <w:pPr>
        <w:ind w:left="5180" w:hanging="361"/>
      </w:pPr>
      <w:rPr>
        <w:rFonts w:hint="default"/>
        <w:lang w:val="en-US" w:eastAsia="en-US" w:bidi="ar-SA"/>
      </w:rPr>
    </w:lvl>
    <w:lvl w:ilvl="6" w:tplc="E6E21894">
      <w:numFmt w:val="bullet"/>
      <w:lvlText w:val="•"/>
      <w:lvlJc w:val="left"/>
      <w:pPr>
        <w:ind w:left="6052" w:hanging="361"/>
      </w:pPr>
      <w:rPr>
        <w:rFonts w:hint="default"/>
        <w:lang w:val="en-US" w:eastAsia="en-US" w:bidi="ar-SA"/>
      </w:rPr>
    </w:lvl>
    <w:lvl w:ilvl="7" w:tplc="3FCCED70">
      <w:numFmt w:val="bullet"/>
      <w:lvlText w:val="•"/>
      <w:lvlJc w:val="left"/>
      <w:pPr>
        <w:ind w:left="6924" w:hanging="361"/>
      </w:pPr>
      <w:rPr>
        <w:rFonts w:hint="default"/>
        <w:lang w:val="en-US" w:eastAsia="en-US" w:bidi="ar-SA"/>
      </w:rPr>
    </w:lvl>
    <w:lvl w:ilvl="8" w:tplc="9F9CC6B8">
      <w:numFmt w:val="bullet"/>
      <w:lvlText w:val="•"/>
      <w:lvlJc w:val="left"/>
      <w:pPr>
        <w:ind w:left="7796" w:hanging="361"/>
      </w:pPr>
      <w:rPr>
        <w:rFonts w:hint="default"/>
        <w:lang w:val="en-US" w:eastAsia="en-US" w:bidi="ar-SA"/>
      </w:rPr>
    </w:lvl>
  </w:abstractNum>
  <w:num w:numId="1" w16cid:durableId="15836777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ali Bourret">
    <w15:presenceInfo w15:providerId="Windows Live" w15:userId="04065b5a454494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46"/>
    <w:rsid w:val="000E4F08"/>
    <w:rsid w:val="000E7ECA"/>
    <w:rsid w:val="001D0BBC"/>
    <w:rsid w:val="001F5824"/>
    <w:rsid w:val="001F6F0B"/>
    <w:rsid w:val="00234A89"/>
    <w:rsid w:val="00245539"/>
    <w:rsid w:val="002D3226"/>
    <w:rsid w:val="003978BA"/>
    <w:rsid w:val="00451446"/>
    <w:rsid w:val="004C135E"/>
    <w:rsid w:val="00552FDD"/>
    <w:rsid w:val="005707C4"/>
    <w:rsid w:val="005A6C12"/>
    <w:rsid w:val="006259B4"/>
    <w:rsid w:val="006B464A"/>
    <w:rsid w:val="006D7902"/>
    <w:rsid w:val="0076258E"/>
    <w:rsid w:val="00902B94"/>
    <w:rsid w:val="00934481"/>
    <w:rsid w:val="00984954"/>
    <w:rsid w:val="0099594B"/>
    <w:rsid w:val="00AB7248"/>
    <w:rsid w:val="00B47AA4"/>
    <w:rsid w:val="00BA696E"/>
    <w:rsid w:val="00BF7BC9"/>
    <w:rsid w:val="00C21B8F"/>
    <w:rsid w:val="00D21B3D"/>
    <w:rsid w:val="00D508F6"/>
    <w:rsid w:val="00D869FB"/>
    <w:rsid w:val="00DA0E91"/>
    <w:rsid w:val="00E775D1"/>
    <w:rsid w:val="00EA1B4E"/>
    <w:rsid w:val="00F3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457A"/>
  <w15:docId w15:val="{3EC528CA-430C-4F92-9ACC-E9187753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34A89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234A89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234A89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4A89"/>
    <w:rPr>
      <w:rFonts w:ascii="Arial" w:eastAsia="Arial" w:hAnsi="Arial" w:cs="Arial"/>
    </w:rPr>
  </w:style>
  <w:style w:type="character" w:styleId="Marquedecommentaire">
    <w:name w:val="annotation reference"/>
    <w:basedOn w:val="Policepardfaut"/>
    <w:uiPriority w:val="99"/>
    <w:semiHidden/>
    <w:unhideWhenUsed/>
    <w:rsid w:val="00AB724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B7248"/>
    <w:pPr>
      <w:widowControl/>
      <w:autoSpaceDE/>
      <w:autoSpaceDN/>
      <w:spacing w:after="160"/>
    </w:pPr>
    <w:rPr>
      <w:rFonts w:ascii="Calibri" w:eastAsia="Calibri" w:hAnsi="Calibri" w:cs="Calibri"/>
      <w:sz w:val="20"/>
      <w:szCs w:val="20"/>
      <w:lang w:val="en-CA" w:eastAsia="en-CA"/>
    </w:rPr>
  </w:style>
  <w:style w:type="character" w:customStyle="1" w:styleId="CommentaireCar">
    <w:name w:val="Commentaire Car"/>
    <w:basedOn w:val="Policepardfaut"/>
    <w:link w:val="Commentaire"/>
    <w:uiPriority w:val="99"/>
    <w:rsid w:val="00AB7248"/>
    <w:rPr>
      <w:rFonts w:ascii="Calibri" w:eastAsia="Calibri" w:hAnsi="Calibri" w:cs="Calibri"/>
      <w:sz w:val="20"/>
      <w:szCs w:val="20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RNBA Rule of 2</vt:lpstr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RNBA Rule of 2</dc:title>
  <dc:creator>rankin</dc:creator>
  <cp:keywords>, docId:85C3C92B64F0E0F9AE5EC23C65631658</cp:keywords>
  <cp:lastModifiedBy>Natali Bourret</cp:lastModifiedBy>
  <cp:revision>4</cp:revision>
  <dcterms:created xsi:type="dcterms:W3CDTF">2023-11-21T12:07:00Z</dcterms:created>
  <dcterms:modified xsi:type="dcterms:W3CDTF">2023-11-21T20:56:00Z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2023-11-15T00:00:00Z</vt:filetime>
  </property>
  <property fmtid="{D5CDD505-2E9C-101B-9397-08002B2CF9AE}" pid="5" name="Producer">
    <vt:lpwstr>Acrobat Distiller 20.0 (Windows)</vt:lpwstr>
  </property>
</Properties>
</file>