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12" w:rsidRPr="00560D5E" w:rsidRDefault="00AB5821" w:rsidP="00AB5821">
      <w:pPr>
        <w:pStyle w:val="Title"/>
        <w:rPr>
          <w:color w:val="auto"/>
        </w:rPr>
      </w:pPr>
      <w:bookmarkStart w:id="0" w:name="_GoBack"/>
      <w:bookmarkEnd w:id="0"/>
      <w:r w:rsidRPr="00560D5E">
        <w:rPr>
          <w:color w:val="auto"/>
        </w:rPr>
        <w:t>OBJECTIONS</w:t>
      </w:r>
    </w:p>
    <w:p w:rsidR="00AB5821" w:rsidRDefault="008333AD" w:rsidP="00AB5821">
      <w:r>
        <w:rPr>
          <w:b/>
        </w:rPr>
        <w:t>RELEVANCE</w:t>
      </w:r>
      <w:r w:rsidR="00AB5821">
        <w:rPr>
          <w:b/>
        </w:rPr>
        <w:t xml:space="preserve"> 401</w:t>
      </w:r>
      <w:r>
        <w:rPr>
          <w:b/>
        </w:rPr>
        <w:t>:</w:t>
      </w:r>
      <w:r w:rsidR="00AB5821">
        <w:rPr>
          <w:b/>
        </w:rPr>
        <w:t xml:space="preserve"> – </w:t>
      </w:r>
      <w:r w:rsidR="00AB5821" w:rsidRPr="00AB5821">
        <w:t>to be relevant, the testimony has to have “</w:t>
      </w:r>
      <w:r w:rsidR="00AB5821">
        <w:t>any tende</w:t>
      </w:r>
      <w:r w:rsidR="00AB5821" w:rsidRPr="00AB5821">
        <w:t>ncy to make the</w:t>
      </w:r>
      <w:r w:rsidR="00AB5821">
        <w:t xml:space="preserve"> existence of any fact that is of consequence to the determination of the action more probable than it would be without the evidence”; i.e. it has to make one of the elements of the crimes more/less likely</w:t>
      </w:r>
    </w:p>
    <w:p w:rsidR="008333AD" w:rsidRDefault="008333AD" w:rsidP="00AB5821"/>
    <w:p w:rsidR="008333AD" w:rsidRPr="008333AD" w:rsidRDefault="008333AD" w:rsidP="00AB5821">
      <w:r>
        <w:rPr>
          <w:b/>
        </w:rPr>
        <w:t xml:space="preserve">MORE PREJUDICIAL THAN PROBATIVE 403: </w:t>
      </w:r>
      <w:r w:rsidR="00F503E3">
        <w:t>the court determines the evidence IS relevant, but you believe that it is too prejudicial to go to the jury (i.e. evidence of someone’s severed head in a murder case “the prejudicial effect outweighs its probative value”)</w:t>
      </w:r>
    </w:p>
    <w:p w:rsidR="00AB5821" w:rsidRDefault="00AB5821" w:rsidP="00AB5821"/>
    <w:p w:rsidR="00AB5821" w:rsidRDefault="008333AD" w:rsidP="00AB5821">
      <w:r>
        <w:rPr>
          <w:b/>
        </w:rPr>
        <w:t>BEST EVIDENCE</w:t>
      </w:r>
      <w:r w:rsidR="00AB5821">
        <w:rPr>
          <w:b/>
        </w:rPr>
        <w:t xml:space="preserve"> 1002</w:t>
      </w:r>
      <w:r>
        <w:rPr>
          <w:b/>
        </w:rPr>
        <w:t>:</w:t>
      </w:r>
      <w:r w:rsidR="00AB5821">
        <w:rPr>
          <w:b/>
        </w:rPr>
        <w:t xml:space="preserve"> – </w:t>
      </w:r>
      <w:r w:rsidR="00AB5821">
        <w:t>to prove the contents of a document, the original is required</w:t>
      </w:r>
    </w:p>
    <w:p w:rsidR="00AB5821" w:rsidRDefault="00AB5821" w:rsidP="00AB5821"/>
    <w:p w:rsidR="00AB5821" w:rsidRDefault="00AB5821" w:rsidP="00AB5821">
      <w:r>
        <w:rPr>
          <w:b/>
        </w:rPr>
        <w:t>AUTHENTICITY</w:t>
      </w:r>
      <w:r>
        <w:t xml:space="preserve"> </w:t>
      </w:r>
      <w:r>
        <w:rPr>
          <w:b/>
        </w:rPr>
        <w:t>901</w:t>
      </w:r>
      <w:r w:rsidR="008333AD">
        <w:rPr>
          <w:b/>
        </w:rPr>
        <w:t>:</w:t>
      </w:r>
      <w:r>
        <w:rPr>
          <w:b/>
        </w:rPr>
        <w:t xml:space="preserve"> – </w:t>
      </w:r>
      <w:r>
        <w:t>authenticity is satisfied by evidence to support a finding that the matter in question is what it claims to be</w:t>
      </w:r>
    </w:p>
    <w:p w:rsidR="00AB5821" w:rsidRDefault="00AB5821" w:rsidP="00AB5821"/>
    <w:p w:rsidR="00A345D4" w:rsidRDefault="008333AD" w:rsidP="00A345D4">
      <w:r>
        <w:rPr>
          <w:b/>
        </w:rPr>
        <w:t>HEARSAY</w:t>
      </w:r>
      <w:r w:rsidR="00AB5821">
        <w:rPr>
          <w:b/>
        </w:rPr>
        <w:t xml:space="preserve"> 801/802</w:t>
      </w:r>
      <w:r>
        <w:rPr>
          <w:b/>
        </w:rPr>
        <w:t>:</w:t>
      </w:r>
      <w:r w:rsidR="00AB5821">
        <w:rPr>
          <w:b/>
        </w:rPr>
        <w:t xml:space="preserve"> – </w:t>
      </w:r>
      <w:r w:rsidR="00AB5821">
        <w:t>an out of court statement that is offered for the truth of the matter asserted; hearsay is inadmissible</w:t>
      </w:r>
    </w:p>
    <w:p w:rsidR="00AB5821" w:rsidRDefault="00AB5821" w:rsidP="00AB5821"/>
    <w:p w:rsidR="00A345D4" w:rsidRDefault="00AB5821" w:rsidP="00AB5821">
      <w:pPr>
        <w:rPr>
          <w:b/>
        </w:rPr>
      </w:pPr>
      <w:r>
        <w:rPr>
          <w:b/>
        </w:rPr>
        <w:t>HEARSAY EXCEPTIONS:</w:t>
      </w:r>
    </w:p>
    <w:p w:rsidR="00DA4C6B" w:rsidRPr="00A345D4" w:rsidRDefault="00DA4C6B" w:rsidP="00DA4C6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NON-HEARSAY 801(2): </w:t>
      </w:r>
      <w:r>
        <w:t>admission by a party opponent</w:t>
      </w:r>
    </w:p>
    <w:p w:rsidR="00A345D4" w:rsidRPr="00DA4C6B" w:rsidRDefault="00A345D4" w:rsidP="00DA4C6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NON-HEARSAY: </w:t>
      </w:r>
      <w:r>
        <w:t>not being offered for the truth</w:t>
      </w:r>
    </w:p>
    <w:p w:rsidR="00DA4C6B" w:rsidRPr="00DA4C6B" w:rsidRDefault="00DA4C6B" w:rsidP="00DA4C6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PRESENT SENSE IMPRESSION 803(1):</w:t>
      </w:r>
      <w:r>
        <w:t xml:space="preserve"> statement describing an event or condition made while the declarant was perceiving the event or condition, or immediately thereafter</w:t>
      </w:r>
    </w:p>
    <w:p w:rsidR="00DA4C6B" w:rsidRPr="00DA4C6B" w:rsidRDefault="00DA4C6B" w:rsidP="00DA4C6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EXCITED UTTERANCE 803(2):</w:t>
      </w:r>
      <w:r>
        <w:t xml:space="preserve"> statement relating to a startling event or condition made while the declarant was under the stress of excitement caused by the event or condition</w:t>
      </w:r>
    </w:p>
    <w:p w:rsidR="00DA4C6B" w:rsidRPr="008333AD" w:rsidRDefault="00DA4C6B" w:rsidP="00DA4C6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THEN EXISISTING STATE OF MIND 803(2): </w:t>
      </w:r>
      <w:r>
        <w:t>statement of the declarant’s then existing state of mind, emotion, sensation, or physical condition</w:t>
      </w:r>
    </w:p>
    <w:p w:rsidR="008333AD" w:rsidRPr="008333AD" w:rsidRDefault="008333AD" w:rsidP="00DA4C6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BUSINESS RECORD 803(6):</w:t>
      </w:r>
      <w:r>
        <w:t xml:space="preserve"> … made at or near the time by a person with knowledge, kept in the course of a regularly conducted business activity, and if it was the regular practice of that business to make the report, </w:t>
      </w:r>
      <w:r>
        <w:rPr>
          <w:b/>
        </w:rPr>
        <w:t>UNLESS</w:t>
      </w:r>
      <w:r>
        <w:t xml:space="preserve"> the source of information or the method or circumstances of preparation indicate lack of trustworthiness</w:t>
      </w:r>
    </w:p>
    <w:p w:rsidR="008333AD" w:rsidRDefault="008333AD" w:rsidP="008333AD"/>
    <w:p w:rsidR="008333AD" w:rsidRDefault="008333AD" w:rsidP="008333AD">
      <w:r>
        <w:rPr>
          <w:b/>
        </w:rPr>
        <w:lastRenderedPageBreak/>
        <w:t xml:space="preserve">NARRATIVE: </w:t>
      </w:r>
      <w:r>
        <w:t>if a witness is going on and on saying facts that are above and beyond the question they were asked</w:t>
      </w:r>
    </w:p>
    <w:p w:rsidR="00E15C38" w:rsidRDefault="00E15C38" w:rsidP="008333AD"/>
    <w:p w:rsidR="00E15C38" w:rsidRPr="00E15C38" w:rsidRDefault="00E15C38" w:rsidP="008333AD">
      <w:r>
        <w:rPr>
          <w:b/>
        </w:rPr>
        <w:t xml:space="preserve">HABIT/ROUTINE PRACTICE 406: </w:t>
      </w:r>
      <w:r w:rsidR="007C7A0A">
        <w:t>evidence of the habit of a person or of the routine practice of an organization, whether c</w:t>
      </w:r>
      <w:r w:rsidR="00D07A9F">
        <w:t>orroborated or not and regardless of the presence of eyewitnesses, is relevant to prove that the conduct of the person or organization on a particular occasion was in conformity with the habit or routine practice</w:t>
      </w:r>
    </w:p>
    <w:p w:rsidR="008333AD" w:rsidRDefault="008333AD" w:rsidP="008333AD"/>
    <w:p w:rsidR="008333AD" w:rsidRDefault="008333AD" w:rsidP="008333AD">
      <w:r>
        <w:rPr>
          <w:b/>
        </w:rPr>
        <w:t xml:space="preserve">NON-RESPONSIVE: </w:t>
      </w:r>
      <w:r>
        <w:t>if a witness gives an answer that doesn’t answer the question (MOVE TO STRIKE IF SUSTAINED)</w:t>
      </w:r>
    </w:p>
    <w:p w:rsidR="008333AD" w:rsidRDefault="008333AD" w:rsidP="008333AD"/>
    <w:p w:rsidR="008333AD" w:rsidRPr="008333AD" w:rsidRDefault="008333AD" w:rsidP="008333AD">
      <w:r>
        <w:rPr>
          <w:b/>
        </w:rPr>
        <w:t xml:space="preserve">ASKED AND ANSWERED: </w:t>
      </w:r>
      <w:r w:rsidR="000C6A97">
        <w:t>if the attorney is repeatedly asking the same question (usually when they are not getting the answer they want) - w</w:t>
      </w:r>
      <w:r>
        <w:t>ithin</w:t>
      </w:r>
      <w:r w:rsidR="000C6A97">
        <w:t xml:space="preserve"> one attorney’s examination of one</w:t>
      </w:r>
      <w:r>
        <w:t xml:space="preserve"> witness; it is OKAY to ask same question on cross that was asked on direct</w:t>
      </w:r>
    </w:p>
    <w:p w:rsidR="008333AD" w:rsidRDefault="008333AD" w:rsidP="008333AD">
      <w:pPr>
        <w:rPr>
          <w:b/>
        </w:rPr>
      </w:pPr>
    </w:p>
    <w:p w:rsidR="008333AD" w:rsidRDefault="008333AD" w:rsidP="008333AD">
      <w:r>
        <w:rPr>
          <w:b/>
        </w:rPr>
        <w:t xml:space="preserve">LEADING: </w:t>
      </w:r>
      <w:r>
        <w:t>suggesting the answer in the question</w:t>
      </w:r>
    </w:p>
    <w:p w:rsidR="007F119C" w:rsidRDefault="007F119C" w:rsidP="008333AD"/>
    <w:p w:rsidR="007F119C" w:rsidRDefault="007F119C" w:rsidP="008333AD">
      <w:r>
        <w:rPr>
          <w:b/>
        </w:rPr>
        <w:t xml:space="preserve">SPECULATIVE: </w:t>
      </w:r>
      <w:r>
        <w:t>any question/answer where the witness speculates/guesses</w:t>
      </w:r>
    </w:p>
    <w:p w:rsidR="007F119C" w:rsidRDefault="007F119C" w:rsidP="008333AD"/>
    <w:p w:rsidR="007F119C" w:rsidRPr="007F119C" w:rsidRDefault="007F119C" w:rsidP="008333AD">
      <w:r>
        <w:rPr>
          <w:b/>
        </w:rPr>
        <w:t xml:space="preserve">LACK OF PERSONAL KNOWLEDGE 602: </w:t>
      </w:r>
      <w:r>
        <w:t>a witness may not testify to a matter unless evidence is introduced sufficient to support a finding that the witness has personal knowledge of the matter</w:t>
      </w:r>
    </w:p>
    <w:p w:rsidR="007F119C" w:rsidRDefault="007F119C" w:rsidP="008333AD"/>
    <w:p w:rsidR="007F119C" w:rsidRDefault="007F119C" w:rsidP="008333AD">
      <w:r>
        <w:rPr>
          <w:b/>
        </w:rPr>
        <w:t>COMPOUND QUESTION:</w:t>
      </w:r>
      <w:r>
        <w:t xml:space="preserve"> if an attorney asks more than one question in one question</w:t>
      </w:r>
    </w:p>
    <w:p w:rsidR="007F119C" w:rsidRDefault="007F119C" w:rsidP="008333AD"/>
    <w:p w:rsidR="000F4F9F" w:rsidRDefault="007F119C" w:rsidP="008333AD">
      <w:r>
        <w:rPr>
          <w:b/>
        </w:rPr>
        <w:t>IMPROPER CHARACTERIZATION:</w:t>
      </w:r>
      <w:r>
        <w:t xml:space="preserve"> if a witness uses terms/phrases that are characteriz</w:t>
      </w:r>
      <w:r w:rsidR="00D70653">
        <w:t>ing something</w:t>
      </w:r>
    </w:p>
    <w:p w:rsidR="000F4F9F" w:rsidRDefault="000F4F9F" w:rsidP="008333AD"/>
    <w:p w:rsidR="000F4F9F" w:rsidRDefault="000F4F9F" w:rsidP="008333AD">
      <w:r>
        <w:rPr>
          <w:b/>
        </w:rPr>
        <w:t xml:space="preserve">CUMULATIVE: </w:t>
      </w:r>
      <w:r>
        <w:t>for repetitive testimony/evidence</w:t>
      </w:r>
    </w:p>
    <w:p w:rsidR="000F4F9F" w:rsidRDefault="000F4F9F" w:rsidP="008333AD"/>
    <w:p w:rsidR="008333AD" w:rsidRDefault="000F4F9F" w:rsidP="008333AD">
      <w:r>
        <w:rPr>
          <w:b/>
        </w:rPr>
        <w:t xml:space="preserve">BOLSTERING: </w:t>
      </w:r>
      <w:r w:rsidR="00B050D9">
        <w:t>similar to cumulative objection</w:t>
      </w:r>
      <w:r w:rsidR="000C6A97">
        <w:t>, when testimony is repeated by several witnesses/pieces of evidence unnecessarily</w:t>
      </w:r>
    </w:p>
    <w:p w:rsidR="00255BC3" w:rsidRDefault="00255BC3" w:rsidP="008333AD"/>
    <w:p w:rsidR="00255BC3" w:rsidRDefault="00255BC3" w:rsidP="008333AD">
      <w:r>
        <w:rPr>
          <w:b/>
        </w:rPr>
        <w:t xml:space="preserve">ARGUMENTATIVE: </w:t>
      </w:r>
      <w:r>
        <w:t>if an attorney is arguing in their questions</w:t>
      </w:r>
    </w:p>
    <w:p w:rsidR="00255BC3" w:rsidRDefault="00255BC3" w:rsidP="008333AD"/>
    <w:p w:rsidR="00255BC3" w:rsidRDefault="00255BC3" w:rsidP="008333AD">
      <w:r>
        <w:rPr>
          <w:b/>
        </w:rPr>
        <w:t>BADGERING THE WITNESS:</w:t>
      </w:r>
      <w:r>
        <w:t xml:space="preserve"> if the attorney is yelling/approaching the witness (don’t use this unless your witness is visibly failing)</w:t>
      </w:r>
    </w:p>
    <w:p w:rsidR="008333AD" w:rsidRPr="00560D5E" w:rsidRDefault="008333AD" w:rsidP="008333AD">
      <w:pPr>
        <w:rPr>
          <w:b/>
        </w:rPr>
      </w:pPr>
    </w:p>
    <w:sectPr w:rsidR="008333AD" w:rsidRPr="00560D5E" w:rsidSect="00DA4C6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03A"/>
    <w:multiLevelType w:val="hybridMultilevel"/>
    <w:tmpl w:val="04743AA6"/>
    <w:lvl w:ilvl="0" w:tplc="FFEA3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6470"/>
    <w:multiLevelType w:val="hybridMultilevel"/>
    <w:tmpl w:val="DF4878AE"/>
    <w:lvl w:ilvl="0" w:tplc="7EB69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A085F"/>
    <w:multiLevelType w:val="hybridMultilevel"/>
    <w:tmpl w:val="16F89C82"/>
    <w:lvl w:ilvl="0" w:tplc="BECAD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7EFC5F0B"/>
    <w:multiLevelType w:val="hybridMultilevel"/>
    <w:tmpl w:val="4EFA4AA4"/>
    <w:lvl w:ilvl="0" w:tplc="3D789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1"/>
    <w:rsid w:val="000A2BCE"/>
    <w:rsid w:val="000C6A97"/>
    <w:rsid w:val="000F4F9F"/>
    <w:rsid w:val="00255BC3"/>
    <w:rsid w:val="0039562C"/>
    <w:rsid w:val="00417F35"/>
    <w:rsid w:val="00445BAF"/>
    <w:rsid w:val="0046406F"/>
    <w:rsid w:val="004C5275"/>
    <w:rsid w:val="00517162"/>
    <w:rsid w:val="005536B3"/>
    <w:rsid w:val="00560D5E"/>
    <w:rsid w:val="005B469C"/>
    <w:rsid w:val="005C767D"/>
    <w:rsid w:val="006801FF"/>
    <w:rsid w:val="0068212E"/>
    <w:rsid w:val="00762525"/>
    <w:rsid w:val="007C7A0A"/>
    <w:rsid w:val="007F119C"/>
    <w:rsid w:val="008333AD"/>
    <w:rsid w:val="0083642B"/>
    <w:rsid w:val="0096647C"/>
    <w:rsid w:val="009B7884"/>
    <w:rsid w:val="009D3382"/>
    <w:rsid w:val="00A345D4"/>
    <w:rsid w:val="00AB5821"/>
    <w:rsid w:val="00B050D9"/>
    <w:rsid w:val="00B173E2"/>
    <w:rsid w:val="00C03C89"/>
    <w:rsid w:val="00C8087C"/>
    <w:rsid w:val="00C85CF5"/>
    <w:rsid w:val="00CB193C"/>
    <w:rsid w:val="00CF5A12"/>
    <w:rsid w:val="00D07A9F"/>
    <w:rsid w:val="00D70653"/>
    <w:rsid w:val="00DA4C6B"/>
    <w:rsid w:val="00E154A9"/>
    <w:rsid w:val="00E15C38"/>
    <w:rsid w:val="00F437FA"/>
    <w:rsid w:val="00F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5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4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4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4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4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4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4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4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4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4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4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4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54A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54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4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4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154A9"/>
    <w:rPr>
      <w:b/>
      <w:bCs/>
    </w:rPr>
  </w:style>
  <w:style w:type="character" w:styleId="Emphasis">
    <w:name w:val="Emphasis"/>
    <w:uiPriority w:val="20"/>
    <w:qFormat/>
    <w:rsid w:val="00E154A9"/>
    <w:rPr>
      <w:i/>
      <w:iCs/>
    </w:rPr>
  </w:style>
  <w:style w:type="paragraph" w:styleId="NoSpacing">
    <w:name w:val="No Spacing"/>
    <w:basedOn w:val="Normal"/>
    <w:uiPriority w:val="1"/>
    <w:qFormat/>
    <w:rsid w:val="00E154A9"/>
  </w:style>
  <w:style w:type="paragraph" w:styleId="ListParagraph">
    <w:name w:val="List Paragraph"/>
    <w:basedOn w:val="Normal"/>
    <w:uiPriority w:val="34"/>
    <w:qFormat/>
    <w:rsid w:val="00E154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54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54A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4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4A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154A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154A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154A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154A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154A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4A9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5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4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4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4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4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4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4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4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4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4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4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4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54A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54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4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4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154A9"/>
    <w:rPr>
      <w:b/>
      <w:bCs/>
    </w:rPr>
  </w:style>
  <w:style w:type="character" w:styleId="Emphasis">
    <w:name w:val="Emphasis"/>
    <w:uiPriority w:val="20"/>
    <w:qFormat/>
    <w:rsid w:val="00E154A9"/>
    <w:rPr>
      <w:i/>
      <w:iCs/>
    </w:rPr>
  </w:style>
  <w:style w:type="paragraph" w:styleId="NoSpacing">
    <w:name w:val="No Spacing"/>
    <w:basedOn w:val="Normal"/>
    <w:uiPriority w:val="1"/>
    <w:qFormat/>
    <w:rsid w:val="00E154A9"/>
  </w:style>
  <w:style w:type="paragraph" w:styleId="ListParagraph">
    <w:name w:val="List Paragraph"/>
    <w:basedOn w:val="Normal"/>
    <w:uiPriority w:val="34"/>
    <w:qFormat/>
    <w:rsid w:val="00E154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54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54A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4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4A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154A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154A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154A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154A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154A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4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Kitchen</dc:creator>
  <cp:lastModifiedBy>Dylan Nesturrick</cp:lastModifiedBy>
  <cp:revision>2</cp:revision>
  <cp:lastPrinted>2011-02-18T00:39:00Z</cp:lastPrinted>
  <dcterms:created xsi:type="dcterms:W3CDTF">2016-09-05T20:40:00Z</dcterms:created>
  <dcterms:modified xsi:type="dcterms:W3CDTF">2016-09-05T20:40:00Z</dcterms:modified>
</cp:coreProperties>
</file>