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7AE4" w14:textId="77777777" w:rsidR="00EC121F" w:rsidRPr="00EC121F" w:rsidRDefault="00EC121F" w:rsidP="00EC121F"/>
    <w:p w14:paraId="40BEF5C2" w14:textId="25D7FD8F" w:rsidR="00023071" w:rsidRPr="00023071" w:rsidRDefault="00023071" w:rsidP="00023071">
      <w:pPr>
        <w:spacing w:line="278" w:lineRule="auto"/>
        <w:rPr>
          <w:rFonts w:ascii="Calibri" w:eastAsia="Calibri" w:hAnsi="Calibri" w:cs="Arial"/>
          <w:b/>
          <w:bCs/>
          <w:kern w:val="2"/>
          <w:sz w:val="32"/>
          <w:szCs w:val="32"/>
          <w:lang w:val="en-US"/>
          <w14:ligatures w14:val="standardContextual"/>
        </w:rPr>
      </w:pPr>
      <w:r w:rsidRPr="00023071">
        <w:rPr>
          <w:rFonts w:ascii="Calibri" w:eastAsia="Calibri" w:hAnsi="Calibri" w:cs="Arial"/>
          <w:b/>
          <w:bCs/>
          <w:kern w:val="2"/>
          <w:sz w:val="32"/>
          <w:szCs w:val="32"/>
          <w:lang w:val="en-US"/>
          <w14:ligatures w14:val="standardContextual"/>
        </w:rPr>
        <w:t>1.</w:t>
      </w:r>
      <w:r w:rsidRPr="00023071">
        <w:rPr>
          <w:rFonts w:ascii="Calibri" w:eastAsia="Calibri" w:hAnsi="Calibri" w:cs="Arial"/>
          <w:b/>
          <w:bCs/>
          <w:kern w:val="2"/>
          <w:sz w:val="32"/>
          <w:szCs w:val="32"/>
          <w:lang w:val="en-US"/>
          <w14:ligatures w14:val="standardContextual"/>
        </w:rPr>
        <w:t xml:space="preserve">Introduction </w:t>
      </w:r>
    </w:p>
    <w:p w14:paraId="07159DE1" w14:textId="232C2DED" w:rsidR="00023071" w:rsidRP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This policy outlines </w:t>
      </w:r>
      <w:r>
        <w:rPr>
          <w:rFonts w:ascii="Calibri" w:eastAsia="Calibri" w:hAnsi="Calibri" w:cs="Arial"/>
          <w:kern w:val="2"/>
          <w:sz w:val="24"/>
          <w:szCs w:val="24"/>
          <w:lang w:val="en-US"/>
          <w14:ligatures w14:val="standardContextual"/>
        </w:rPr>
        <w:t>ATS</w:t>
      </w:r>
      <w:r w:rsidRPr="00023071">
        <w:rPr>
          <w:rFonts w:ascii="Calibri" w:eastAsia="Calibri" w:hAnsi="Calibri" w:cs="Arial"/>
          <w:kern w:val="2"/>
          <w:sz w:val="24"/>
          <w:szCs w:val="24"/>
          <w:lang w:val="en-US"/>
          <w14:ligatures w14:val="standardContextual"/>
        </w:rPr>
        <w:t xml:space="preserve"> expectations in relation to communicating with people other than registered students (e.g. family members, other representatives etc.) in relation to Student Complaints, Academic Appeals, Academic Misconduct</w:t>
      </w:r>
      <w:r>
        <w:rPr>
          <w:rFonts w:ascii="Calibri" w:eastAsia="Calibri" w:hAnsi="Calibri" w:cs="Arial"/>
          <w:kern w:val="2"/>
          <w:sz w:val="24"/>
          <w:szCs w:val="24"/>
          <w:lang w:val="en-US"/>
          <w14:ligatures w14:val="standardContextual"/>
        </w:rPr>
        <w:t xml:space="preserve">, Further, this includes </w:t>
      </w:r>
      <w:r w:rsidRPr="00023071">
        <w:rPr>
          <w:rFonts w:ascii="Calibri" w:eastAsia="Calibri" w:hAnsi="Calibri" w:cs="Arial"/>
          <w:kern w:val="2"/>
          <w:sz w:val="24"/>
          <w:szCs w:val="24"/>
          <w:lang w:val="en-US"/>
          <w14:ligatures w14:val="standardContextual"/>
        </w:rPr>
        <w:t xml:space="preserve">Business partners include joint venture or equity partners, acquisition targets, service providers, suppliers, vendors, consultants, subconsultants, contractors, subcontractors, or any other person acting on the </w:t>
      </w:r>
      <w:r>
        <w:rPr>
          <w:rFonts w:ascii="Calibri" w:eastAsia="Calibri" w:hAnsi="Calibri" w:cs="Arial"/>
          <w:kern w:val="2"/>
          <w:sz w:val="24"/>
          <w:szCs w:val="24"/>
          <w:lang w:val="en-US"/>
          <w14:ligatures w14:val="standardContextual"/>
        </w:rPr>
        <w:t>ATS</w:t>
      </w:r>
      <w:r w:rsidRPr="00023071">
        <w:rPr>
          <w:rFonts w:ascii="Calibri" w:eastAsia="Calibri" w:hAnsi="Calibri" w:cs="Arial"/>
          <w:kern w:val="2"/>
          <w:sz w:val="24"/>
          <w:szCs w:val="24"/>
          <w:lang w:val="en-US"/>
          <w14:ligatures w14:val="standardContextual"/>
        </w:rPr>
        <w:t xml:space="preserve">’s behalf (such as agents, representatives or sponsors) and their employees or other persons working on their behalf. </w:t>
      </w:r>
    </w:p>
    <w:p w14:paraId="0AE08E4A" w14:textId="77777777" w:rsidR="00023071" w:rsidRPr="00023071" w:rsidRDefault="00023071" w:rsidP="00023071">
      <w:pPr>
        <w:spacing w:line="278" w:lineRule="auto"/>
        <w:rPr>
          <w:rFonts w:ascii="Calibri" w:eastAsia="Calibri" w:hAnsi="Calibri" w:cs="Arial"/>
          <w:b/>
          <w:bCs/>
          <w:kern w:val="2"/>
          <w:sz w:val="32"/>
          <w:szCs w:val="32"/>
          <w:lang w:val="en-US"/>
          <w14:ligatures w14:val="standardContextual"/>
        </w:rPr>
      </w:pPr>
      <w:r w:rsidRPr="00023071">
        <w:rPr>
          <w:rFonts w:ascii="Calibri" w:eastAsia="Calibri" w:hAnsi="Calibri" w:cs="Arial"/>
          <w:b/>
          <w:bCs/>
          <w:kern w:val="2"/>
          <w:sz w:val="32"/>
          <w:szCs w:val="32"/>
          <w:lang w:val="en-US"/>
          <w14:ligatures w14:val="standardContextual"/>
        </w:rPr>
        <w:t xml:space="preserve"> 2. Scope </w:t>
      </w:r>
    </w:p>
    <w:p w14:paraId="08DD1AD3" w14:textId="5694F656" w:rsidR="00023071" w:rsidRP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With the exception of the limited circumstances outlined below, and taking into account contractual, pastoral, data protection and other considerations, it is the </w:t>
      </w:r>
      <w:r>
        <w:rPr>
          <w:rFonts w:ascii="Calibri" w:eastAsia="Calibri" w:hAnsi="Calibri" w:cs="Arial"/>
          <w:kern w:val="2"/>
          <w:sz w:val="24"/>
          <w:szCs w:val="24"/>
          <w:lang w:val="en-US"/>
          <w14:ligatures w14:val="standardContextual"/>
        </w:rPr>
        <w:t>ATS</w:t>
      </w:r>
      <w:r w:rsidRPr="00023071">
        <w:rPr>
          <w:rFonts w:ascii="Calibri" w:eastAsia="Calibri" w:hAnsi="Calibri" w:cs="Arial"/>
          <w:kern w:val="2"/>
          <w:sz w:val="24"/>
          <w:szCs w:val="24"/>
          <w:lang w:val="en-US"/>
          <w14:ligatures w14:val="standardContextual"/>
        </w:rPr>
        <w:t xml:space="preserve">’s expectation that its students </w:t>
      </w:r>
      <w:r>
        <w:rPr>
          <w:rFonts w:ascii="Calibri" w:eastAsia="Calibri" w:hAnsi="Calibri" w:cs="Arial"/>
          <w:kern w:val="2"/>
          <w:sz w:val="24"/>
          <w:szCs w:val="24"/>
          <w:lang w:val="en-US"/>
          <w14:ligatures w14:val="standardContextual"/>
        </w:rPr>
        <w:t xml:space="preserve">and third part parties </w:t>
      </w:r>
      <w:r w:rsidRPr="00023071">
        <w:rPr>
          <w:rFonts w:ascii="Calibri" w:eastAsia="Calibri" w:hAnsi="Calibri" w:cs="Arial"/>
          <w:kern w:val="2"/>
          <w:sz w:val="24"/>
          <w:szCs w:val="24"/>
          <w:lang w:val="en-US"/>
          <w14:ligatures w14:val="standardContextual"/>
        </w:rPr>
        <w:t xml:space="preserve">will engage and communicate directly with the </w:t>
      </w:r>
      <w:r>
        <w:rPr>
          <w:rFonts w:ascii="Calibri" w:eastAsia="Calibri" w:hAnsi="Calibri" w:cs="Arial"/>
          <w:kern w:val="2"/>
          <w:sz w:val="24"/>
          <w:szCs w:val="24"/>
          <w:lang w:val="en-US"/>
          <w14:ligatures w14:val="standardContextual"/>
        </w:rPr>
        <w:t>ATS management</w:t>
      </w:r>
      <w:r w:rsidRPr="00023071">
        <w:rPr>
          <w:rFonts w:ascii="Calibri" w:eastAsia="Calibri" w:hAnsi="Calibri" w:cs="Arial"/>
          <w:kern w:val="2"/>
          <w:sz w:val="24"/>
          <w:szCs w:val="24"/>
          <w:lang w:val="en-US"/>
          <w14:ligatures w14:val="standardContextual"/>
        </w:rPr>
        <w:t xml:space="preserve"> staff. </w:t>
      </w:r>
    </w:p>
    <w:p w14:paraId="25612CA9" w14:textId="77777777" w:rsid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The excepted circumstances in which </w:t>
      </w:r>
      <w:r>
        <w:rPr>
          <w:rFonts w:ascii="Calibri" w:eastAsia="Calibri" w:hAnsi="Calibri" w:cs="Arial"/>
          <w:kern w:val="2"/>
          <w:sz w:val="24"/>
          <w:szCs w:val="24"/>
          <w:lang w:val="en-US"/>
          <w14:ligatures w14:val="standardContextual"/>
        </w:rPr>
        <w:t>ATS</w:t>
      </w:r>
      <w:r w:rsidRPr="00023071">
        <w:rPr>
          <w:rFonts w:ascii="Calibri" w:eastAsia="Calibri" w:hAnsi="Calibri" w:cs="Arial"/>
          <w:kern w:val="2"/>
          <w:sz w:val="24"/>
          <w:szCs w:val="24"/>
          <w:lang w:val="en-US"/>
          <w14:ligatures w14:val="standardContextual"/>
        </w:rPr>
        <w:t xml:space="preserve"> may talk to a third party are: </w:t>
      </w:r>
    </w:p>
    <w:p w14:paraId="0ADA51F5" w14:textId="77777777" w:rsid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 It is permissible for third parties to enquire, in general terms, about process and procedure, but not about the facts of a specific case or of an individual. </w:t>
      </w:r>
    </w:p>
    <w:p w14:paraId="76C87B8A" w14:textId="3F895382" w:rsid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 Requests for third party representation made on the basis of a disability will be given due consideration and, if appropriate, reasonable adjustments will be made to ensure that students who have a disability as defined by the Equality Act will have an equitable experience and are able to enter into communication with </w:t>
      </w:r>
      <w:r>
        <w:rPr>
          <w:rFonts w:ascii="Calibri" w:eastAsia="Calibri" w:hAnsi="Calibri" w:cs="Arial"/>
          <w:kern w:val="2"/>
          <w:sz w:val="24"/>
          <w:szCs w:val="24"/>
          <w:lang w:val="en-US"/>
          <w14:ligatures w14:val="standardContextual"/>
        </w:rPr>
        <w:t>ATS</w:t>
      </w:r>
      <w:r w:rsidRPr="00023071">
        <w:rPr>
          <w:rFonts w:ascii="Calibri" w:eastAsia="Calibri" w:hAnsi="Calibri" w:cs="Arial"/>
          <w:kern w:val="2"/>
          <w:sz w:val="24"/>
          <w:szCs w:val="24"/>
          <w:lang w:val="en-US"/>
          <w14:ligatures w14:val="standardContextual"/>
        </w:rPr>
        <w:t xml:space="preserve"> staff and engage with </w:t>
      </w:r>
      <w:r>
        <w:rPr>
          <w:rFonts w:ascii="Calibri" w:eastAsia="Calibri" w:hAnsi="Calibri" w:cs="Arial"/>
          <w:kern w:val="2"/>
          <w:sz w:val="24"/>
          <w:szCs w:val="24"/>
          <w:lang w:val="en-US"/>
          <w14:ligatures w14:val="standardContextual"/>
        </w:rPr>
        <w:t>ATS</w:t>
      </w:r>
      <w:r w:rsidRPr="00023071">
        <w:rPr>
          <w:rFonts w:ascii="Calibri" w:eastAsia="Calibri" w:hAnsi="Calibri" w:cs="Arial"/>
          <w:kern w:val="2"/>
          <w:sz w:val="24"/>
          <w:szCs w:val="24"/>
          <w:lang w:val="en-US"/>
          <w14:ligatures w14:val="standardContextual"/>
        </w:rPr>
        <w:t xml:space="preserve"> processes. </w:t>
      </w:r>
    </w:p>
    <w:p w14:paraId="63C892FC" w14:textId="77777777" w:rsid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 Exceptional circumstances where a student is temporarily prevented from being able to communicate directly for themselves, for example, on medical grounds or being abroad without reasonable access to email. Evidence must be provided to demonstrate that the student is not able to act on their own behalf and the length of time this is expected to last. </w:t>
      </w:r>
    </w:p>
    <w:p w14:paraId="255AD211" w14:textId="31E03B39" w:rsidR="00023071" w:rsidRPr="005C23DB" w:rsidRDefault="00023071" w:rsidP="005C23DB">
      <w:pPr>
        <w:pStyle w:val="ListParagraph"/>
        <w:numPr>
          <w:ilvl w:val="0"/>
          <w:numId w:val="17"/>
        </w:numPr>
        <w:spacing w:line="278" w:lineRule="auto"/>
        <w:rPr>
          <w:rFonts w:ascii="Calibri" w:eastAsia="Calibri" w:hAnsi="Calibri" w:cs="Arial"/>
          <w:kern w:val="2"/>
          <w:sz w:val="24"/>
          <w:szCs w:val="24"/>
          <w:lang w:val="en-US"/>
          <w14:ligatures w14:val="standardContextual"/>
        </w:rPr>
      </w:pPr>
      <w:r w:rsidRPr="005C23DB">
        <w:rPr>
          <w:rFonts w:ascii="Calibri" w:eastAsia="Calibri" w:hAnsi="Calibri" w:cs="Arial"/>
          <w:kern w:val="2"/>
          <w:sz w:val="24"/>
          <w:szCs w:val="24"/>
          <w:lang w:val="en-US"/>
          <w14:ligatures w14:val="standardContextual"/>
        </w:rPr>
        <w:t xml:space="preserve">ATS </w:t>
      </w:r>
      <w:r w:rsidRPr="005C23DB">
        <w:rPr>
          <w:rFonts w:ascii="Calibri" w:eastAsia="Calibri" w:hAnsi="Calibri" w:cs="Arial"/>
          <w:kern w:val="2"/>
          <w:sz w:val="24"/>
          <w:szCs w:val="24"/>
          <w:lang w:val="en-US"/>
          <w14:ligatures w14:val="standardContextual"/>
        </w:rPr>
        <w:t xml:space="preserve">will usually require written permission from the </w:t>
      </w:r>
      <w:r w:rsidRPr="005C23DB">
        <w:rPr>
          <w:rFonts w:ascii="Calibri" w:eastAsia="Calibri" w:hAnsi="Calibri" w:cs="Arial"/>
          <w:kern w:val="2"/>
          <w:sz w:val="24"/>
          <w:szCs w:val="24"/>
          <w:lang w:val="en-US"/>
          <w14:ligatures w14:val="standardContextual"/>
        </w:rPr>
        <w:t>student</w:t>
      </w:r>
      <w:r w:rsidRPr="005C23DB">
        <w:rPr>
          <w:rFonts w:ascii="Calibri" w:eastAsia="Calibri" w:hAnsi="Calibri" w:cs="Arial"/>
          <w:kern w:val="2"/>
          <w:sz w:val="24"/>
          <w:szCs w:val="24"/>
          <w:lang w:val="en-US"/>
          <w14:ligatures w14:val="standardContextual"/>
        </w:rPr>
        <w:t xml:space="preserve"> to liaise with a third party due to the above exceptional circumstances. If this is not possible, due to incapacitation of the Student, </w:t>
      </w:r>
      <w:r w:rsidRPr="005C23DB">
        <w:rPr>
          <w:rFonts w:ascii="Calibri" w:eastAsia="Calibri" w:hAnsi="Calibri" w:cs="Arial"/>
          <w:kern w:val="2"/>
          <w:sz w:val="24"/>
          <w:szCs w:val="24"/>
          <w:lang w:val="en-US"/>
          <w14:ligatures w14:val="standardContextual"/>
        </w:rPr>
        <w:t>ATS</w:t>
      </w:r>
      <w:r w:rsidRPr="005C23DB">
        <w:rPr>
          <w:rFonts w:ascii="Calibri" w:eastAsia="Calibri" w:hAnsi="Calibri" w:cs="Arial"/>
          <w:kern w:val="2"/>
          <w:sz w:val="24"/>
          <w:szCs w:val="24"/>
          <w:lang w:val="en-US"/>
          <w14:ligatures w14:val="standardContextual"/>
        </w:rPr>
        <w:t xml:space="preserve"> may agree discuss matters with a third party. This decision will be taken by the </w:t>
      </w:r>
      <w:r w:rsidRPr="005C23DB">
        <w:rPr>
          <w:rFonts w:ascii="Calibri" w:eastAsia="Calibri" w:hAnsi="Calibri" w:cs="Arial"/>
          <w:kern w:val="2"/>
          <w:sz w:val="24"/>
          <w:szCs w:val="24"/>
          <w:lang w:val="en-US"/>
          <w14:ligatures w14:val="standardContextual"/>
        </w:rPr>
        <w:t>CM</w:t>
      </w:r>
      <w:r w:rsidRPr="005C23DB">
        <w:rPr>
          <w:rFonts w:ascii="Calibri" w:eastAsia="Calibri" w:hAnsi="Calibri" w:cs="Arial"/>
          <w:kern w:val="2"/>
          <w:sz w:val="24"/>
          <w:szCs w:val="24"/>
          <w:lang w:val="en-US"/>
          <w14:ligatures w14:val="standardContextual"/>
        </w:rPr>
        <w:t xml:space="preserve">. </w:t>
      </w:r>
    </w:p>
    <w:p w14:paraId="28399F9B" w14:textId="77777777" w:rsidR="00023071" w:rsidRPr="00023071" w:rsidRDefault="00023071" w:rsidP="00023071">
      <w:pPr>
        <w:spacing w:line="278" w:lineRule="auto"/>
        <w:rPr>
          <w:rFonts w:ascii="Calibri" w:eastAsia="Calibri" w:hAnsi="Calibri" w:cs="Arial"/>
          <w:kern w:val="2"/>
          <w:sz w:val="24"/>
          <w:szCs w:val="24"/>
          <w:lang w:val="en-US"/>
          <w14:ligatures w14:val="standardContextual"/>
        </w:rPr>
      </w:pPr>
    </w:p>
    <w:p w14:paraId="64266027" w14:textId="2645699A" w:rsidR="00023071" w:rsidRPr="00023071" w:rsidRDefault="00023071" w:rsidP="00023071">
      <w:pPr>
        <w:spacing w:line="278" w:lineRule="auto"/>
        <w:rPr>
          <w:rFonts w:ascii="Calibri" w:eastAsia="Calibri" w:hAnsi="Calibri" w:cs="Arial"/>
          <w:kern w:val="2"/>
          <w:sz w:val="28"/>
          <w:szCs w:val="28"/>
          <w:lang w:val="en-US"/>
          <w14:ligatures w14:val="standardContextual"/>
        </w:rPr>
      </w:pPr>
      <w:r w:rsidRPr="005C23DB">
        <w:rPr>
          <w:rFonts w:ascii="Calibri" w:eastAsia="Calibri" w:hAnsi="Calibri" w:cs="Arial"/>
          <w:b/>
          <w:bCs/>
          <w:kern w:val="2"/>
          <w:sz w:val="28"/>
          <w:szCs w:val="28"/>
          <w:lang w:val="en-US"/>
          <w14:ligatures w14:val="standardContextual"/>
        </w:rPr>
        <w:t xml:space="preserve">3. Due Diligence </w:t>
      </w:r>
    </w:p>
    <w:p w14:paraId="2F439C33" w14:textId="77777777" w:rsidR="00023071" w:rsidRP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The key principle when dealing with business partners is “trust but verify.” </w:t>
      </w:r>
    </w:p>
    <w:p w14:paraId="4FCC16CF" w14:textId="1F83CF97" w:rsidR="00023071" w:rsidRP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Proper due diligence procedures enable </w:t>
      </w:r>
      <w:r>
        <w:rPr>
          <w:rFonts w:ascii="Calibri" w:eastAsia="Calibri" w:hAnsi="Calibri" w:cs="Arial"/>
          <w:kern w:val="2"/>
          <w:sz w:val="24"/>
          <w:szCs w:val="24"/>
          <w:lang w:val="en-US"/>
          <w14:ligatures w14:val="standardContextual"/>
        </w:rPr>
        <w:t>ATS</w:t>
      </w:r>
      <w:r w:rsidRPr="00023071">
        <w:rPr>
          <w:rFonts w:ascii="Calibri" w:eastAsia="Calibri" w:hAnsi="Calibri" w:cs="Arial"/>
          <w:kern w:val="2"/>
          <w:sz w:val="24"/>
          <w:szCs w:val="24"/>
          <w:lang w:val="en-US"/>
          <w14:ligatures w14:val="standardContextual"/>
        </w:rPr>
        <w:t xml:space="preserve"> to follow through on its commitment to act with integrity by protecting against partnering with companies and individuals that do not operate pursuant to ethical principles. Such procedures also minimize reputational and legal risks arising from international sanctions, anti-corruption, anti-money laundering and modern slavery legislation, by investigating potential business partners’ past and current ethical standing. </w:t>
      </w:r>
    </w:p>
    <w:p w14:paraId="37D0F5DC" w14:textId="77777777" w:rsid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Generally, managing risk involved with third party relationships and dealings can be achieved through </w:t>
      </w:r>
    </w:p>
    <w:p w14:paraId="26FAC03A" w14:textId="7CAD2FEF" w:rsidR="00023071" w:rsidRPr="00023071" w:rsidRDefault="00023071" w:rsidP="00023071">
      <w:pPr>
        <w:pStyle w:val="ListParagraph"/>
        <w:numPr>
          <w:ilvl w:val="0"/>
          <w:numId w:val="16"/>
        </w:num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assessing third party risk, </w:t>
      </w:r>
    </w:p>
    <w:p w14:paraId="7EFD8579" w14:textId="77777777" w:rsidR="00023071" w:rsidRDefault="00023071" w:rsidP="00023071">
      <w:pPr>
        <w:pStyle w:val="ListParagraph"/>
        <w:numPr>
          <w:ilvl w:val="0"/>
          <w:numId w:val="16"/>
        </w:num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(ii) binding third parties to the Corporation’s business standards, and </w:t>
      </w:r>
    </w:p>
    <w:p w14:paraId="3CC14137" w14:textId="44E4191D" w:rsidR="00023071" w:rsidRPr="005C23DB" w:rsidRDefault="00023071" w:rsidP="005C23DB">
      <w:pPr>
        <w:pStyle w:val="ListParagraph"/>
        <w:numPr>
          <w:ilvl w:val="0"/>
          <w:numId w:val="16"/>
        </w:num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(iii) monitoring third party compliance with the Corporation’s business standards</w:t>
      </w:r>
    </w:p>
    <w:p w14:paraId="5CEFBA83" w14:textId="48B784AB" w:rsidR="00023071" w:rsidRPr="00023071" w:rsidRDefault="005C23DB" w:rsidP="00023071">
      <w:pPr>
        <w:spacing w:line="278" w:lineRule="auto"/>
        <w:rPr>
          <w:rFonts w:ascii="Calibri" w:eastAsia="Calibri" w:hAnsi="Calibri" w:cs="Arial"/>
          <w:b/>
          <w:bCs/>
          <w:kern w:val="2"/>
          <w:sz w:val="28"/>
          <w:szCs w:val="28"/>
          <w:lang w:val="en-US"/>
          <w14:ligatures w14:val="standardContextual"/>
        </w:rPr>
      </w:pPr>
      <w:r w:rsidRPr="005C23DB">
        <w:rPr>
          <w:rFonts w:ascii="Calibri" w:eastAsia="Calibri" w:hAnsi="Calibri" w:cs="Arial"/>
          <w:b/>
          <w:bCs/>
          <w:kern w:val="2"/>
          <w:sz w:val="28"/>
          <w:szCs w:val="28"/>
          <w:lang w:val="en-US"/>
          <w14:ligatures w14:val="standardContextual"/>
        </w:rPr>
        <w:t>4. Assessing The Third Party</w:t>
      </w:r>
    </w:p>
    <w:p w14:paraId="73D32421" w14:textId="120D39F9" w:rsidR="00023071" w:rsidRPr="00023071" w:rsidRDefault="005C23DB" w:rsidP="00023071">
      <w:pPr>
        <w:spacing w:line="278" w:lineRule="auto"/>
        <w:rPr>
          <w:rFonts w:ascii="Calibri" w:eastAsia="Calibri" w:hAnsi="Calibri" w:cs="Arial"/>
          <w:b/>
          <w:bCs/>
          <w:kern w:val="2"/>
          <w:sz w:val="24"/>
          <w:szCs w:val="24"/>
          <w:lang w:val="en-US"/>
          <w14:ligatures w14:val="standardContextual"/>
        </w:rPr>
      </w:pPr>
      <w:r w:rsidRPr="005C23DB">
        <w:rPr>
          <w:rFonts w:ascii="Calibri" w:eastAsia="Calibri" w:hAnsi="Calibri" w:cs="Arial"/>
          <w:b/>
          <w:bCs/>
          <w:kern w:val="2"/>
          <w:sz w:val="24"/>
          <w:szCs w:val="24"/>
          <w:lang w:val="en-US"/>
          <w14:ligatures w14:val="standardContextual"/>
        </w:rPr>
        <w:t xml:space="preserve">4.1 </w:t>
      </w:r>
      <w:r w:rsidRPr="00023071">
        <w:rPr>
          <w:rFonts w:ascii="Calibri" w:eastAsia="Calibri" w:hAnsi="Calibri" w:cs="Arial"/>
          <w:b/>
          <w:bCs/>
          <w:kern w:val="2"/>
          <w:sz w:val="24"/>
          <w:szCs w:val="24"/>
          <w:lang w:val="en-US"/>
          <w14:ligatures w14:val="standardContextual"/>
        </w:rPr>
        <w:t xml:space="preserve">Gather </w:t>
      </w:r>
      <w:r>
        <w:rPr>
          <w:rFonts w:ascii="Calibri" w:eastAsia="Calibri" w:hAnsi="Calibri" w:cs="Arial"/>
          <w:b/>
          <w:bCs/>
          <w:kern w:val="2"/>
          <w:sz w:val="24"/>
          <w:szCs w:val="24"/>
          <w:lang w:val="en-US"/>
          <w14:ligatures w14:val="standardContextual"/>
        </w:rPr>
        <w:t>a</w:t>
      </w:r>
      <w:r w:rsidRPr="00023071">
        <w:rPr>
          <w:rFonts w:ascii="Calibri" w:eastAsia="Calibri" w:hAnsi="Calibri" w:cs="Arial"/>
          <w:b/>
          <w:bCs/>
          <w:kern w:val="2"/>
          <w:sz w:val="24"/>
          <w:szCs w:val="24"/>
          <w:lang w:val="en-US"/>
          <w14:ligatures w14:val="standardContextual"/>
        </w:rPr>
        <w:t>nd Document Information</w:t>
      </w:r>
    </w:p>
    <w:p w14:paraId="061DFF73" w14:textId="49D5A7A4" w:rsidR="00023071" w:rsidRP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Proper documentation is essential and provides evidence of the </w:t>
      </w:r>
      <w:r w:rsidR="005C23DB">
        <w:rPr>
          <w:rFonts w:ascii="Calibri" w:eastAsia="Calibri" w:hAnsi="Calibri" w:cs="Arial"/>
          <w:kern w:val="2"/>
          <w:sz w:val="24"/>
          <w:szCs w:val="24"/>
          <w:lang w:val="en-US"/>
          <w14:ligatures w14:val="standardContextual"/>
        </w:rPr>
        <w:t>ATS</w:t>
      </w:r>
      <w:r w:rsidRPr="00023071">
        <w:rPr>
          <w:rFonts w:ascii="Calibri" w:eastAsia="Calibri" w:hAnsi="Calibri" w:cs="Arial"/>
          <w:kern w:val="2"/>
          <w:sz w:val="24"/>
          <w:szCs w:val="24"/>
          <w:lang w:val="en-US"/>
          <w14:ligatures w14:val="standardContextual"/>
        </w:rPr>
        <w:t>’s due diligence procedures and the considerations that underlie its commercial decisions. As such, all investigations, risk assessments, due diligence questionnaires, background checks, integrity reviews, and continuous monitoring reports made in the context of the due diligence process must be appropriately documented.</w:t>
      </w:r>
    </w:p>
    <w:p w14:paraId="47DDA330" w14:textId="6D2DE777" w:rsidR="00023071" w:rsidRPr="00023071" w:rsidRDefault="005C23DB" w:rsidP="00023071">
      <w:pPr>
        <w:spacing w:line="278" w:lineRule="auto"/>
        <w:rPr>
          <w:rFonts w:ascii="Calibri" w:eastAsia="Calibri" w:hAnsi="Calibri" w:cs="Arial"/>
          <w:b/>
          <w:bCs/>
          <w:kern w:val="2"/>
          <w:sz w:val="24"/>
          <w:szCs w:val="24"/>
          <w:lang w:val="en-US"/>
          <w14:ligatures w14:val="standardContextual"/>
        </w:rPr>
      </w:pPr>
      <w:r w:rsidRPr="005C23DB">
        <w:rPr>
          <w:rFonts w:ascii="Calibri" w:eastAsia="Calibri" w:hAnsi="Calibri" w:cs="Arial"/>
          <w:b/>
          <w:bCs/>
          <w:kern w:val="2"/>
          <w:sz w:val="24"/>
          <w:szCs w:val="24"/>
          <w:lang w:val="en-US"/>
          <w14:ligatures w14:val="standardContextual"/>
        </w:rPr>
        <w:t>4.2 Conduct A Risk Assessment</w:t>
      </w:r>
    </w:p>
    <w:p w14:paraId="1CCA3C0F" w14:textId="6A758748" w:rsidR="00023071" w:rsidRP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xml:space="preserve">If the potential partner is new to </w:t>
      </w:r>
      <w:r w:rsidR="005C23DB">
        <w:rPr>
          <w:rFonts w:ascii="Calibri" w:eastAsia="Calibri" w:hAnsi="Calibri" w:cs="Arial"/>
          <w:kern w:val="2"/>
          <w:sz w:val="24"/>
          <w:szCs w:val="24"/>
          <w:lang w:val="en-US"/>
          <w14:ligatures w14:val="standardContextual"/>
        </w:rPr>
        <w:t>ATS</w:t>
      </w:r>
      <w:r w:rsidRPr="00023071">
        <w:rPr>
          <w:rFonts w:ascii="Calibri" w:eastAsia="Calibri" w:hAnsi="Calibri" w:cs="Arial"/>
          <w:kern w:val="2"/>
          <w:sz w:val="24"/>
          <w:szCs w:val="24"/>
          <w:lang w:val="en-US"/>
          <w14:ligatures w14:val="standardContextual"/>
        </w:rPr>
        <w:t>, a risk assessment should be completed in order to determine the proper level of integrity review. The level of the integrity review can notably be based on an assessment of the following risk factors:</w:t>
      </w:r>
    </w:p>
    <w:p w14:paraId="156EDA34" w14:textId="77777777" w:rsidR="00023071" w:rsidRP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Country risk: This includes the risks associated with the country where the project will take place, as well as the country in which the third party is headquartered or located. Important factors include the country’s political, economic and business environment.</w:t>
      </w:r>
    </w:p>
    <w:p w14:paraId="58B5ACB2" w14:textId="77777777" w:rsidR="00023071" w:rsidRPr="00023071" w:rsidRDefault="00023071" w:rsidP="00023071">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lastRenderedPageBreak/>
        <w:t>— Transaction risk: This includes the level of commercial, financial and contractual risk, as well as the risk associated with the type of work delivered by the third party throughout the project.</w:t>
      </w:r>
    </w:p>
    <w:p w14:paraId="0775D1FF" w14:textId="262ECF38" w:rsidR="00EC121F" w:rsidRPr="005C23DB" w:rsidRDefault="00023071" w:rsidP="005C23DB">
      <w:pPr>
        <w:spacing w:line="278" w:lineRule="auto"/>
        <w:rPr>
          <w:rFonts w:ascii="Calibri" w:eastAsia="Calibri" w:hAnsi="Calibri" w:cs="Arial"/>
          <w:kern w:val="2"/>
          <w:sz w:val="24"/>
          <w:szCs w:val="24"/>
          <w:lang w:val="en-US"/>
          <w14:ligatures w14:val="standardContextual"/>
        </w:rPr>
      </w:pPr>
      <w:r w:rsidRPr="00023071">
        <w:rPr>
          <w:rFonts w:ascii="Calibri" w:eastAsia="Calibri" w:hAnsi="Calibri" w:cs="Arial"/>
          <w:kern w:val="2"/>
          <w:sz w:val="24"/>
          <w:szCs w:val="24"/>
          <w:lang w:val="en-US"/>
          <w14:ligatures w14:val="standardContextual"/>
        </w:rPr>
        <w:t>— Relationship risk: This includes risks associated with the type of relationship between the Corporation and the third party, as well as the third party’s connections and reputation.</w:t>
      </w:r>
    </w:p>
    <w:sectPr w:rsidR="00EC121F" w:rsidRPr="005C23DB" w:rsidSect="003E5605">
      <w:headerReference w:type="default" r:id="rId7"/>
      <w:footerReference w:type="default" r:id="rId8"/>
      <w:pgSz w:w="11906" w:h="16838"/>
      <w:pgMar w:top="1440" w:right="1440"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A9E9E" w14:textId="77777777" w:rsidR="00337944" w:rsidRDefault="00337944" w:rsidP="00632C84">
      <w:pPr>
        <w:spacing w:after="0" w:line="240" w:lineRule="auto"/>
      </w:pPr>
      <w:r>
        <w:separator/>
      </w:r>
    </w:p>
  </w:endnote>
  <w:endnote w:type="continuationSeparator" w:id="0">
    <w:p w14:paraId="2BED4B03" w14:textId="77777777" w:rsidR="00337944" w:rsidRDefault="00337944" w:rsidP="0063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8"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1E0" w:firstRow="1" w:lastRow="1" w:firstColumn="1" w:lastColumn="1" w:noHBand="0" w:noVBand="0"/>
    </w:tblPr>
    <w:tblGrid>
      <w:gridCol w:w="3160"/>
      <w:gridCol w:w="1447"/>
      <w:gridCol w:w="1849"/>
      <w:gridCol w:w="3302"/>
    </w:tblGrid>
    <w:tr w:rsidR="00632C84" w:rsidRPr="004B6C88" w14:paraId="59CCF031" w14:textId="77777777" w:rsidTr="00632C84">
      <w:trPr>
        <w:trHeight w:val="181"/>
      </w:trPr>
      <w:tc>
        <w:tcPr>
          <w:tcW w:w="3160" w:type="dxa"/>
          <w:shd w:val="clear" w:color="auto" w:fill="auto"/>
          <w:vAlign w:val="center"/>
        </w:tcPr>
        <w:p w14:paraId="06DC6CF0" w14:textId="128DFFFC" w:rsidR="00632C84" w:rsidRPr="004B6C88" w:rsidRDefault="00A91817"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Revision:</w:t>
          </w:r>
          <w:r w:rsidR="00632C84" w:rsidRPr="004B6C88">
            <w:rPr>
              <w:rFonts w:eastAsia="Times New Roman" w:cstheme="minorHAnsi"/>
              <w:lang w:eastAsia="en-GB"/>
            </w:rPr>
            <w:t xml:space="preserve"> </w:t>
          </w:r>
          <w:r w:rsidR="005C23DB">
            <w:rPr>
              <w:rFonts w:eastAsia="Times New Roman" w:cstheme="minorHAnsi"/>
              <w:lang w:eastAsia="en-GB"/>
            </w:rPr>
            <w:t>1</w:t>
          </w:r>
        </w:p>
      </w:tc>
      <w:tc>
        <w:tcPr>
          <w:tcW w:w="3296" w:type="dxa"/>
          <w:gridSpan w:val="2"/>
          <w:shd w:val="clear" w:color="auto" w:fill="auto"/>
          <w:vAlign w:val="center"/>
        </w:tcPr>
        <w:p w14:paraId="514BDFEB" w14:textId="50630526" w:rsidR="00632C84" w:rsidRPr="004B6C88" w:rsidRDefault="00632C84" w:rsidP="0050054E">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Date: </w:t>
          </w:r>
          <w:r w:rsidR="00EC121F">
            <w:rPr>
              <w:rFonts w:eastAsia="Times New Roman" w:cstheme="minorHAnsi"/>
              <w:lang w:eastAsia="en-GB"/>
            </w:rPr>
            <w:t>08</w:t>
          </w:r>
          <w:r w:rsidR="00A91817" w:rsidRPr="004B6C88">
            <w:rPr>
              <w:rFonts w:eastAsia="Times New Roman" w:cstheme="minorHAnsi"/>
              <w:lang w:eastAsia="en-GB"/>
            </w:rPr>
            <w:t xml:space="preserve"> April</w:t>
          </w:r>
          <w:r w:rsidR="00A20BB7">
            <w:rPr>
              <w:rFonts w:eastAsia="Times New Roman" w:cstheme="minorHAnsi"/>
              <w:lang w:eastAsia="en-GB"/>
            </w:rPr>
            <w:t xml:space="preserve"> 202</w:t>
          </w:r>
          <w:r w:rsidR="00A91817">
            <w:rPr>
              <w:rFonts w:eastAsia="Times New Roman" w:cstheme="minorHAnsi"/>
              <w:lang w:eastAsia="en-GB"/>
            </w:rPr>
            <w:t>3</w:t>
          </w:r>
        </w:p>
      </w:tc>
      <w:tc>
        <w:tcPr>
          <w:tcW w:w="3302" w:type="dxa"/>
          <w:shd w:val="clear" w:color="auto" w:fill="auto"/>
          <w:vAlign w:val="center"/>
        </w:tcPr>
        <w:p w14:paraId="66DA2511" w14:textId="5FB66859" w:rsidR="00632C84" w:rsidRPr="004B6C88" w:rsidRDefault="00632C84"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D</w:t>
          </w:r>
          <w:r w:rsidR="00F04DC1">
            <w:rPr>
              <w:rFonts w:eastAsia="Times New Roman" w:cstheme="minorHAnsi"/>
              <w:lang w:eastAsia="en-GB"/>
            </w:rPr>
            <w:t xml:space="preserve">ocument #: </w:t>
          </w:r>
          <w:r w:rsidR="0050054E">
            <w:rPr>
              <w:rFonts w:ascii="Arial" w:eastAsia="Times New Roman" w:hAnsi="Arial"/>
              <w:sz w:val="18"/>
              <w:szCs w:val="18"/>
              <w:lang w:eastAsia="en-GB"/>
            </w:rPr>
            <w:t>ATS/</w:t>
          </w:r>
          <w:r w:rsidR="00023071">
            <w:rPr>
              <w:rFonts w:ascii="Arial" w:eastAsia="Times New Roman" w:hAnsi="Arial"/>
              <w:sz w:val="18"/>
              <w:szCs w:val="18"/>
              <w:lang w:eastAsia="en-GB"/>
            </w:rPr>
            <w:t>Q</w:t>
          </w:r>
          <w:r w:rsidR="0050054E">
            <w:rPr>
              <w:rFonts w:ascii="Arial" w:eastAsia="Times New Roman" w:hAnsi="Arial"/>
              <w:sz w:val="18"/>
              <w:szCs w:val="18"/>
              <w:lang w:eastAsia="en-GB"/>
            </w:rPr>
            <w:t>M/P</w:t>
          </w:r>
          <w:r w:rsidR="00F2173A">
            <w:rPr>
              <w:rFonts w:ascii="Arial" w:eastAsia="Times New Roman" w:hAnsi="Arial"/>
              <w:sz w:val="18"/>
              <w:szCs w:val="18"/>
              <w:lang w:eastAsia="en-GB"/>
            </w:rPr>
            <w:t>L0</w:t>
          </w:r>
          <w:r w:rsidR="00023071">
            <w:rPr>
              <w:rFonts w:ascii="Arial" w:eastAsia="Times New Roman" w:hAnsi="Arial"/>
              <w:sz w:val="18"/>
              <w:szCs w:val="18"/>
              <w:lang w:eastAsia="en-GB"/>
            </w:rPr>
            <w:t>5</w:t>
          </w:r>
        </w:p>
      </w:tc>
    </w:tr>
    <w:tr w:rsidR="00632C84" w:rsidRPr="004B6C88" w14:paraId="50AD20F2" w14:textId="77777777" w:rsidTr="00632C84">
      <w:trPr>
        <w:trHeight w:val="181"/>
      </w:trPr>
      <w:tc>
        <w:tcPr>
          <w:tcW w:w="3160" w:type="dxa"/>
          <w:shd w:val="clear" w:color="auto" w:fill="auto"/>
          <w:vAlign w:val="center"/>
        </w:tcPr>
        <w:p w14:paraId="26275AAC"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Page | </w:t>
          </w:r>
          <w:r w:rsidR="00147A6E" w:rsidRPr="004B6C88">
            <w:rPr>
              <w:rFonts w:eastAsia="Times New Roman" w:cstheme="minorHAnsi"/>
              <w:lang w:eastAsia="en-GB"/>
            </w:rPr>
            <w:fldChar w:fldCharType="begin"/>
          </w:r>
          <w:r w:rsidRPr="004B6C88">
            <w:rPr>
              <w:rFonts w:eastAsia="Times New Roman" w:cstheme="minorHAnsi"/>
              <w:lang w:eastAsia="en-GB"/>
            </w:rPr>
            <w:instrText xml:space="preserve"> PAGE   \* MERGEFORMAT </w:instrText>
          </w:r>
          <w:r w:rsidR="00147A6E" w:rsidRPr="004B6C88">
            <w:rPr>
              <w:rFonts w:eastAsia="Times New Roman" w:cstheme="minorHAnsi"/>
              <w:lang w:eastAsia="en-GB"/>
            </w:rPr>
            <w:fldChar w:fldCharType="separate"/>
          </w:r>
          <w:r w:rsidR="00290960">
            <w:rPr>
              <w:rFonts w:eastAsia="Times New Roman" w:cstheme="minorHAnsi"/>
              <w:noProof/>
              <w:lang w:eastAsia="en-GB"/>
            </w:rPr>
            <w:t>2</w:t>
          </w:r>
          <w:r w:rsidR="00147A6E" w:rsidRPr="004B6C88">
            <w:rPr>
              <w:rFonts w:eastAsia="Times New Roman" w:cstheme="minorHAnsi"/>
              <w:noProof/>
              <w:lang w:eastAsia="en-GB"/>
            </w:rPr>
            <w:fldChar w:fldCharType="end"/>
          </w:r>
        </w:p>
      </w:tc>
      <w:tc>
        <w:tcPr>
          <w:tcW w:w="3296" w:type="dxa"/>
          <w:gridSpan w:val="2"/>
          <w:shd w:val="clear" w:color="auto" w:fill="auto"/>
          <w:vAlign w:val="center"/>
        </w:tcPr>
        <w:p w14:paraId="4ECE4E47"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c>
        <w:tcPr>
          <w:tcW w:w="3302" w:type="dxa"/>
          <w:shd w:val="clear" w:color="auto" w:fill="auto"/>
          <w:vAlign w:val="center"/>
        </w:tcPr>
        <w:p w14:paraId="5B9DD2CE"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r>
    <w:tr w:rsidR="00632C84" w:rsidRPr="004B6C88" w14:paraId="18AB02E6" w14:textId="77777777" w:rsidTr="00632C84">
      <w:trPr>
        <w:trHeight w:val="279"/>
      </w:trPr>
      <w:tc>
        <w:tcPr>
          <w:tcW w:w="4607" w:type="dxa"/>
          <w:gridSpan w:val="2"/>
          <w:shd w:val="clear" w:color="auto" w:fill="auto"/>
          <w:vAlign w:val="center"/>
        </w:tcPr>
        <w:p w14:paraId="1CD5C446" w14:textId="77777777" w:rsidR="00632C84" w:rsidRPr="004B6C88" w:rsidRDefault="00632C84" w:rsidP="00665F0A">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Author:  </w:t>
          </w:r>
          <w:r w:rsidR="00665F0A">
            <w:rPr>
              <w:rFonts w:eastAsia="Times New Roman" w:cstheme="minorHAnsi"/>
              <w:lang w:eastAsia="en-GB"/>
            </w:rPr>
            <w:t>CM</w:t>
          </w:r>
          <w:r w:rsidR="00F04DC1">
            <w:rPr>
              <w:rFonts w:eastAsia="Times New Roman" w:cstheme="minorHAnsi"/>
              <w:lang w:eastAsia="en-GB"/>
            </w:rPr>
            <w:t xml:space="preserve"> </w:t>
          </w:r>
          <w:r w:rsidRPr="004B6C88">
            <w:rPr>
              <w:rFonts w:eastAsia="Times New Roman" w:cstheme="minorHAnsi"/>
              <w:lang w:eastAsia="en-GB"/>
            </w:rPr>
            <w:t xml:space="preserve">  </w:t>
          </w:r>
        </w:p>
      </w:tc>
      <w:tc>
        <w:tcPr>
          <w:tcW w:w="5151" w:type="dxa"/>
          <w:gridSpan w:val="2"/>
          <w:shd w:val="clear" w:color="auto" w:fill="auto"/>
          <w:vAlign w:val="center"/>
        </w:tcPr>
        <w:p w14:paraId="4FD77B88" w14:textId="01D8937E" w:rsidR="00632C84" w:rsidRPr="004B6C88" w:rsidRDefault="000015D8"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Approval:</w:t>
          </w:r>
          <w:r w:rsidR="00632C84" w:rsidRPr="004B6C88">
            <w:rPr>
              <w:rFonts w:eastAsia="Times New Roman" w:cstheme="minorHAnsi"/>
              <w:lang w:eastAsia="en-GB"/>
            </w:rPr>
            <w:t xml:space="preserve">  </w:t>
          </w:r>
          <w:r w:rsidR="00A20BB7">
            <w:rPr>
              <w:rFonts w:eastAsia="Times New Roman" w:cstheme="minorHAnsi"/>
              <w:lang w:eastAsia="en-GB"/>
            </w:rPr>
            <w:t>MD</w:t>
          </w:r>
        </w:p>
      </w:tc>
    </w:tr>
  </w:tbl>
  <w:p w14:paraId="739AFA02" w14:textId="77777777" w:rsidR="00632C84" w:rsidRDefault="0063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FB44E" w14:textId="77777777" w:rsidR="00337944" w:rsidRDefault="00337944" w:rsidP="00632C84">
      <w:pPr>
        <w:spacing w:after="0" w:line="240" w:lineRule="auto"/>
      </w:pPr>
      <w:r>
        <w:separator/>
      </w:r>
    </w:p>
  </w:footnote>
  <w:footnote w:type="continuationSeparator" w:id="0">
    <w:p w14:paraId="3CA44254" w14:textId="77777777" w:rsidR="00337944" w:rsidRDefault="00337944" w:rsidP="0063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7428"/>
    </w:tblGrid>
    <w:tr w:rsidR="00D60796" w:rsidRPr="00D236BA" w14:paraId="7941F52C" w14:textId="77777777" w:rsidTr="00665F0A">
      <w:trPr>
        <w:cantSplit/>
        <w:trHeight w:val="606"/>
        <w:jc w:val="center"/>
      </w:trPr>
      <w:tc>
        <w:tcPr>
          <w:tcW w:w="1898" w:type="dxa"/>
          <w:vMerge w:val="restart"/>
        </w:tcPr>
        <w:p w14:paraId="43052FB7" w14:textId="6D06E45B" w:rsidR="00D60796" w:rsidRPr="00876DDE" w:rsidRDefault="00D60796" w:rsidP="007D4EBE">
          <w:pPr>
            <w:jc w:val="center"/>
            <w:rPr>
              <w:b/>
            </w:rPr>
          </w:pPr>
          <w:r>
            <w:rPr>
              <w:b/>
              <w:noProof/>
              <w:lang w:val="en-US"/>
            </w:rPr>
            <w:drawing>
              <wp:inline distT="0" distB="0" distL="0" distR="0" wp14:anchorId="18441759" wp14:editId="3C736A39">
                <wp:extent cx="1027961" cy="723331"/>
                <wp:effectExtent l="19050" t="0" r="739" b="0"/>
                <wp:docPr id="4" name="Picture 1" descr="D:\ATS WebSite\1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S WebSite\1 - Logo.png"/>
                        <pic:cNvPicPr>
                          <a:picLocks noChangeAspect="1" noChangeArrowheads="1"/>
                        </pic:cNvPicPr>
                      </pic:nvPicPr>
                      <pic:blipFill>
                        <a:blip r:embed="rId1"/>
                        <a:srcRect/>
                        <a:stretch>
                          <a:fillRect/>
                        </a:stretch>
                      </pic:blipFill>
                      <pic:spPr bwMode="auto">
                        <a:xfrm>
                          <a:off x="0" y="0"/>
                          <a:ext cx="1033171" cy="726997"/>
                        </a:xfrm>
                        <a:prstGeom prst="rect">
                          <a:avLst/>
                        </a:prstGeom>
                        <a:noFill/>
                        <a:ln w="9525">
                          <a:noFill/>
                          <a:miter lim="800000"/>
                          <a:headEnd/>
                          <a:tailEnd/>
                        </a:ln>
                      </pic:spPr>
                    </pic:pic>
                  </a:graphicData>
                </a:graphic>
              </wp:inline>
            </w:drawing>
          </w:r>
        </w:p>
      </w:tc>
      <w:tc>
        <w:tcPr>
          <w:tcW w:w="7428" w:type="dxa"/>
          <w:vAlign w:val="center"/>
        </w:tcPr>
        <w:p w14:paraId="39046921" w14:textId="60AE078F" w:rsidR="00D60796" w:rsidRPr="00D60796" w:rsidRDefault="000015D8" w:rsidP="00D60796">
          <w:pPr>
            <w:ind w:left="-270"/>
            <w:jc w:val="center"/>
            <w:rPr>
              <w:rFonts w:ascii="Arial Black" w:hAnsi="Arial Black"/>
              <w:b/>
              <w:bCs/>
              <w:sz w:val="32"/>
              <w:szCs w:val="32"/>
            </w:rPr>
          </w:pPr>
          <w:r w:rsidRPr="00D60796">
            <w:rPr>
              <w:rFonts w:ascii="Arial Black" w:hAnsi="Arial Black"/>
              <w:b/>
              <w:bCs/>
              <w:sz w:val="32"/>
              <w:szCs w:val="32"/>
            </w:rPr>
            <w:t>ATLAS TRAINING</w:t>
          </w:r>
          <w:r w:rsidR="00D60796" w:rsidRPr="00D60796">
            <w:rPr>
              <w:rFonts w:ascii="Arial Black" w:hAnsi="Arial Black"/>
              <w:b/>
              <w:bCs/>
              <w:sz w:val="32"/>
              <w:szCs w:val="32"/>
            </w:rPr>
            <w:t xml:space="preserve"> SERVICES</w:t>
          </w:r>
        </w:p>
      </w:tc>
    </w:tr>
    <w:tr w:rsidR="00665F0A" w:rsidRPr="000465FD" w14:paraId="66A2BB93" w14:textId="77777777" w:rsidTr="00665F0A">
      <w:trPr>
        <w:cantSplit/>
        <w:trHeight w:val="581"/>
        <w:jc w:val="center"/>
      </w:trPr>
      <w:tc>
        <w:tcPr>
          <w:tcW w:w="1898" w:type="dxa"/>
          <w:vMerge/>
        </w:tcPr>
        <w:p w14:paraId="72677F2F" w14:textId="77777777" w:rsidR="00665F0A" w:rsidRPr="002C05D0" w:rsidRDefault="00665F0A" w:rsidP="00632C84">
          <w:pPr>
            <w:rPr>
              <w:b/>
              <w:noProof/>
              <w:lang w:bidi="mr-IN"/>
            </w:rPr>
          </w:pPr>
        </w:p>
      </w:tc>
      <w:tc>
        <w:tcPr>
          <w:tcW w:w="7428" w:type="dxa"/>
          <w:vAlign w:val="center"/>
        </w:tcPr>
        <w:p w14:paraId="078724FD" w14:textId="2318FB72" w:rsidR="00665F0A" w:rsidRDefault="00023071" w:rsidP="0086162B">
          <w:pPr>
            <w:jc w:val="center"/>
            <w:rPr>
              <w:rFonts w:cs="Arial"/>
              <w:b/>
              <w:bCs/>
              <w:sz w:val="44"/>
              <w:szCs w:val="40"/>
              <w:lang w:bidi="mr-IN"/>
            </w:rPr>
          </w:pPr>
          <w:r w:rsidRPr="00023071">
            <w:rPr>
              <w:rFonts w:ascii="Arial" w:hAnsi="Arial" w:cs="Arial"/>
              <w:b/>
              <w:sz w:val="32"/>
              <w:szCs w:val="32"/>
            </w:rPr>
            <w:t xml:space="preserve">Third part </w:t>
          </w:r>
          <w:r w:rsidRPr="00023071">
            <w:rPr>
              <w:rFonts w:ascii="Arial" w:hAnsi="Arial" w:cs="Arial"/>
              <w:b/>
              <w:sz w:val="32"/>
              <w:szCs w:val="32"/>
            </w:rPr>
            <w:t>Communication</w:t>
          </w:r>
          <w:r w:rsidRPr="00023071">
            <w:rPr>
              <w:rFonts w:ascii="Arial" w:hAnsi="Arial" w:cs="Arial"/>
              <w:b/>
              <w:sz w:val="32"/>
              <w:szCs w:val="32"/>
            </w:rPr>
            <w:t xml:space="preserve"> Policy</w:t>
          </w:r>
        </w:p>
      </w:tc>
    </w:tr>
  </w:tbl>
  <w:p w14:paraId="0C02E30D" w14:textId="77777777" w:rsidR="00632C84" w:rsidRDefault="0063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8"/>
    <w:multiLevelType w:val="hybridMultilevel"/>
    <w:tmpl w:val="77580696"/>
    <w:lvl w:ilvl="0" w:tplc="6E147D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1A4C48"/>
    <w:multiLevelType w:val="hybridMultilevel"/>
    <w:tmpl w:val="316C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1140D"/>
    <w:multiLevelType w:val="hybridMultilevel"/>
    <w:tmpl w:val="87BE0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143E4"/>
    <w:multiLevelType w:val="multilevel"/>
    <w:tmpl w:val="928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A046B"/>
    <w:multiLevelType w:val="hybridMultilevel"/>
    <w:tmpl w:val="3104C116"/>
    <w:lvl w:ilvl="0" w:tplc="F1841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74C48"/>
    <w:multiLevelType w:val="hybridMultilevel"/>
    <w:tmpl w:val="4A92153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6" w15:restartNumberingAfterBreak="0">
    <w:nsid w:val="37AA4232"/>
    <w:multiLevelType w:val="hybridMultilevel"/>
    <w:tmpl w:val="6C36ED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B420D30"/>
    <w:multiLevelType w:val="hybridMultilevel"/>
    <w:tmpl w:val="DA021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45FEE"/>
    <w:multiLevelType w:val="hybridMultilevel"/>
    <w:tmpl w:val="AED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21510"/>
    <w:multiLevelType w:val="hybridMultilevel"/>
    <w:tmpl w:val="8360718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10" w15:restartNumberingAfterBreak="0">
    <w:nsid w:val="467A6EC7"/>
    <w:multiLevelType w:val="hybridMultilevel"/>
    <w:tmpl w:val="E7BE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6303A"/>
    <w:multiLevelType w:val="hybridMultilevel"/>
    <w:tmpl w:val="978EB06C"/>
    <w:lvl w:ilvl="0" w:tplc="AF8AD2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F286666"/>
    <w:multiLevelType w:val="hybridMultilevel"/>
    <w:tmpl w:val="6B32C7E6"/>
    <w:lvl w:ilvl="0" w:tplc="CDFE0E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FDE30F9"/>
    <w:multiLevelType w:val="hybridMultilevel"/>
    <w:tmpl w:val="4C8E6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DA0927"/>
    <w:multiLevelType w:val="hybridMultilevel"/>
    <w:tmpl w:val="9166834E"/>
    <w:lvl w:ilvl="0" w:tplc="592A0A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875D6F"/>
    <w:multiLevelType w:val="hybridMultilevel"/>
    <w:tmpl w:val="4BB02ED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15:restartNumberingAfterBreak="0">
    <w:nsid w:val="70FE0373"/>
    <w:multiLevelType w:val="multilevel"/>
    <w:tmpl w:val="A16C18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088430430">
    <w:abstractNumId w:val="2"/>
  </w:num>
  <w:num w:numId="2" w16cid:durableId="1927688700">
    <w:abstractNumId w:val="13"/>
  </w:num>
  <w:num w:numId="3" w16cid:durableId="1227374549">
    <w:abstractNumId w:val="16"/>
  </w:num>
  <w:num w:numId="4" w16cid:durableId="571814778">
    <w:abstractNumId w:val="6"/>
  </w:num>
  <w:num w:numId="5" w16cid:durableId="1992714774">
    <w:abstractNumId w:val="11"/>
  </w:num>
  <w:num w:numId="6" w16cid:durableId="1998341022">
    <w:abstractNumId w:val="0"/>
  </w:num>
  <w:num w:numId="7" w16cid:durableId="671496858">
    <w:abstractNumId w:val="14"/>
  </w:num>
  <w:num w:numId="8" w16cid:durableId="1719435052">
    <w:abstractNumId w:val="10"/>
  </w:num>
  <w:num w:numId="9" w16cid:durableId="504053206">
    <w:abstractNumId w:val="12"/>
  </w:num>
  <w:num w:numId="10" w16cid:durableId="2108694576">
    <w:abstractNumId w:val="8"/>
  </w:num>
  <w:num w:numId="11" w16cid:durableId="1192306847">
    <w:abstractNumId w:val="3"/>
  </w:num>
  <w:num w:numId="12" w16cid:durableId="1906337208">
    <w:abstractNumId w:val="9"/>
  </w:num>
  <w:num w:numId="13" w16cid:durableId="1452630936">
    <w:abstractNumId w:val="5"/>
  </w:num>
  <w:num w:numId="14" w16cid:durableId="258569370">
    <w:abstractNumId w:val="7"/>
  </w:num>
  <w:num w:numId="15" w16cid:durableId="1143962020">
    <w:abstractNumId w:val="15"/>
  </w:num>
  <w:num w:numId="16" w16cid:durableId="1250042834">
    <w:abstractNumId w:val="4"/>
  </w:num>
  <w:num w:numId="17" w16cid:durableId="220747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DB"/>
    <w:rsid w:val="000015D8"/>
    <w:rsid w:val="00023071"/>
    <w:rsid w:val="000E622A"/>
    <w:rsid w:val="00113B63"/>
    <w:rsid w:val="001318D1"/>
    <w:rsid w:val="00141DE4"/>
    <w:rsid w:val="00147A6E"/>
    <w:rsid w:val="001D2EEA"/>
    <w:rsid w:val="001D36EE"/>
    <w:rsid w:val="00226A2B"/>
    <w:rsid w:val="00290960"/>
    <w:rsid w:val="00292328"/>
    <w:rsid w:val="002C205E"/>
    <w:rsid w:val="002D09AF"/>
    <w:rsid w:val="002F78CC"/>
    <w:rsid w:val="0031228B"/>
    <w:rsid w:val="003245BB"/>
    <w:rsid w:val="003264CE"/>
    <w:rsid w:val="00337944"/>
    <w:rsid w:val="00361974"/>
    <w:rsid w:val="00375706"/>
    <w:rsid w:val="00377A60"/>
    <w:rsid w:val="003B2A54"/>
    <w:rsid w:val="003D03ED"/>
    <w:rsid w:val="003E5605"/>
    <w:rsid w:val="00434B7A"/>
    <w:rsid w:val="00470560"/>
    <w:rsid w:val="00485B34"/>
    <w:rsid w:val="004B70C9"/>
    <w:rsid w:val="004F641C"/>
    <w:rsid w:val="0050054E"/>
    <w:rsid w:val="00500B58"/>
    <w:rsid w:val="00522B09"/>
    <w:rsid w:val="00541614"/>
    <w:rsid w:val="005635DB"/>
    <w:rsid w:val="005C23DB"/>
    <w:rsid w:val="005F0576"/>
    <w:rsid w:val="00600EF3"/>
    <w:rsid w:val="00632C84"/>
    <w:rsid w:val="006424F3"/>
    <w:rsid w:val="00655EEE"/>
    <w:rsid w:val="00665F0A"/>
    <w:rsid w:val="006847D0"/>
    <w:rsid w:val="00695BC8"/>
    <w:rsid w:val="006B4041"/>
    <w:rsid w:val="006C097D"/>
    <w:rsid w:val="006E7A2D"/>
    <w:rsid w:val="00721463"/>
    <w:rsid w:val="00753F80"/>
    <w:rsid w:val="00785C44"/>
    <w:rsid w:val="00796BE8"/>
    <w:rsid w:val="007D4EBE"/>
    <w:rsid w:val="00807DF9"/>
    <w:rsid w:val="00846A8A"/>
    <w:rsid w:val="00912BF2"/>
    <w:rsid w:val="00933CC1"/>
    <w:rsid w:val="00952732"/>
    <w:rsid w:val="0096492A"/>
    <w:rsid w:val="009C35E3"/>
    <w:rsid w:val="009D5BB4"/>
    <w:rsid w:val="00A20BB7"/>
    <w:rsid w:val="00A62702"/>
    <w:rsid w:val="00A91817"/>
    <w:rsid w:val="00A91EB0"/>
    <w:rsid w:val="00AA0B8D"/>
    <w:rsid w:val="00B322AA"/>
    <w:rsid w:val="00B456B1"/>
    <w:rsid w:val="00B55CE0"/>
    <w:rsid w:val="00BB0BFD"/>
    <w:rsid w:val="00BB37C1"/>
    <w:rsid w:val="00BB46EF"/>
    <w:rsid w:val="00BC0C71"/>
    <w:rsid w:val="00BC3402"/>
    <w:rsid w:val="00BF6936"/>
    <w:rsid w:val="00C61F87"/>
    <w:rsid w:val="00CC0DDB"/>
    <w:rsid w:val="00D435F2"/>
    <w:rsid w:val="00D60796"/>
    <w:rsid w:val="00D625A2"/>
    <w:rsid w:val="00D97563"/>
    <w:rsid w:val="00DC3E93"/>
    <w:rsid w:val="00DF297E"/>
    <w:rsid w:val="00E00405"/>
    <w:rsid w:val="00E03F5E"/>
    <w:rsid w:val="00E10205"/>
    <w:rsid w:val="00E2360C"/>
    <w:rsid w:val="00E40620"/>
    <w:rsid w:val="00E55DCC"/>
    <w:rsid w:val="00E730FA"/>
    <w:rsid w:val="00E854DF"/>
    <w:rsid w:val="00EC121F"/>
    <w:rsid w:val="00F04DC1"/>
    <w:rsid w:val="00F12456"/>
    <w:rsid w:val="00F2173A"/>
    <w:rsid w:val="00F47990"/>
    <w:rsid w:val="00F54D75"/>
    <w:rsid w:val="00F5769E"/>
    <w:rsid w:val="00F671BC"/>
    <w:rsid w:val="00FB06C1"/>
    <w:rsid w:val="00FD3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4F870"/>
  <w15:docId w15:val="{D7C42630-8B35-4C50-B18C-65605BA0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DDB"/>
    <w:pPr>
      <w:ind w:left="720"/>
      <w:contextualSpacing/>
    </w:pPr>
  </w:style>
  <w:style w:type="table" w:styleId="TableGrid">
    <w:name w:val="Table Grid"/>
    <w:basedOn w:val="TableNormal"/>
    <w:uiPriority w:val="39"/>
    <w:rsid w:val="00CC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C84"/>
  </w:style>
  <w:style w:type="paragraph" w:styleId="Footer">
    <w:name w:val="footer"/>
    <w:basedOn w:val="Normal"/>
    <w:link w:val="FooterChar"/>
    <w:uiPriority w:val="99"/>
    <w:unhideWhenUsed/>
    <w:rsid w:val="0063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C84"/>
  </w:style>
  <w:style w:type="paragraph" w:styleId="BalloonText">
    <w:name w:val="Balloon Text"/>
    <w:basedOn w:val="Normal"/>
    <w:link w:val="BalloonTextChar"/>
    <w:uiPriority w:val="99"/>
    <w:semiHidden/>
    <w:unhideWhenUsed/>
    <w:rsid w:val="00D6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96"/>
    <w:rPr>
      <w:rFonts w:ascii="Tahoma" w:hAnsi="Tahoma" w:cs="Tahoma"/>
      <w:sz w:val="16"/>
      <w:szCs w:val="16"/>
    </w:rPr>
  </w:style>
  <w:style w:type="paragraph" w:styleId="NormalWeb">
    <w:name w:val="Normal (Web)"/>
    <w:basedOn w:val="Normal"/>
    <w:uiPriority w:val="99"/>
    <w:unhideWhenUsed/>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10">
    <w:name w:val="col-10"/>
    <w:basedOn w:val="Normal"/>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mainChar">
    <w:name w:val="textmain Char"/>
    <w:basedOn w:val="DefaultParagraphFont"/>
    <w:link w:val="textmain"/>
    <w:locked/>
    <w:rsid w:val="002C205E"/>
    <w:rPr>
      <w:rFonts w:ascii="Arial" w:eastAsia="Times New Roman" w:hAnsi="Arial" w:cs="Arial"/>
      <w:sz w:val="18"/>
      <w:szCs w:val="18"/>
      <w:lang w:val="en-US"/>
    </w:rPr>
  </w:style>
  <w:style w:type="paragraph" w:customStyle="1" w:styleId="textmain">
    <w:name w:val="textmain"/>
    <w:basedOn w:val="Normal"/>
    <w:link w:val="textmainChar"/>
    <w:rsid w:val="002C205E"/>
    <w:pPr>
      <w:spacing w:before="100" w:beforeAutospacing="1" w:after="100" w:afterAutospacing="1" w:line="240" w:lineRule="auto"/>
      <w:ind w:left="45"/>
    </w:pPr>
    <w:rPr>
      <w:rFonts w:ascii="Arial" w:eastAsia="Times New Roman"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70155">
      <w:bodyDiv w:val="1"/>
      <w:marLeft w:val="0"/>
      <w:marRight w:val="0"/>
      <w:marTop w:val="0"/>
      <w:marBottom w:val="0"/>
      <w:divBdr>
        <w:top w:val="none" w:sz="0" w:space="0" w:color="auto"/>
        <w:left w:val="none" w:sz="0" w:space="0" w:color="auto"/>
        <w:bottom w:val="none" w:sz="0" w:space="0" w:color="auto"/>
        <w:right w:val="none" w:sz="0" w:space="0" w:color="auto"/>
      </w:divBdr>
    </w:div>
    <w:div w:id="14226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Muhammad Debabi</cp:lastModifiedBy>
  <cp:revision>14</cp:revision>
  <cp:lastPrinted>2023-01-22T09:32:00Z</cp:lastPrinted>
  <dcterms:created xsi:type="dcterms:W3CDTF">2024-01-01T06:29:00Z</dcterms:created>
  <dcterms:modified xsi:type="dcterms:W3CDTF">2025-05-10T14:17:00Z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421fd5-fb38-4dc9-a3b2-1c473f11536f_Enabled">
    <vt:lpwstr>true</vt:lpwstr>
  </property>
  <property fmtid="{D5CDD505-2E9C-101B-9397-08002B2CF9AE}" pid="3" name="MSIP_Label_f3421fd5-fb38-4dc9-a3b2-1c473f11536f_SetDate">
    <vt:lpwstr>2024-01-01T06:29:27Z</vt:lpwstr>
  </property>
  <property fmtid="{D5CDD505-2E9C-101B-9397-08002B2CF9AE}" pid="4" name="MSIP_Label_f3421fd5-fb38-4dc9-a3b2-1c473f11536f_Method">
    <vt:lpwstr>Privileged</vt:lpwstr>
  </property>
  <property fmtid="{D5CDD505-2E9C-101B-9397-08002B2CF9AE}" pid="5" name="MSIP_Label_f3421fd5-fb38-4dc9-a3b2-1c473f11536f_Name">
    <vt:lpwstr>C0 - NON-CONFIDENTIAL</vt:lpwstr>
  </property>
  <property fmtid="{D5CDD505-2E9C-101B-9397-08002B2CF9AE}" pid="6" name="MSIP_Label_f3421fd5-fb38-4dc9-a3b2-1c473f11536f_SiteId">
    <vt:lpwstr>22e9f6b1-8d64-4327-9344-7495608a7368</vt:lpwstr>
  </property>
  <property fmtid="{D5CDD505-2E9C-101B-9397-08002B2CF9AE}" pid="7" name="MSIP_Label_f3421fd5-fb38-4dc9-a3b2-1c473f11536f_ActionId">
    <vt:lpwstr>70416880-2de3-440f-83ae-5b022b332bc8</vt:lpwstr>
  </property>
  <property fmtid="{D5CDD505-2E9C-101B-9397-08002B2CF9AE}" pid="8" name="MSIP_Label_f3421fd5-fb38-4dc9-a3b2-1c473f11536f_ContentBits">
    <vt:lpwstr>1</vt:lpwstr>
  </property>
</Properties>
</file>