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79E" w:rsidRDefault="00F70701" w:rsidP="00E46F4D">
      <w:pPr>
        <w:jc w:val="center"/>
        <w:rPr>
          <w:rFonts w:ascii="David" w:hAnsi="David" w:cs="David"/>
          <w:b/>
          <w:bCs/>
          <w:sz w:val="32"/>
          <w:szCs w:val="32"/>
          <w:u w:val="single"/>
          <w:rtl/>
        </w:rPr>
      </w:pPr>
      <w:r>
        <w:rPr>
          <w:rFonts w:ascii="David" w:hAnsi="David" w:cs="David" w:hint="cs"/>
          <w:b/>
          <w:bCs/>
          <w:sz w:val="32"/>
          <w:szCs w:val="32"/>
          <w:u w:val="single"/>
          <w:rtl/>
        </w:rPr>
        <w:t>אי הפרשה לפנסיה</w:t>
      </w:r>
      <w:r w:rsidR="009425A6">
        <w:rPr>
          <w:rFonts w:ascii="David" w:hAnsi="David" w:cs="David" w:hint="cs"/>
          <w:b/>
          <w:bCs/>
          <w:sz w:val="32"/>
          <w:szCs w:val="32"/>
          <w:u w:val="single"/>
          <w:rtl/>
        </w:rPr>
        <w:t xml:space="preserve"> </w:t>
      </w:r>
      <w:r w:rsidR="00FA39E6">
        <w:rPr>
          <w:rFonts w:ascii="David" w:hAnsi="David" w:cs="David" w:hint="cs"/>
          <w:b/>
          <w:bCs/>
          <w:sz w:val="32"/>
          <w:szCs w:val="32"/>
          <w:u w:val="single"/>
          <w:rtl/>
        </w:rPr>
        <w:t>עבור העובד</w:t>
      </w:r>
      <w:r w:rsidR="00AE5EF8">
        <w:rPr>
          <w:rFonts w:ascii="David" w:hAnsi="David" w:cs="David" w:hint="cs"/>
          <w:b/>
          <w:bCs/>
          <w:sz w:val="32"/>
          <w:szCs w:val="32"/>
          <w:u w:val="single"/>
          <w:rtl/>
        </w:rPr>
        <w:t>?</w:t>
      </w:r>
      <w:r>
        <w:rPr>
          <w:rFonts w:ascii="David" w:hAnsi="David" w:cs="David" w:hint="cs"/>
          <w:b/>
          <w:bCs/>
          <w:sz w:val="32"/>
          <w:szCs w:val="32"/>
          <w:u w:val="single"/>
          <w:rtl/>
        </w:rPr>
        <w:t xml:space="preserve"> טעות שעלולה לעלות ביוקר</w:t>
      </w:r>
    </w:p>
    <w:p w:rsidR="00F70701" w:rsidRDefault="00E46F4D" w:rsidP="00E46F4D">
      <w:pPr>
        <w:jc w:val="both"/>
        <w:rPr>
          <w:rFonts w:ascii="David" w:hAnsi="David" w:cs="David"/>
          <w:sz w:val="24"/>
          <w:szCs w:val="24"/>
          <w:rtl/>
        </w:rPr>
      </w:pPr>
      <w:r w:rsidRPr="00263BD9">
        <w:rPr>
          <w:rFonts w:ascii="David" w:hAnsi="David" w:cs="David" w:hint="cs"/>
          <w:sz w:val="24"/>
          <w:szCs w:val="24"/>
          <w:rtl/>
        </w:rPr>
        <w:t xml:space="preserve">מעסיקים רבים </w:t>
      </w:r>
      <w:r w:rsidR="00F70701">
        <w:rPr>
          <w:rFonts w:ascii="David" w:hAnsi="David" w:cs="David" w:hint="cs"/>
          <w:sz w:val="24"/>
          <w:szCs w:val="24"/>
          <w:rtl/>
        </w:rPr>
        <w:t>אינם מודעים, משום מה, לחובתם לביצוע הפרשות לפנסיה ע"פ צו ההרחבה הכללי במשק</w:t>
      </w:r>
      <w:r w:rsidR="009425A6">
        <w:rPr>
          <w:rFonts w:ascii="David" w:hAnsi="David" w:cs="David" w:hint="cs"/>
          <w:sz w:val="24"/>
          <w:szCs w:val="24"/>
          <w:rtl/>
        </w:rPr>
        <w:t xml:space="preserve"> ו/או הסכמים קיבוציים ו/או צווי הרחבה במגזרים השונים </w:t>
      </w:r>
      <w:r w:rsidR="00F70701">
        <w:rPr>
          <w:rFonts w:ascii="David" w:hAnsi="David" w:cs="David" w:hint="cs"/>
          <w:sz w:val="24"/>
          <w:szCs w:val="24"/>
          <w:rtl/>
        </w:rPr>
        <w:t>ו/או סבורים שלא יקרה כלום אם לא ישלמו ולכל היותר יידרשו לשלם את מה שהיו צריכים לשלם.</w:t>
      </w:r>
    </w:p>
    <w:p w:rsidR="00F70701" w:rsidRDefault="00F70701" w:rsidP="00E46F4D">
      <w:pPr>
        <w:jc w:val="both"/>
        <w:rPr>
          <w:rFonts w:ascii="David" w:hAnsi="David" w:cs="David" w:hint="cs"/>
          <w:sz w:val="24"/>
          <w:szCs w:val="24"/>
          <w:rtl/>
        </w:rPr>
      </w:pPr>
      <w:r>
        <w:rPr>
          <w:rFonts w:ascii="David" w:hAnsi="David" w:cs="David" w:hint="cs"/>
          <w:sz w:val="24"/>
          <w:szCs w:val="24"/>
          <w:rtl/>
        </w:rPr>
        <w:t>התנהלות זו הינה חסרת אחריות ועלולה לגרום למעסיק, לרבות הפרטי וגם זה המחזיק עוזרת בית בלבד לנזקים גדולים העלולים להביאו לפשיטת רגל.</w:t>
      </w:r>
    </w:p>
    <w:p w:rsidR="006F0487" w:rsidRDefault="00F70701" w:rsidP="00F70701">
      <w:pPr>
        <w:jc w:val="both"/>
        <w:rPr>
          <w:rFonts w:ascii="David" w:hAnsi="David" w:cs="David"/>
          <w:sz w:val="24"/>
          <w:szCs w:val="24"/>
          <w:rtl/>
        </w:rPr>
      </w:pPr>
      <w:r>
        <w:rPr>
          <w:rFonts w:ascii="David" w:hAnsi="David" w:cs="David" w:hint="cs"/>
          <w:sz w:val="24"/>
          <w:szCs w:val="24"/>
          <w:rtl/>
        </w:rPr>
        <w:t xml:space="preserve">חובת ההפרשה לפנסיה לעובד נבעה בעבר מהסכמים קיבוציים ו/או צוו הרחבה, שחלו על ענף זה או אחר, כאשר החל מ-2008 חלה החובה לביצוע הפרשות </w:t>
      </w:r>
      <w:r w:rsidR="00CD1C11">
        <w:rPr>
          <w:rFonts w:ascii="David" w:hAnsi="David" w:cs="David" w:hint="cs"/>
          <w:sz w:val="24"/>
          <w:szCs w:val="24"/>
          <w:rtl/>
        </w:rPr>
        <w:t xml:space="preserve">עבור </w:t>
      </w:r>
      <w:r>
        <w:rPr>
          <w:rFonts w:ascii="David" w:hAnsi="David" w:cs="David" w:hint="cs"/>
          <w:sz w:val="24"/>
          <w:szCs w:val="24"/>
          <w:rtl/>
        </w:rPr>
        <w:t xml:space="preserve">כל עובד, כאשר כל שנה עלה שיעור ההפרשות, כאשר בשנת 2014 הגיע לכדי 6% </w:t>
      </w:r>
      <w:r w:rsidR="006F0487">
        <w:rPr>
          <w:rFonts w:ascii="David" w:hAnsi="David" w:cs="David" w:hint="cs"/>
          <w:sz w:val="24"/>
          <w:szCs w:val="24"/>
          <w:rtl/>
        </w:rPr>
        <w:t xml:space="preserve">מהשכר </w:t>
      </w:r>
      <w:r w:rsidR="00CD1C11">
        <w:rPr>
          <w:rFonts w:ascii="David" w:hAnsi="David" w:cs="David" w:hint="cs"/>
          <w:sz w:val="24"/>
          <w:szCs w:val="24"/>
          <w:rtl/>
        </w:rPr>
        <w:t xml:space="preserve">על חשבון המעסיק, </w:t>
      </w:r>
      <w:r>
        <w:rPr>
          <w:rFonts w:ascii="David" w:hAnsi="David" w:cs="David" w:hint="cs"/>
          <w:sz w:val="24"/>
          <w:szCs w:val="24"/>
          <w:rtl/>
        </w:rPr>
        <w:t>ב-1.7.16 לכדי 6.</w:t>
      </w:r>
      <w:r w:rsidR="009425A6">
        <w:rPr>
          <w:rFonts w:ascii="David" w:hAnsi="David" w:cs="David" w:hint="cs"/>
          <w:sz w:val="24"/>
          <w:szCs w:val="24"/>
          <w:rtl/>
        </w:rPr>
        <w:t>2</w:t>
      </w:r>
      <w:r>
        <w:rPr>
          <w:rFonts w:ascii="David" w:hAnsi="David" w:cs="David" w:hint="cs"/>
          <w:sz w:val="24"/>
          <w:szCs w:val="24"/>
          <w:rtl/>
        </w:rPr>
        <w:t>5 אחוז</w:t>
      </w:r>
      <w:r w:rsidR="006F0487">
        <w:rPr>
          <w:rFonts w:ascii="David" w:hAnsi="David" w:cs="David" w:hint="cs"/>
          <w:sz w:val="24"/>
          <w:szCs w:val="24"/>
          <w:rtl/>
        </w:rPr>
        <w:t xml:space="preserve"> מהשכר</w:t>
      </w:r>
      <w:r w:rsidR="009425A6">
        <w:rPr>
          <w:rFonts w:ascii="David" w:hAnsi="David" w:cs="David" w:hint="cs"/>
          <w:sz w:val="24"/>
          <w:szCs w:val="24"/>
          <w:rtl/>
        </w:rPr>
        <w:t xml:space="preserve"> וב-1.1.17 6.5% מהשכר</w:t>
      </w:r>
      <w:r w:rsidR="006F0487">
        <w:rPr>
          <w:rFonts w:ascii="David" w:hAnsi="David" w:cs="David" w:hint="cs"/>
          <w:sz w:val="24"/>
          <w:szCs w:val="24"/>
          <w:rtl/>
        </w:rPr>
        <w:t xml:space="preserve"> </w:t>
      </w:r>
      <w:r>
        <w:rPr>
          <w:rFonts w:ascii="David" w:hAnsi="David" w:cs="David" w:hint="cs"/>
          <w:sz w:val="24"/>
          <w:szCs w:val="24"/>
          <w:rtl/>
        </w:rPr>
        <w:t>.</w:t>
      </w:r>
      <w:r w:rsidR="006F0487">
        <w:rPr>
          <w:rFonts w:ascii="David" w:hAnsi="David" w:cs="David" w:hint="cs"/>
          <w:sz w:val="24"/>
          <w:szCs w:val="24"/>
          <w:rtl/>
        </w:rPr>
        <w:t xml:space="preserve"> (יובהר כי שיעור השכר המבוטח מוגבל ע"פ צו ההרחבה הכללי לכדי השכר הממוצע במשק, כאשר מהו שיעור השכר הקובע הינה שאלה פשוטה ברוב המקרים ומורכבת בחלק קטן של המקרים בתלות במרכיבי השכר)</w:t>
      </w:r>
    </w:p>
    <w:p w:rsidR="00E064D6" w:rsidRDefault="006F0487" w:rsidP="00F70701">
      <w:pPr>
        <w:jc w:val="both"/>
        <w:rPr>
          <w:rFonts w:ascii="David" w:hAnsi="David" w:cs="David" w:hint="cs"/>
          <w:sz w:val="24"/>
          <w:szCs w:val="24"/>
          <w:rtl/>
        </w:rPr>
      </w:pPr>
      <w:r>
        <w:rPr>
          <w:rFonts w:ascii="David" w:hAnsi="David" w:cs="David" w:hint="cs"/>
          <w:sz w:val="24"/>
          <w:szCs w:val="24"/>
          <w:rtl/>
        </w:rPr>
        <w:t xml:space="preserve">לאחרונה הגיעו למשרדי מספר תיקים בהם מעבידים </w:t>
      </w:r>
      <w:r w:rsidR="00122F39">
        <w:rPr>
          <w:rFonts w:ascii="David" w:hAnsi="David" w:cs="David" w:hint="cs"/>
          <w:sz w:val="24"/>
          <w:szCs w:val="24"/>
          <w:rtl/>
        </w:rPr>
        <w:t xml:space="preserve">נתבעו על ידי העובדים או ע"י שאירים, תלויים או יורשים, אך לא רק </w:t>
      </w:r>
      <w:r w:rsidR="00CD1C11">
        <w:rPr>
          <w:rFonts w:ascii="David" w:hAnsi="David" w:cs="David" w:hint="cs"/>
          <w:sz w:val="24"/>
          <w:szCs w:val="24"/>
          <w:rtl/>
        </w:rPr>
        <w:t>ל</w:t>
      </w:r>
      <w:r w:rsidR="00122F39">
        <w:rPr>
          <w:rFonts w:ascii="David" w:hAnsi="David" w:cs="David" w:hint="cs"/>
          <w:sz w:val="24"/>
          <w:szCs w:val="24"/>
          <w:rtl/>
        </w:rPr>
        <w:t xml:space="preserve">קבלת הכספים שלא הפרשו לקופה, אלא </w:t>
      </w:r>
      <w:r w:rsidR="00E064D6">
        <w:rPr>
          <w:rFonts w:ascii="David" w:hAnsi="David" w:cs="David" w:hint="cs"/>
          <w:sz w:val="24"/>
          <w:szCs w:val="24"/>
          <w:rtl/>
        </w:rPr>
        <w:t>בשל הנזק שנגרם בשל אי ביצוע ההפרשות לפנסיה.</w:t>
      </w:r>
    </w:p>
    <w:p w:rsidR="00E064D6" w:rsidRDefault="00E064D6" w:rsidP="00F70701">
      <w:pPr>
        <w:jc w:val="both"/>
        <w:rPr>
          <w:rFonts w:ascii="David" w:hAnsi="David" w:cs="David"/>
          <w:sz w:val="24"/>
          <w:szCs w:val="24"/>
          <w:rtl/>
        </w:rPr>
      </w:pPr>
      <w:r>
        <w:rPr>
          <w:rFonts w:ascii="David" w:hAnsi="David" w:cs="David" w:hint="cs"/>
          <w:sz w:val="24"/>
          <w:szCs w:val="24"/>
          <w:rtl/>
        </w:rPr>
        <w:t>כך לדוגמא בעל המניות בחברה המעסיקה חויב לשלם לאשת העובד וילדיו סכום של כ-500,000 ₪  בשל כך שאי ההפרשות לפנסיה מנעו מהם לקבל את הקצבאות מקופת הפנסיה, בעקבות פטירת העובד שלא בוטח.</w:t>
      </w:r>
    </w:p>
    <w:p w:rsidR="00AF1F71" w:rsidRDefault="00E064D6" w:rsidP="00F70701">
      <w:pPr>
        <w:jc w:val="both"/>
        <w:rPr>
          <w:rFonts w:ascii="David" w:hAnsi="David" w:cs="David" w:hint="cs"/>
          <w:sz w:val="24"/>
          <w:szCs w:val="24"/>
          <w:rtl/>
        </w:rPr>
      </w:pPr>
      <w:r>
        <w:rPr>
          <w:rFonts w:ascii="David" w:hAnsi="David" w:cs="David"/>
          <w:sz w:val="24"/>
          <w:szCs w:val="24"/>
          <w:rtl/>
        </w:rPr>
        <w:t xml:space="preserve">או </w:t>
      </w:r>
      <w:r>
        <w:rPr>
          <w:rFonts w:ascii="David" w:hAnsi="David" w:cs="David" w:hint="cs"/>
          <w:sz w:val="24"/>
          <w:szCs w:val="24"/>
          <w:rtl/>
        </w:rPr>
        <w:t xml:space="preserve">במקרה אחר מעביד חויב בתשלום לעובד בשל כך שההפרשות לפנסיה </w:t>
      </w:r>
      <w:r w:rsidR="00AF1F71">
        <w:rPr>
          <w:rFonts w:ascii="David" w:hAnsi="David" w:cs="David" w:hint="cs"/>
          <w:sz w:val="24"/>
          <w:szCs w:val="24"/>
          <w:rtl/>
        </w:rPr>
        <w:t xml:space="preserve">הועברו על חלק מהשכר בלבד ועל כן העובד קיבל </w:t>
      </w:r>
      <w:r w:rsidR="00CD1C11">
        <w:rPr>
          <w:rFonts w:ascii="David" w:hAnsi="David" w:cs="David" w:hint="cs"/>
          <w:sz w:val="24"/>
          <w:szCs w:val="24"/>
          <w:rtl/>
        </w:rPr>
        <w:t>מ</w:t>
      </w:r>
      <w:r w:rsidR="00AF1F71">
        <w:rPr>
          <w:rFonts w:ascii="David" w:hAnsi="David" w:cs="David" w:hint="cs"/>
          <w:sz w:val="24"/>
          <w:szCs w:val="24"/>
          <w:rtl/>
        </w:rPr>
        <w:t>חברת הביטוח גמלה המתאימה לשכר המופחת בגינו בוצעו ההפרשות והמעסיק נאלץ לשלם את ההשלמה בין הקצבה שהעובד היה זכאי לקבל אילו בוצעו הפרשות מלאות לקופה לבין הקצבה שהתקבלה מחברת הביטוח.</w:t>
      </w:r>
    </w:p>
    <w:p w:rsidR="00AF1F71" w:rsidRDefault="00E064D6" w:rsidP="00AF1F71">
      <w:pPr>
        <w:jc w:val="both"/>
        <w:rPr>
          <w:rFonts w:ascii="David" w:hAnsi="David" w:cs="David"/>
          <w:sz w:val="24"/>
          <w:szCs w:val="24"/>
          <w:rtl/>
        </w:rPr>
      </w:pPr>
      <w:r>
        <w:rPr>
          <w:rFonts w:ascii="David" w:hAnsi="David" w:cs="David" w:hint="cs"/>
          <w:sz w:val="24"/>
          <w:szCs w:val="24"/>
          <w:rtl/>
        </w:rPr>
        <w:t xml:space="preserve">בקיצור, במקרה שבו המעסיק אינו מבצע את ההפרשות לפנסיה כמתחייב בהסכמים הקיבוציים או בצווי הרחבה ו/או בצו ההרחבה הכללי במשק הופך הוא להיות הגורם המפצה במקרה של מקרה ביטוח, שקופת הפנסיה או חברת הביטוח </w:t>
      </w:r>
      <w:proofErr w:type="spellStart"/>
      <w:r>
        <w:rPr>
          <w:rFonts w:ascii="David" w:hAnsi="David" w:cs="David" w:hint="cs"/>
          <w:sz w:val="24"/>
          <w:szCs w:val="24"/>
          <w:rtl/>
        </w:rPr>
        <w:t>היתה</w:t>
      </w:r>
      <w:proofErr w:type="spellEnd"/>
      <w:r>
        <w:rPr>
          <w:rFonts w:ascii="David" w:hAnsi="David" w:cs="David" w:hint="cs"/>
          <w:sz w:val="24"/>
          <w:szCs w:val="24"/>
          <w:rtl/>
        </w:rPr>
        <w:t xml:space="preserve"> צריכה לשלם לעובד או שאריו.</w:t>
      </w:r>
    </w:p>
    <w:p w:rsidR="00AF1F71" w:rsidRDefault="00AF1F71" w:rsidP="00AF1F71">
      <w:pPr>
        <w:jc w:val="both"/>
        <w:rPr>
          <w:rFonts w:ascii="David" w:hAnsi="David" w:cs="David"/>
          <w:sz w:val="24"/>
          <w:szCs w:val="24"/>
          <w:rtl/>
        </w:rPr>
      </w:pPr>
      <w:r>
        <w:rPr>
          <w:rFonts w:ascii="David" w:hAnsi="David" w:cs="David"/>
          <w:sz w:val="24"/>
          <w:szCs w:val="24"/>
          <w:rtl/>
        </w:rPr>
        <w:t xml:space="preserve">על </w:t>
      </w:r>
      <w:r>
        <w:rPr>
          <w:rFonts w:ascii="David" w:hAnsi="David" w:cs="David" w:hint="cs"/>
          <w:sz w:val="24"/>
          <w:szCs w:val="24"/>
          <w:rtl/>
        </w:rPr>
        <w:t>כן מיד עם קבלת העובד לעבודה יש לדרוש ממנו לקבל אסמכתא בדבר היותו מבוטח פעיל או לא פעיל בקופת פנסיה קודמת (מבוטח שאינו פעיל הינו מבוטח שלא בוצעו עבורו הפרשות במשך 5 חודשים)</w:t>
      </w:r>
      <w:r w:rsidR="00CD1C11">
        <w:rPr>
          <w:rFonts w:ascii="David" w:hAnsi="David" w:cs="David" w:hint="cs"/>
          <w:sz w:val="24"/>
          <w:szCs w:val="24"/>
          <w:rtl/>
        </w:rPr>
        <w:t>, כאשר לעובד מבוטח פעיל יש להפריש לאחר 3 חודשי עבודה רטרואקטיבית מתחילת העבודה ולמי שאינו פעיל יש לבצע הפרשות לאחר 6 חודשים</w:t>
      </w:r>
    </w:p>
    <w:p w:rsidR="00AF1F71" w:rsidRDefault="00AF1F71" w:rsidP="00AF1F71">
      <w:pPr>
        <w:jc w:val="both"/>
        <w:rPr>
          <w:rFonts w:ascii="David" w:hAnsi="David" w:cs="David" w:hint="cs"/>
          <w:sz w:val="24"/>
          <w:szCs w:val="24"/>
          <w:rtl/>
        </w:rPr>
      </w:pPr>
      <w:r>
        <w:rPr>
          <w:rFonts w:ascii="David" w:hAnsi="David" w:cs="David"/>
          <w:sz w:val="24"/>
          <w:szCs w:val="24"/>
          <w:rtl/>
        </w:rPr>
        <w:t xml:space="preserve">יובהר </w:t>
      </w:r>
      <w:r>
        <w:rPr>
          <w:rFonts w:ascii="David" w:hAnsi="David" w:cs="David" w:hint="cs"/>
          <w:sz w:val="24"/>
          <w:szCs w:val="24"/>
          <w:rtl/>
        </w:rPr>
        <w:t>כי שיעור קצבת הנכות ו/או השאירים</w:t>
      </w:r>
      <w:r w:rsidR="00CD1C11">
        <w:rPr>
          <w:rFonts w:ascii="David" w:hAnsi="David" w:cs="David" w:hint="cs"/>
          <w:sz w:val="24"/>
          <w:szCs w:val="24"/>
          <w:rtl/>
        </w:rPr>
        <w:t>,</w:t>
      </w:r>
      <w:bookmarkStart w:id="0" w:name="_GoBack"/>
      <w:bookmarkEnd w:id="0"/>
      <w:r>
        <w:rPr>
          <w:rFonts w:ascii="David" w:hAnsi="David" w:cs="David" w:hint="cs"/>
          <w:sz w:val="24"/>
          <w:szCs w:val="24"/>
          <w:rtl/>
        </w:rPr>
        <w:t xml:space="preserve"> </w:t>
      </w:r>
      <w:proofErr w:type="spellStart"/>
      <w:r>
        <w:rPr>
          <w:rFonts w:ascii="David" w:hAnsi="David" w:cs="David" w:hint="cs"/>
          <w:sz w:val="24"/>
          <w:szCs w:val="24"/>
          <w:rtl/>
        </w:rPr>
        <w:t>שהיתה</w:t>
      </w:r>
      <w:proofErr w:type="spellEnd"/>
      <w:r>
        <w:rPr>
          <w:rFonts w:ascii="David" w:hAnsi="David" w:cs="David" w:hint="cs"/>
          <w:sz w:val="24"/>
          <w:szCs w:val="24"/>
          <w:rtl/>
        </w:rPr>
        <w:t xml:space="preserve"> זכאות לקבלם מותנית בסוג הביטוח שהעובד ביקש לעשות, כמו גם בגיל בו הצטרף לביטוח הפנסיוני ועל כן יש לקבל ייעוץ מקצועי מתאים במקרה שכזה על מנת שגם אם המעסיק טעה ונוצר אירוע המזכה העובד או שאריו בפיצוי יש לבחון את שיעורו.</w:t>
      </w:r>
    </w:p>
    <w:p w:rsidR="00E46F4D" w:rsidRDefault="00101746" w:rsidP="00101746">
      <w:pPr>
        <w:tabs>
          <w:tab w:val="left" w:pos="2676"/>
        </w:tabs>
        <w:jc w:val="both"/>
        <w:rPr>
          <w:rFonts w:ascii="David" w:hAnsi="David" w:cs="David"/>
          <w:b/>
          <w:bCs/>
          <w:sz w:val="32"/>
          <w:szCs w:val="32"/>
          <w:rtl/>
        </w:rPr>
      </w:pPr>
      <w:r>
        <w:rPr>
          <w:rFonts w:ascii="David" w:hAnsi="David" w:cs="David"/>
          <w:b/>
          <w:bCs/>
          <w:sz w:val="32"/>
          <w:szCs w:val="32"/>
          <w:rtl/>
        </w:rPr>
        <w:tab/>
      </w:r>
      <w:r>
        <w:rPr>
          <w:rFonts w:ascii="David" w:hAnsi="David" w:cs="David"/>
          <w:b/>
          <w:bCs/>
          <w:sz w:val="32"/>
          <w:szCs w:val="32"/>
          <w:rtl/>
        </w:rPr>
        <w:tab/>
      </w:r>
      <w:r>
        <w:rPr>
          <w:rFonts w:ascii="David" w:hAnsi="David" w:cs="David"/>
          <w:b/>
          <w:bCs/>
          <w:sz w:val="32"/>
          <w:szCs w:val="32"/>
          <w:rtl/>
        </w:rPr>
        <w:tab/>
      </w:r>
      <w:r>
        <w:rPr>
          <w:rFonts w:ascii="David" w:hAnsi="David" w:cs="David"/>
          <w:b/>
          <w:bCs/>
          <w:sz w:val="32"/>
          <w:szCs w:val="32"/>
          <w:rtl/>
        </w:rPr>
        <w:tab/>
      </w:r>
      <w:r>
        <w:rPr>
          <w:rFonts w:ascii="David" w:hAnsi="David" w:cs="David"/>
          <w:b/>
          <w:bCs/>
          <w:sz w:val="32"/>
          <w:szCs w:val="32"/>
          <w:rtl/>
        </w:rPr>
        <w:tab/>
        <w:t xml:space="preserve">דוד </w:t>
      </w:r>
      <w:r>
        <w:rPr>
          <w:rFonts w:ascii="David" w:hAnsi="David" w:cs="David" w:hint="cs"/>
          <w:b/>
          <w:bCs/>
          <w:sz w:val="32"/>
          <w:szCs w:val="32"/>
          <w:rtl/>
        </w:rPr>
        <w:t>מימון, עו"ד ונוטריון</w:t>
      </w:r>
    </w:p>
    <w:p w:rsidR="00101746" w:rsidRDefault="00101746" w:rsidP="004929C0">
      <w:pPr>
        <w:tabs>
          <w:tab w:val="left" w:pos="2676"/>
        </w:tabs>
        <w:ind w:left="5040"/>
        <w:jc w:val="both"/>
        <w:rPr>
          <w:rFonts w:ascii="David" w:hAnsi="David" w:cs="David"/>
          <w:b/>
          <w:bCs/>
          <w:sz w:val="32"/>
          <w:szCs w:val="32"/>
          <w:rtl/>
        </w:rPr>
      </w:pPr>
      <w:r>
        <w:rPr>
          <w:rFonts w:ascii="David" w:hAnsi="David" w:cs="David"/>
          <w:b/>
          <w:bCs/>
          <w:sz w:val="32"/>
          <w:szCs w:val="32"/>
          <w:rtl/>
        </w:rPr>
        <w:t xml:space="preserve">היועץ </w:t>
      </w:r>
      <w:r>
        <w:rPr>
          <w:rFonts w:ascii="David" w:hAnsi="David" w:cs="David" w:hint="cs"/>
          <w:b/>
          <w:bCs/>
          <w:sz w:val="32"/>
          <w:szCs w:val="32"/>
          <w:rtl/>
        </w:rPr>
        <w:t>המשפטי לשעבר של ההסתדרות במרחב נתניה</w:t>
      </w:r>
    </w:p>
    <w:p w:rsidR="00101746" w:rsidRDefault="00101746" w:rsidP="004929C0">
      <w:pPr>
        <w:tabs>
          <w:tab w:val="left" w:pos="2676"/>
        </w:tabs>
        <w:jc w:val="right"/>
        <w:rPr>
          <w:rFonts w:ascii="David" w:hAnsi="David" w:cs="David"/>
          <w:b/>
          <w:bCs/>
          <w:sz w:val="32"/>
          <w:szCs w:val="32"/>
          <w:rtl/>
        </w:rPr>
      </w:pPr>
      <w:r>
        <w:rPr>
          <w:rFonts w:ascii="David" w:hAnsi="David" w:cs="David"/>
          <w:b/>
          <w:bCs/>
          <w:sz w:val="32"/>
          <w:szCs w:val="32"/>
          <w:rtl/>
        </w:rPr>
        <w:t>טל'</w:t>
      </w:r>
      <w:r>
        <w:rPr>
          <w:rFonts w:ascii="David" w:hAnsi="David" w:cs="David" w:hint="cs"/>
          <w:b/>
          <w:bCs/>
          <w:sz w:val="32"/>
          <w:szCs w:val="32"/>
          <w:rtl/>
        </w:rPr>
        <w:t xml:space="preserve"> 09-8629592</w:t>
      </w:r>
    </w:p>
    <w:p w:rsidR="00101746" w:rsidRDefault="004929C0" w:rsidP="004929C0">
      <w:pPr>
        <w:tabs>
          <w:tab w:val="left" w:pos="2676"/>
        </w:tabs>
        <w:jc w:val="right"/>
        <w:rPr>
          <w:rFonts w:ascii="David" w:hAnsi="David" w:cs="David"/>
          <w:b/>
          <w:bCs/>
          <w:sz w:val="32"/>
          <w:szCs w:val="32"/>
        </w:rPr>
      </w:pPr>
      <w:r>
        <w:rPr>
          <w:rFonts w:ascii="David" w:hAnsi="David" w:cs="David" w:hint="cs"/>
          <w:b/>
          <w:bCs/>
          <w:sz w:val="32"/>
          <w:szCs w:val="32"/>
          <w:rtl/>
        </w:rPr>
        <w:t xml:space="preserve">ד.א </w:t>
      </w:r>
      <w:hyperlink r:id="rId4" w:history="1">
        <w:r w:rsidRPr="00573F53">
          <w:rPr>
            <w:rStyle w:val="Hyperlink"/>
            <w:rFonts w:ascii="David" w:hAnsi="David" w:cs="David"/>
            <w:b/>
            <w:bCs/>
            <w:sz w:val="32"/>
            <w:szCs w:val="32"/>
          </w:rPr>
          <w:t>mimon@012.net.il</w:t>
        </w:r>
      </w:hyperlink>
    </w:p>
    <w:p w:rsidR="004929C0" w:rsidRDefault="004929C0" w:rsidP="004929C0">
      <w:pPr>
        <w:tabs>
          <w:tab w:val="left" w:pos="2676"/>
        </w:tabs>
        <w:jc w:val="right"/>
        <w:rPr>
          <w:rFonts w:ascii="David" w:hAnsi="David" w:cs="David"/>
          <w:b/>
          <w:bCs/>
          <w:sz w:val="32"/>
          <w:szCs w:val="32"/>
          <w:rtl/>
        </w:rPr>
      </w:pPr>
      <w:r>
        <w:rPr>
          <w:rFonts w:ascii="David" w:hAnsi="David" w:cs="David" w:hint="cs"/>
          <w:b/>
          <w:bCs/>
          <w:sz w:val="32"/>
          <w:szCs w:val="32"/>
          <w:rtl/>
        </w:rPr>
        <w:t xml:space="preserve">אתר </w:t>
      </w:r>
      <w:hyperlink r:id="rId5" w:history="1">
        <w:r w:rsidRPr="00573F53">
          <w:rPr>
            <w:rStyle w:val="Hyperlink"/>
            <w:rFonts w:ascii="David" w:hAnsi="David" w:cs="David"/>
            <w:b/>
            <w:bCs/>
            <w:sz w:val="32"/>
            <w:szCs w:val="32"/>
          </w:rPr>
          <w:t>www.mimonlaw.com</w:t>
        </w:r>
      </w:hyperlink>
    </w:p>
    <w:p w:rsidR="004929C0" w:rsidRPr="00101746" w:rsidRDefault="004929C0" w:rsidP="00101746">
      <w:pPr>
        <w:tabs>
          <w:tab w:val="left" w:pos="2676"/>
        </w:tabs>
        <w:jc w:val="both"/>
        <w:rPr>
          <w:rFonts w:ascii="David" w:hAnsi="David" w:cs="David"/>
          <w:b/>
          <w:bCs/>
          <w:sz w:val="32"/>
          <w:szCs w:val="32"/>
        </w:rPr>
      </w:pPr>
    </w:p>
    <w:sectPr w:rsidR="004929C0" w:rsidRPr="00101746" w:rsidSect="0094312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F4D"/>
    <w:rsid w:val="00101746"/>
    <w:rsid w:val="00122F39"/>
    <w:rsid w:val="0025291C"/>
    <w:rsid w:val="00263BD9"/>
    <w:rsid w:val="004929C0"/>
    <w:rsid w:val="0059135F"/>
    <w:rsid w:val="005E579E"/>
    <w:rsid w:val="006E51A4"/>
    <w:rsid w:val="006F0487"/>
    <w:rsid w:val="00770000"/>
    <w:rsid w:val="009425A6"/>
    <w:rsid w:val="00943128"/>
    <w:rsid w:val="00AE5EF8"/>
    <w:rsid w:val="00AF1F71"/>
    <w:rsid w:val="00C577E0"/>
    <w:rsid w:val="00CD1C11"/>
    <w:rsid w:val="00E064D6"/>
    <w:rsid w:val="00E46F4D"/>
    <w:rsid w:val="00EE726D"/>
    <w:rsid w:val="00F6709A"/>
    <w:rsid w:val="00F70701"/>
    <w:rsid w:val="00FA39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94097"/>
  <w15:chartTrackingRefBased/>
  <w15:docId w15:val="{73A39600-61A4-4B66-8312-ED056FB4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929C0"/>
    <w:rPr>
      <w:color w:val="0563C1" w:themeColor="hyperlink"/>
      <w:u w:val="single"/>
    </w:rPr>
  </w:style>
  <w:style w:type="character" w:styleId="a3">
    <w:name w:val="Unresolved Mention"/>
    <w:basedOn w:val="a0"/>
    <w:uiPriority w:val="99"/>
    <w:semiHidden/>
    <w:unhideWhenUsed/>
    <w:rsid w:val="004929C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monlaw.com" TargetMode="External"/><Relationship Id="rId4" Type="http://schemas.openxmlformats.org/officeDocument/2006/relationships/hyperlink" Target="mailto:mimon@012.net.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451</Words>
  <Characters>2062</Characters>
  <Application>Microsoft Office Word</Application>
  <DocSecurity>0</DocSecurity>
  <Lines>42</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דוד מימון</dc:creator>
  <cp:keywords/>
  <dc:description/>
  <cp:lastModifiedBy>דוד מימון</cp:lastModifiedBy>
  <cp:revision>7</cp:revision>
  <dcterms:created xsi:type="dcterms:W3CDTF">2018-12-15T08:59:00Z</dcterms:created>
  <dcterms:modified xsi:type="dcterms:W3CDTF">2018-12-15T10:34:00Z</dcterms:modified>
</cp:coreProperties>
</file>