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579E" w:rsidRDefault="00E46F4D" w:rsidP="00E46F4D">
      <w:pPr>
        <w:jc w:val="center"/>
        <w:rPr>
          <w:rFonts w:ascii="David" w:hAnsi="David" w:cs="David"/>
          <w:b/>
          <w:bCs/>
          <w:sz w:val="32"/>
          <w:szCs w:val="32"/>
          <w:u w:val="single"/>
          <w:rtl/>
        </w:rPr>
      </w:pPr>
      <w:r w:rsidRPr="00E46F4D">
        <w:rPr>
          <w:rFonts w:ascii="David" w:hAnsi="David" w:cs="David"/>
          <w:b/>
          <w:bCs/>
          <w:sz w:val="32"/>
          <w:szCs w:val="32"/>
          <w:u w:val="single"/>
          <w:rtl/>
        </w:rPr>
        <w:t>אל תשלמו לעובד בשחור</w:t>
      </w:r>
    </w:p>
    <w:p w:rsidR="00E46F4D" w:rsidRPr="00263BD9" w:rsidRDefault="00E46F4D" w:rsidP="00E46F4D">
      <w:pPr>
        <w:jc w:val="both"/>
        <w:rPr>
          <w:rFonts w:ascii="David" w:hAnsi="David" w:cs="David"/>
          <w:sz w:val="24"/>
          <w:szCs w:val="24"/>
          <w:rtl/>
        </w:rPr>
      </w:pPr>
      <w:r w:rsidRPr="00263BD9">
        <w:rPr>
          <w:rFonts w:ascii="David" w:hAnsi="David" w:cs="David" w:hint="cs"/>
          <w:sz w:val="24"/>
          <w:szCs w:val="24"/>
          <w:rtl/>
        </w:rPr>
        <w:t xml:space="preserve">מעסיקים רבים משלמים לעובדים סכומים, </w:t>
      </w:r>
      <w:r w:rsidR="00101746">
        <w:rPr>
          <w:rFonts w:ascii="David" w:hAnsi="David" w:cs="David" w:hint="cs"/>
          <w:sz w:val="24"/>
          <w:szCs w:val="24"/>
          <w:rtl/>
        </w:rPr>
        <w:t xml:space="preserve">הגבוהים מהרשומים </w:t>
      </w:r>
      <w:r w:rsidRPr="00263BD9">
        <w:rPr>
          <w:rFonts w:ascii="David" w:hAnsi="David" w:cs="David" w:hint="cs"/>
          <w:sz w:val="24"/>
          <w:szCs w:val="24"/>
          <w:rtl/>
        </w:rPr>
        <w:t>בתלושי השכר שלהם</w:t>
      </w:r>
      <w:r w:rsidR="00263BD9">
        <w:rPr>
          <w:rFonts w:ascii="David" w:hAnsi="David" w:cs="David" w:hint="cs"/>
          <w:sz w:val="24"/>
          <w:szCs w:val="24"/>
          <w:rtl/>
        </w:rPr>
        <w:t xml:space="preserve"> וזאת מסיבות שנות ומשונות ומטרת מאמר זה להתריע על הסכנות בפניהם חשופים המעסיק  והעובד בהתנהלות זו, כאשר מרבית הסיכונים רובצים לפתחו של המעסיק.</w:t>
      </w:r>
    </w:p>
    <w:p w:rsidR="00EE726D" w:rsidRDefault="00EE726D" w:rsidP="00E46F4D">
      <w:pPr>
        <w:jc w:val="both"/>
        <w:rPr>
          <w:rFonts w:ascii="David" w:hAnsi="David" w:cs="David" w:hint="cs"/>
          <w:sz w:val="24"/>
          <w:szCs w:val="24"/>
          <w:rtl/>
        </w:rPr>
      </w:pPr>
      <w:r>
        <w:rPr>
          <w:rFonts w:ascii="David" w:hAnsi="David" w:cs="David" w:hint="cs"/>
          <w:sz w:val="24"/>
          <w:szCs w:val="24"/>
          <w:rtl/>
        </w:rPr>
        <w:t xml:space="preserve">מהלך זה נובע בעיקר </w:t>
      </w:r>
      <w:r w:rsidR="00E46F4D" w:rsidRPr="00263BD9">
        <w:rPr>
          <w:rFonts w:ascii="David" w:hAnsi="David" w:cs="David" w:hint="cs"/>
          <w:sz w:val="24"/>
          <w:szCs w:val="24"/>
          <w:rtl/>
        </w:rPr>
        <w:t>מדרישת העובדים ,הנמצאים בהליכי הוצ</w:t>
      </w:r>
      <w:r w:rsidR="00101746">
        <w:rPr>
          <w:rFonts w:ascii="David" w:hAnsi="David" w:cs="David" w:hint="cs"/>
          <w:sz w:val="24"/>
          <w:szCs w:val="24"/>
          <w:rtl/>
        </w:rPr>
        <w:t>אה לפועל או פשיטת רגל</w:t>
      </w:r>
      <w:r w:rsidR="00E46F4D" w:rsidRPr="00263BD9">
        <w:rPr>
          <w:rFonts w:ascii="David" w:hAnsi="David" w:cs="David" w:hint="cs"/>
          <w:sz w:val="24"/>
          <w:szCs w:val="24"/>
          <w:rtl/>
        </w:rPr>
        <w:t xml:space="preserve">, להציג מצג </w:t>
      </w:r>
      <w:r>
        <w:rPr>
          <w:rFonts w:ascii="David" w:hAnsi="David" w:cs="David" w:hint="cs"/>
          <w:sz w:val="24"/>
          <w:szCs w:val="24"/>
          <w:rtl/>
        </w:rPr>
        <w:t xml:space="preserve">על הכנסה </w:t>
      </w:r>
      <w:r w:rsidR="00E46F4D" w:rsidRPr="00263BD9">
        <w:rPr>
          <w:rFonts w:ascii="David" w:hAnsi="David" w:cs="David" w:hint="cs"/>
          <w:sz w:val="24"/>
          <w:szCs w:val="24"/>
          <w:rtl/>
        </w:rPr>
        <w:t xml:space="preserve"> נמוכה יותר ובכך להפחית את התשלום החודשי המשולם על ידם או התשלום שיידרש בעתיד לצורכי הפטר, </w:t>
      </w:r>
      <w:r>
        <w:rPr>
          <w:rFonts w:ascii="David" w:hAnsi="David" w:cs="David" w:hint="cs"/>
          <w:sz w:val="24"/>
          <w:szCs w:val="24"/>
          <w:rtl/>
        </w:rPr>
        <w:t>או מנימוקים רבים אחרים ומגוונים.</w:t>
      </w:r>
    </w:p>
    <w:p w:rsidR="00263BD9" w:rsidRDefault="00263BD9" w:rsidP="00263BD9">
      <w:pPr>
        <w:jc w:val="both"/>
        <w:rPr>
          <w:rFonts w:ascii="David" w:hAnsi="David" w:cs="David" w:hint="cs"/>
          <w:sz w:val="24"/>
          <w:szCs w:val="24"/>
          <w:rtl/>
        </w:rPr>
      </w:pPr>
      <w:r>
        <w:rPr>
          <w:rFonts w:ascii="David" w:hAnsi="David" w:cs="David" w:hint="cs"/>
          <w:sz w:val="24"/>
          <w:szCs w:val="24"/>
          <w:rtl/>
        </w:rPr>
        <w:t xml:space="preserve">אומנם נכון הדבר שבשלב הראשוני של הדברים נראה כי המדובר במצב של </w:t>
      </w:r>
      <w:r>
        <w:rPr>
          <w:rFonts w:ascii="David" w:hAnsi="David" w:cs="David"/>
          <w:sz w:val="24"/>
          <w:szCs w:val="24"/>
        </w:rPr>
        <w:t>win-win</w:t>
      </w:r>
      <w:r>
        <w:rPr>
          <w:rFonts w:ascii="David" w:hAnsi="David" w:cs="David" w:hint="cs"/>
          <w:sz w:val="24"/>
          <w:szCs w:val="24"/>
          <w:rtl/>
        </w:rPr>
        <w:t>, שכן העובד מקבל סכום גבוה יותר לכיסו והמעסיק חוסך את תשלומי הביטוח הלאומי וההפרשות לפנסיה וזכויות נלוות, אך בפועל המצב רחוק מלהיות כזה.</w:t>
      </w:r>
    </w:p>
    <w:p w:rsidR="00E46F4D" w:rsidRDefault="00263BD9" w:rsidP="00263BD9">
      <w:pPr>
        <w:jc w:val="both"/>
        <w:rPr>
          <w:rFonts w:ascii="David" w:hAnsi="David" w:cs="David"/>
          <w:sz w:val="24"/>
          <w:szCs w:val="24"/>
          <w:rtl/>
        </w:rPr>
      </w:pPr>
      <w:r w:rsidRPr="00263BD9">
        <w:rPr>
          <w:rFonts w:ascii="David" w:hAnsi="David" w:cs="David"/>
          <w:sz w:val="24"/>
          <w:szCs w:val="24"/>
          <w:rtl/>
        </w:rPr>
        <w:t>ראשית,</w:t>
      </w:r>
      <w:r w:rsidRPr="00263BD9">
        <w:rPr>
          <w:rFonts w:ascii="David" w:hAnsi="David" w:cs="David" w:hint="cs"/>
          <w:sz w:val="24"/>
          <w:szCs w:val="24"/>
          <w:rtl/>
        </w:rPr>
        <w:t xml:space="preserve"> מהלך זה</w:t>
      </w:r>
      <w:r w:rsidR="00101746">
        <w:rPr>
          <w:rFonts w:ascii="David" w:hAnsi="David" w:cs="David" w:hint="cs"/>
          <w:sz w:val="24"/>
          <w:szCs w:val="24"/>
          <w:rtl/>
        </w:rPr>
        <w:t>,</w:t>
      </w:r>
      <w:r w:rsidRPr="00263BD9">
        <w:rPr>
          <w:rFonts w:ascii="David" w:hAnsi="David" w:cs="David" w:hint="cs"/>
          <w:sz w:val="24"/>
          <w:szCs w:val="24"/>
          <w:rtl/>
        </w:rPr>
        <w:t xml:space="preserve"> </w:t>
      </w:r>
      <w:r w:rsidR="00101746">
        <w:rPr>
          <w:rFonts w:ascii="David" w:hAnsi="David" w:cs="David" w:hint="cs"/>
          <w:sz w:val="24"/>
          <w:szCs w:val="24"/>
          <w:rtl/>
        </w:rPr>
        <w:t xml:space="preserve">המהווה עבירה פלילית, </w:t>
      </w:r>
      <w:r w:rsidRPr="00263BD9">
        <w:rPr>
          <w:rFonts w:ascii="David" w:hAnsi="David" w:cs="David" w:hint="cs"/>
          <w:sz w:val="24"/>
          <w:szCs w:val="24"/>
          <w:rtl/>
        </w:rPr>
        <w:t>מונע</w:t>
      </w:r>
      <w:r w:rsidR="00101746">
        <w:rPr>
          <w:rFonts w:ascii="David" w:hAnsi="David" w:cs="David" w:hint="cs"/>
          <w:sz w:val="24"/>
          <w:szCs w:val="24"/>
          <w:rtl/>
        </w:rPr>
        <w:t xml:space="preserve"> </w:t>
      </w:r>
      <w:r w:rsidRPr="00263BD9">
        <w:rPr>
          <w:rFonts w:ascii="David" w:hAnsi="David" w:cs="David" w:hint="cs"/>
          <w:sz w:val="24"/>
          <w:szCs w:val="24"/>
          <w:rtl/>
        </w:rPr>
        <w:t>קיזוז הסכום</w:t>
      </w:r>
      <w:r>
        <w:rPr>
          <w:rFonts w:ascii="David" w:hAnsi="David" w:cs="David" w:hint="cs"/>
          <w:sz w:val="24"/>
          <w:szCs w:val="24"/>
          <w:rtl/>
        </w:rPr>
        <w:t>,</w:t>
      </w:r>
      <w:r w:rsidRPr="00263BD9">
        <w:rPr>
          <w:rFonts w:ascii="David" w:hAnsi="David" w:cs="David" w:hint="cs"/>
          <w:sz w:val="24"/>
          <w:szCs w:val="24"/>
          <w:rtl/>
        </w:rPr>
        <w:t xml:space="preserve"> המשולם כשחור</w:t>
      </w:r>
      <w:r>
        <w:rPr>
          <w:rFonts w:ascii="David" w:hAnsi="David" w:cs="David" w:hint="cs"/>
          <w:sz w:val="24"/>
          <w:szCs w:val="24"/>
          <w:rtl/>
        </w:rPr>
        <w:t>,</w:t>
      </w:r>
      <w:r w:rsidRPr="00263BD9">
        <w:rPr>
          <w:rFonts w:ascii="David" w:hAnsi="David" w:cs="David" w:hint="cs"/>
          <w:sz w:val="24"/>
          <w:szCs w:val="24"/>
          <w:rtl/>
        </w:rPr>
        <w:t xml:space="preserve"> מהכנסותיו של העסק ובכך </w:t>
      </w:r>
      <w:r>
        <w:rPr>
          <w:rFonts w:ascii="David" w:hAnsi="David" w:cs="David" w:hint="cs"/>
          <w:sz w:val="24"/>
          <w:szCs w:val="24"/>
          <w:rtl/>
        </w:rPr>
        <w:t>מגדיל את חיובי המס על הכנסות העסק והקטנת יתרת הנטו למעסיק.</w:t>
      </w:r>
    </w:p>
    <w:p w:rsidR="00263BD9" w:rsidRDefault="00263BD9" w:rsidP="00263BD9">
      <w:pPr>
        <w:jc w:val="both"/>
        <w:rPr>
          <w:rFonts w:ascii="David" w:hAnsi="David" w:cs="David"/>
          <w:sz w:val="24"/>
          <w:szCs w:val="24"/>
          <w:rtl/>
        </w:rPr>
      </w:pPr>
      <w:r>
        <w:rPr>
          <w:rFonts w:ascii="David" w:hAnsi="David" w:cs="David"/>
          <w:sz w:val="24"/>
          <w:szCs w:val="24"/>
          <w:rtl/>
        </w:rPr>
        <w:t>שנית,</w:t>
      </w:r>
      <w:r>
        <w:rPr>
          <w:rFonts w:ascii="David" w:hAnsi="David" w:cs="David" w:hint="cs"/>
          <w:sz w:val="24"/>
          <w:szCs w:val="24"/>
          <w:rtl/>
        </w:rPr>
        <w:t xml:space="preserve"> ככל שהעובד יוכיח כי אכן קיבל כספים בשחור, יוכל הוא לתבוע את ההפרשות הסוציאליות או חלקם</w:t>
      </w:r>
      <w:r w:rsidR="0059135F">
        <w:rPr>
          <w:rFonts w:ascii="David" w:hAnsi="David" w:cs="David" w:hint="cs"/>
          <w:sz w:val="24"/>
          <w:szCs w:val="24"/>
          <w:rtl/>
        </w:rPr>
        <w:t>,</w:t>
      </w:r>
      <w:r>
        <w:rPr>
          <w:rFonts w:ascii="David" w:hAnsi="David" w:cs="David" w:hint="cs"/>
          <w:sz w:val="24"/>
          <w:szCs w:val="24"/>
          <w:rtl/>
        </w:rPr>
        <w:t xml:space="preserve"> </w:t>
      </w:r>
      <w:r w:rsidR="00770000">
        <w:rPr>
          <w:rFonts w:ascii="David" w:hAnsi="David" w:cs="David" w:hint="cs"/>
          <w:sz w:val="24"/>
          <w:szCs w:val="24"/>
          <w:rtl/>
        </w:rPr>
        <w:t>שאותם ניסה המעסיק לחסוך וכך עלול להיווצר מצב לפיו המעסיק ישלם לעובד תוספת סכומים</w:t>
      </w:r>
      <w:r w:rsidR="00101746">
        <w:rPr>
          <w:rFonts w:ascii="David" w:hAnsi="David" w:cs="David" w:hint="cs"/>
          <w:sz w:val="24"/>
          <w:szCs w:val="24"/>
          <w:rtl/>
        </w:rPr>
        <w:t>,</w:t>
      </w:r>
      <w:r w:rsidR="00770000">
        <w:rPr>
          <w:rFonts w:ascii="David" w:hAnsi="David" w:cs="David" w:hint="cs"/>
          <w:sz w:val="24"/>
          <w:szCs w:val="24"/>
          <w:rtl/>
        </w:rPr>
        <w:t xml:space="preserve"> העולים על מה שסוכם כי העובד </w:t>
      </w:r>
      <w:r w:rsidR="00101746">
        <w:rPr>
          <w:rFonts w:ascii="David" w:hAnsi="David" w:cs="David" w:hint="cs"/>
          <w:sz w:val="24"/>
          <w:szCs w:val="24"/>
          <w:rtl/>
        </w:rPr>
        <w:t>"</w:t>
      </w:r>
      <w:r w:rsidR="00770000">
        <w:rPr>
          <w:rFonts w:ascii="David" w:hAnsi="David" w:cs="David" w:hint="cs"/>
          <w:sz w:val="24"/>
          <w:szCs w:val="24"/>
          <w:rtl/>
        </w:rPr>
        <w:t>יעלה</w:t>
      </w:r>
      <w:r w:rsidR="00101746">
        <w:rPr>
          <w:rFonts w:ascii="David" w:hAnsi="David" w:cs="David" w:hint="cs"/>
          <w:sz w:val="24"/>
          <w:szCs w:val="24"/>
          <w:rtl/>
        </w:rPr>
        <w:t>"</w:t>
      </w:r>
      <w:r w:rsidR="00770000">
        <w:rPr>
          <w:rFonts w:ascii="David" w:hAnsi="David" w:cs="David" w:hint="cs"/>
          <w:sz w:val="24"/>
          <w:szCs w:val="24"/>
          <w:rtl/>
        </w:rPr>
        <w:t xml:space="preserve"> למעסיק. קרי, המעסיק בוחן את שיעור התשלום שהוא משלם לעובד ע"פ רכיב עלות המעביד, קרי כמה עולה לו להעסיק את העובד המסוים, ואילו הוא היה יודע כי העובד ידרוש גם את הזכויות הסוציאליות, על בסיס שווי הברוטו, שהעובד קיבל בפועל כנטו בשחור, הוא לא היה מסכים לשלם לו את שכר הנטו ששילם לעובד בשעה , שהוא חשב שהוא חוסך את הרכיבים הנלווים לתשלום הסכומים בשחור.</w:t>
      </w:r>
    </w:p>
    <w:p w:rsidR="00770000" w:rsidRDefault="00770000" w:rsidP="00770000">
      <w:pPr>
        <w:jc w:val="both"/>
        <w:rPr>
          <w:rFonts w:ascii="David" w:hAnsi="David" w:cs="David"/>
          <w:sz w:val="24"/>
          <w:szCs w:val="24"/>
          <w:rtl/>
        </w:rPr>
      </w:pPr>
      <w:r>
        <w:rPr>
          <w:rFonts w:ascii="David" w:hAnsi="David" w:cs="David" w:hint="cs"/>
          <w:sz w:val="24"/>
          <w:szCs w:val="24"/>
          <w:rtl/>
        </w:rPr>
        <w:t>שלישית, הוכחת רכיב השחור, תגרום לכך שהמצג בתלוש היה מצג לא נכון ויכולה לגרום להטלת חיוב בפיצוי על המעסיק לעובד בסכום של עד כדי 5,000 ₪ לכל תלוש פגום, אף שבית הדין מפעיל מחייב כיום בפיצויים בסכומים נמוכים ביותר יחסית לאפשרות ולסמכותו, כאמור.</w:t>
      </w:r>
    </w:p>
    <w:p w:rsidR="00770000" w:rsidRDefault="0025291C" w:rsidP="00770000">
      <w:pPr>
        <w:jc w:val="both"/>
        <w:rPr>
          <w:rFonts w:ascii="David" w:hAnsi="David" w:cs="David" w:hint="cs"/>
          <w:sz w:val="24"/>
          <w:szCs w:val="24"/>
          <w:rtl/>
        </w:rPr>
      </w:pPr>
      <w:r>
        <w:rPr>
          <w:rFonts w:ascii="David" w:hAnsi="David" w:cs="David" w:hint="cs"/>
          <w:sz w:val="24"/>
          <w:szCs w:val="24"/>
          <w:rtl/>
        </w:rPr>
        <w:t>מעבר להשלכות הנ"ל, הרי בקרות אירועי תאונה או מחלה של העובד עלולים השלכות התשלום בשחור לגרום לחיוב המעסיק בסכומים העלולים לגרום לקריסת עסקו או לקריסתו הכלכלית.</w:t>
      </w:r>
    </w:p>
    <w:p w:rsidR="0025291C" w:rsidRDefault="0025291C" w:rsidP="00770000">
      <w:pPr>
        <w:jc w:val="both"/>
        <w:rPr>
          <w:rFonts w:ascii="David" w:hAnsi="David" w:cs="David" w:hint="cs"/>
          <w:sz w:val="24"/>
          <w:szCs w:val="24"/>
          <w:rtl/>
        </w:rPr>
      </w:pPr>
      <w:r>
        <w:rPr>
          <w:rFonts w:ascii="David" w:hAnsi="David" w:cs="David" w:hint="cs"/>
          <w:sz w:val="24"/>
          <w:szCs w:val="24"/>
          <w:rtl/>
        </w:rPr>
        <w:t xml:space="preserve">אם העובד נפגע בעבודתו מחויב הביטוח הלאומי לשלם לו קצבאות אלה ואחרות בתלות </w:t>
      </w:r>
      <w:proofErr w:type="spellStart"/>
      <w:r>
        <w:rPr>
          <w:rFonts w:ascii="David" w:hAnsi="David" w:cs="David" w:hint="cs"/>
          <w:sz w:val="24"/>
          <w:szCs w:val="24"/>
          <w:rtl/>
        </w:rPr>
        <w:t>במנין</w:t>
      </w:r>
      <w:proofErr w:type="spellEnd"/>
      <w:r>
        <w:rPr>
          <w:rFonts w:ascii="David" w:hAnsi="David" w:cs="David" w:hint="cs"/>
          <w:sz w:val="24"/>
          <w:szCs w:val="24"/>
          <w:rtl/>
        </w:rPr>
        <w:t xml:space="preserve"> ימי מחלתו, בשיעור נכותו, וכמובן בשיעור שכרו.</w:t>
      </w:r>
    </w:p>
    <w:p w:rsidR="0059135F" w:rsidRDefault="0025291C" w:rsidP="00770000">
      <w:pPr>
        <w:jc w:val="both"/>
        <w:rPr>
          <w:rFonts w:ascii="David" w:hAnsi="David" w:cs="David"/>
          <w:sz w:val="24"/>
          <w:szCs w:val="24"/>
          <w:rtl/>
        </w:rPr>
      </w:pPr>
      <w:r>
        <w:rPr>
          <w:rFonts w:ascii="David" w:hAnsi="David" w:cs="David" w:hint="cs"/>
          <w:sz w:val="24"/>
          <w:szCs w:val="24"/>
          <w:rtl/>
        </w:rPr>
        <w:t xml:space="preserve">אם </w:t>
      </w:r>
      <w:r w:rsidR="0059135F">
        <w:rPr>
          <w:rFonts w:ascii="David" w:hAnsi="David" w:cs="David" w:hint="cs"/>
          <w:sz w:val="24"/>
          <w:szCs w:val="24"/>
          <w:rtl/>
        </w:rPr>
        <w:t xml:space="preserve">יוכח </w:t>
      </w:r>
      <w:r>
        <w:rPr>
          <w:rFonts w:ascii="David" w:hAnsi="David" w:cs="David" w:hint="cs"/>
          <w:sz w:val="24"/>
          <w:szCs w:val="24"/>
          <w:rtl/>
        </w:rPr>
        <w:t xml:space="preserve">שיעור שכרו </w:t>
      </w:r>
      <w:r w:rsidR="0059135F">
        <w:rPr>
          <w:rFonts w:ascii="David" w:hAnsi="David" w:cs="David" w:hint="cs"/>
          <w:sz w:val="24"/>
          <w:szCs w:val="24"/>
          <w:rtl/>
        </w:rPr>
        <w:t xml:space="preserve">ל העובד </w:t>
      </w:r>
      <w:r>
        <w:rPr>
          <w:rFonts w:ascii="David" w:hAnsi="David" w:cs="David" w:hint="cs"/>
          <w:sz w:val="24"/>
          <w:szCs w:val="24"/>
          <w:rtl/>
        </w:rPr>
        <w:t xml:space="preserve">כולל רכיב השחור, יחויב הביטוח הלאומי לשלם לעובד </w:t>
      </w:r>
      <w:r w:rsidR="0059135F">
        <w:rPr>
          <w:rFonts w:ascii="David" w:hAnsi="David" w:cs="David" w:hint="cs"/>
          <w:sz w:val="24"/>
          <w:szCs w:val="24"/>
          <w:rtl/>
        </w:rPr>
        <w:t xml:space="preserve">או לשאריו </w:t>
      </w:r>
      <w:r>
        <w:rPr>
          <w:rFonts w:ascii="David" w:hAnsi="David" w:cs="David" w:hint="cs"/>
          <w:sz w:val="24"/>
          <w:szCs w:val="24"/>
          <w:rtl/>
        </w:rPr>
        <w:t>את התשלומים על פי שיעור שכר כולל  זה, אך מאחר שהמעסיק דיווח על שכר מופחת ידרוש הביטוח הלאומי מהמעסיק כל הפרש סכום ששילם לעובד</w:t>
      </w:r>
      <w:r w:rsidR="0059135F">
        <w:rPr>
          <w:rFonts w:ascii="David" w:hAnsi="David" w:cs="David" w:hint="cs"/>
          <w:sz w:val="24"/>
          <w:szCs w:val="24"/>
          <w:rtl/>
        </w:rPr>
        <w:t xml:space="preserve"> או לשאריו </w:t>
      </w:r>
      <w:r>
        <w:rPr>
          <w:rFonts w:ascii="David" w:hAnsi="David" w:cs="David" w:hint="cs"/>
          <w:sz w:val="24"/>
          <w:szCs w:val="24"/>
          <w:rtl/>
        </w:rPr>
        <w:t>, בגין התוספת ששילם</w:t>
      </w:r>
      <w:r w:rsidR="0059135F">
        <w:rPr>
          <w:rFonts w:ascii="David" w:hAnsi="David" w:cs="David" w:hint="cs"/>
          <w:sz w:val="24"/>
          <w:szCs w:val="24"/>
          <w:rtl/>
        </w:rPr>
        <w:t xml:space="preserve"> </w:t>
      </w:r>
      <w:r>
        <w:rPr>
          <w:rFonts w:ascii="David" w:hAnsi="David" w:cs="David" w:hint="cs"/>
          <w:sz w:val="24"/>
          <w:szCs w:val="24"/>
          <w:rtl/>
        </w:rPr>
        <w:t xml:space="preserve">בגין רכיב השחור. </w:t>
      </w:r>
    </w:p>
    <w:p w:rsidR="0059135F" w:rsidRDefault="0059135F" w:rsidP="00770000">
      <w:pPr>
        <w:jc w:val="both"/>
        <w:rPr>
          <w:rFonts w:ascii="David" w:hAnsi="David" w:cs="David" w:hint="cs"/>
          <w:sz w:val="24"/>
          <w:szCs w:val="24"/>
          <w:rtl/>
        </w:rPr>
      </w:pPr>
      <w:r>
        <w:rPr>
          <w:rFonts w:ascii="David" w:hAnsi="David" w:cs="David"/>
          <w:sz w:val="24"/>
          <w:szCs w:val="24"/>
          <w:rtl/>
        </w:rPr>
        <w:t xml:space="preserve">אם </w:t>
      </w:r>
      <w:r>
        <w:rPr>
          <w:rFonts w:ascii="David" w:hAnsi="David" w:cs="David" w:hint="cs"/>
          <w:sz w:val="24"/>
          <w:szCs w:val="24"/>
          <w:rtl/>
        </w:rPr>
        <w:t>העובד נפטר או חלה, שלא מתאונת עבודה ושאריו או הוא יקבלו מחברת הביטוח, אליה הועברו הכספים לקופת הפנסיה, פנסיית נכות או פנסיית שאירים על פי השכר המ</w:t>
      </w:r>
      <w:r w:rsidR="006E51A4">
        <w:rPr>
          <w:rFonts w:ascii="David" w:hAnsi="David" w:cs="David" w:hint="cs"/>
          <w:sz w:val="24"/>
          <w:szCs w:val="24"/>
          <w:rtl/>
        </w:rPr>
        <w:t>דווח</w:t>
      </w:r>
      <w:bookmarkStart w:id="0" w:name="_GoBack"/>
      <w:bookmarkEnd w:id="0"/>
      <w:r>
        <w:rPr>
          <w:rFonts w:ascii="David" w:hAnsi="David" w:cs="David" w:hint="cs"/>
          <w:sz w:val="24"/>
          <w:szCs w:val="24"/>
          <w:rtl/>
        </w:rPr>
        <w:t>, המעסיק יהפוך להיות חברת הביטוח לגבי הכספים ששולמו בשחור.</w:t>
      </w:r>
    </w:p>
    <w:p w:rsidR="0059135F" w:rsidRDefault="0059135F" w:rsidP="00770000">
      <w:pPr>
        <w:jc w:val="both"/>
        <w:rPr>
          <w:rFonts w:ascii="David" w:hAnsi="David" w:cs="David" w:hint="cs"/>
          <w:sz w:val="24"/>
          <w:szCs w:val="24"/>
          <w:rtl/>
        </w:rPr>
      </w:pPr>
      <w:r>
        <w:rPr>
          <w:rFonts w:ascii="David" w:hAnsi="David" w:cs="David" w:hint="cs"/>
          <w:sz w:val="24"/>
          <w:szCs w:val="24"/>
          <w:rtl/>
        </w:rPr>
        <w:t>אין צריך לומר כי הסכומים הנ"ל יכולים להתבטא במאות או מיליוני ₪ ומעסיק שרצה לעזור לעובד ואולי לחסוך מעט, מוצא את עצמו מחויב בסכומים עצומים שיש בהם להרוס את כל מה שהמעסיק בנה.</w:t>
      </w:r>
    </w:p>
    <w:p w:rsidR="00E46F4D" w:rsidRDefault="00101746" w:rsidP="00101746">
      <w:pPr>
        <w:tabs>
          <w:tab w:val="left" w:pos="2676"/>
        </w:tabs>
        <w:jc w:val="both"/>
        <w:rPr>
          <w:rFonts w:ascii="David" w:hAnsi="David" w:cs="David"/>
          <w:b/>
          <w:bCs/>
          <w:sz w:val="32"/>
          <w:szCs w:val="32"/>
          <w:rtl/>
        </w:rPr>
      </w:pPr>
      <w:r>
        <w:rPr>
          <w:rFonts w:ascii="David" w:hAnsi="David" w:cs="David"/>
          <w:b/>
          <w:bCs/>
          <w:sz w:val="32"/>
          <w:szCs w:val="32"/>
          <w:rtl/>
        </w:rPr>
        <w:tab/>
      </w:r>
      <w:r>
        <w:rPr>
          <w:rFonts w:ascii="David" w:hAnsi="David" w:cs="David"/>
          <w:b/>
          <w:bCs/>
          <w:sz w:val="32"/>
          <w:szCs w:val="32"/>
          <w:rtl/>
        </w:rPr>
        <w:tab/>
      </w:r>
      <w:r>
        <w:rPr>
          <w:rFonts w:ascii="David" w:hAnsi="David" w:cs="David"/>
          <w:b/>
          <w:bCs/>
          <w:sz w:val="32"/>
          <w:szCs w:val="32"/>
          <w:rtl/>
        </w:rPr>
        <w:tab/>
      </w:r>
      <w:r>
        <w:rPr>
          <w:rFonts w:ascii="David" w:hAnsi="David" w:cs="David"/>
          <w:b/>
          <w:bCs/>
          <w:sz w:val="32"/>
          <w:szCs w:val="32"/>
          <w:rtl/>
        </w:rPr>
        <w:tab/>
      </w:r>
      <w:r>
        <w:rPr>
          <w:rFonts w:ascii="David" w:hAnsi="David" w:cs="David"/>
          <w:b/>
          <w:bCs/>
          <w:sz w:val="32"/>
          <w:szCs w:val="32"/>
          <w:rtl/>
        </w:rPr>
        <w:tab/>
        <w:t xml:space="preserve">דוד </w:t>
      </w:r>
      <w:r>
        <w:rPr>
          <w:rFonts w:ascii="David" w:hAnsi="David" w:cs="David" w:hint="cs"/>
          <w:b/>
          <w:bCs/>
          <w:sz w:val="32"/>
          <w:szCs w:val="32"/>
          <w:rtl/>
        </w:rPr>
        <w:t>מימון, עו"ד ונוטריון</w:t>
      </w:r>
    </w:p>
    <w:p w:rsidR="00101746" w:rsidRDefault="00101746" w:rsidP="004929C0">
      <w:pPr>
        <w:tabs>
          <w:tab w:val="left" w:pos="2676"/>
        </w:tabs>
        <w:ind w:left="5040"/>
        <w:jc w:val="both"/>
        <w:rPr>
          <w:rFonts w:ascii="David" w:hAnsi="David" w:cs="David"/>
          <w:b/>
          <w:bCs/>
          <w:sz w:val="32"/>
          <w:szCs w:val="32"/>
          <w:rtl/>
        </w:rPr>
      </w:pPr>
      <w:r>
        <w:rPr>
          <w:rFonts w:ascii="David" w:hAnsi="David" w:cs="David"/>
          <w:b/>
          <w:bCs/>
          <w:sz w:val="32"/>
          <w:szCs w:val="32"/>
          <w:rtl/>
        </w:rPr>
        <w:t xml:space="preserve">היועץ </w:t>
      </w:r>
      <w:r>
        <w:rPr>
          <w:rFonts w:ascii="David" w:hAnsi="David" w:cs="David" w:hint="cs"/>
          <w:b/>
          <w:bCs/>
          <w:sz w:val="32"/>
          <w:szCs w:val="32"/>
          <w:rtl/>
        </w:rPr>
        <w:t>המשפטי לשעבר של ההסתדרות במרחב נתניה</w:t>
      </w:r>
    </w:p>
    <w:p w:rsidR="00101746" w:rsidRDefault="00101746" w:rsidP="004929C0">
      <w:pPr>
        <w:tabs>
          <w:tab w:val="left" w:pos="2676"/>
        </w:tabs>
        <w:jc w:val="right"/>
        <w:rPr>
          <w:rFonts w:ascii="David" w:hAnsi="David" w:cs="David" w:hint="cs"/>
          <w:b/>
          <w:bCs/>
          <w:sz w:val="32"/>
          <w:szCs w:val="32"/>
          <w:rtl/>
        </w:rPr>
      </w:pPr>
      <w:r>
        <w:rPr>
          <w:rFonts w:ascii="David" w:hAnsi="David" w:cs="David"/>
          <w:b/>
          <w:bCs/>
          <w:sz w:val="32"/>
          <w:szCs w:val="32"/>
          <w:rtl/>
        </w:rPr>
        <w:t>טל'</w:t>
      </w:r>
      <w:r>
        <w:rPr>
          <w:rFonts w:ascii="David" w:hAnsi="David" w:cs="David" w:hint="cs"/>
          <w:b/>
          <w:bCs/>
          <w:sz w:val="32"/>
          <w:szCs w:val="32"/>
          <w:rtl/>
        </w:rPr>
        <w:t xml:space="preserve"> 09-8629592</w:t>
      </w:r>
    </w:p>
    <w:p w:rsidR="00101746" w:rsidRDefault="004929C0" w:rsidP="004929C0">
      <w:pPr>
        <w:tabs>
          <w:tab w:val="left" w:pos="2676"/>
        </w:tabs>
        <w:jc w:val="right"/>
        <w:rPr>
          <w:rFonts w:ascii="David" w:hAnsi="David" w:cs="David"/>
          <w:b/>
          <w:bCs/>
          <w:sz w:val="32"/>
          <w:szCs w:val="32"/>
        </w:rPr>
      </w:pPr>
      <w:r>
        <w:rPr>
          <w:rFonts w:ascii="David" w:hAnsi="David" w:cs="David" w:hint="cs"/>
          <w:b/>
          <w:bCs/>
          <w:sz w:val="32"/>
          <w:szCs w:val="32"/>
          <w:rtl/>
        </w:rPr>
        <w:t xml:space="preserve">ד.א </w:t>
      </w:r>
      <w:hyperlink r:id="rId4" w:history="1">
        <w:r w:rsidRPr="00573F53">
          <w:rPr>
            <w:rStyle w:val="Hyperlink"/>
            <w:rFonts w:ascii="David" w:hAnsi="David" w:cs="David"/>
            <w:b/>
            <w:bCs/>
            <w:sz w:val="32"/>
            <w:szCs w:val="32"/>
          </w:rPr>
          <w:t>mimon@012.net.il</w:t>
        </w:r>
      </w:hyperlink>
    </w:p>
    <w:p w:rsidR="004929C0" w:rsidRDefault="004929C0" w:rsidP="004929C0">
      <w:pPr>
        <w:tabs>
          <w:tab w:val="left" w:pos="2676"/>
        </w:tabs>
        <w:jc w:val="right"/>
        <w:rPr>
          <w:rFonts w:ascii="David" w:hAnsi="David" w:cs="David" w:hint="cs"/>
          <w:b/>
          <w:bCs/>
          <w:sz w:val="32"/>
          <w:szCs w:val="32"/>
          <w:rtl/>
        </w:rPr>
      </w:pPr>
      <w:r>
        <w:rPr>
          <w:rFonts w:ascii="David" w:hAnsi="David" w:cs="David" w:hint="cs"/>
          <w:b/>
          <w:bCs/>
          <w:sz w:val="32"/>
          <w:szCs w:val="32"/>
          <w:rtl/>
        </w:rPr>
        <w:t xml:space="preserve">אתר </w:t>
      </w:r>
      <w:hyperlink r:id="rId5" w:history="1">
        <w:r w:rsidRPr="00573F53">
          <w:rPr>
            <w:rStyle w:val="Hyperlink"/>
            <w:rFonts w:ascii="David" w:hAnsi="David" w:cs="David"/>
            <w:b/>
            <w:bCs/>
            <w:sz w:val="32"/>
            <w:szCs w:val="32"/>
          </w:rPr>
          <w:t>www.mimonlaw.com</w:t>
        </w:r>
      </w:hyperlink>
    </w:p>
    <w:p w:rsidR="004929C0" w:rsidRPr="00101746" w:rsidRDefault="004929C0" w:rsidP="00101746">
      <w:pPr>
        <w:tabs>
          <w:tab w:val="left" w:pos="2676"/>
        </w:tabs>
        <w:jc w:val="both"/>
        <w:rPr>
          <w:rFonts w:ascii="David" w:hAnsi="David" w:cs="David"/>
          <w:b/>
          <w:bCs/>
          <w:sz w:val="32"/>
          <w:szCs w:val="32"/>
        </w:rPr>
      </w:pPr>
    </w:p>
    <w:sectPr w:rsidR="004929C0" w:rsidRPr="00101746" w:rsidSect="0094312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F4D"/>
    <w:rsid w:val="00101746"/>
    <w:rsid w:val="0025291C"/>
    <w:rsid w:val="00263BD9"/>
    <w:rsid w:val="004929C0"/>
    <w:rsid w:val="0059135F"/>
    <w:rsid w:val="005E579E"/>
    <w:rsid w:val="006E51A4"/>
    <w:rsid w:val="00770000"/>
    <w:rsid w:val="00943128"/>
    <w:rsid w:val="00E46F4D"/>
    <w:rsid w:val="00EE726D"/>
    <w:rsid w:val="00F670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7174C"/>
  <w15:chartTrackingRefBased/>
  <w15:docId w15:val="{73A39600-61A4-4B66-8312-ED056FB43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929C0"/>
    <w:rPr>
      <w:color w:val="0563C1" w:themeColor="hyperlink"/>
      <w:u w:val="single"/>
    </w:rPr>
  </w:style>
  <w:style w:type="character" w:styleId="a3">
    <w:name w:val="Unresolved Mention"/>
    <w:basedOn w:val="a0"/>
    <w:uiPriority w:val="99"/>
    <w:semiHidden/>
    <w:unhideWhenUsed/>
    <w:rsid w:val="004929C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imonlaw.com" TargetMode="External"/><Relationship Id="rId4" Type="http://schemas.openxmlformats.org/officeDocument/2006/relationships/hyperlink" Target="mailto:mimon@012.net.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487</Words>
  <Characters>2260</Characters>
  <Application>Microsoft Office Word</Application>
  <DocSecurity>0</DocSecurity>
  <Lines>39</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דוד מימון</dc:creator>
  <cp:keywords/>
  <dc:description/>
  <cp:lastModifiedBy>דוד מימון</cp:lastModifiedBy>
  <cp:revision>4</cp:revision>
  <dcterms:created xsi:type="dcterms:W3CDTF">2018-11-24T10:25:00Z</dcterms:created>
  <dcterms:modified xsi:type="dcterms:W3CDTF">2018-11-24T11:29:00Z</dcterms:modified>
</cp:coreProperties>
</file>