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E5D8" w14:textId="34C0ACEC" w:rsidR="006A2AD0" w:rsidRDefault="006A2AD0" w:rsidP="00B758F2">
      <w:pPr>
        <w:spacing w:after="60"/>
      </w:pPr>
    </w:p>
    <w:p w14:paraId="23486BC9" w14:textId="77777777" w:rsidR="006A2AD0" w:rsidRPr="00B758F2" w:rsidRDefault="0008018A">
      <w:pPr>
        <w:spacing w:before="140" w:after="60"/>
        <w:jc w:val="center"/>
        <w:rPr>
          <w:color w:val="000000" w:themeColor="text1"/>
        </w:rPr>
      </w:pPr>
      <w:r w:rsidRPr="00B758F2">
        <w:rPr>
          <w:rFonts w:ascii="Arial" w:eastAsia="Arial" w:hAnsi="Arial" w:cs="Arial"/>
          <w:b/>
          <w:bCs/>
          <w:color w:val="000000" w:themeColor="text1"/>
          <w:sz w:val="32"/>
          <w:szCs w:val="32"/>
        </w:rPr>
        <w:t>Whistleblowing Policy</w:t>
      </w:r>
    </w:p>
    <w:p w14:paraId="2C5BB492" w14:textId="77777777" w:rsidR="006A2AD0" w:rsidRDefault="0008018A">
      <w:pPr>
        <w:spacing w:before="280" w:after="120"/>
        <w:rPr>
          <w:rFonts w:ascii="Arial" w:eastAsia="Arial" w:hAnsi="Arial" w:cs="Arial"/>
          <w:b/>
          <w:bCs/>
          <w:color w:val="1A7A7A"/>
          <w:sz w:val="26"/>
          <w:szCs w:val="26"/>
        </w:rPr>
      </w:pPr>
      <w:r>
        <w:rPr>
          <w:rFonts w:ascii="Arial" w:eastAsia="Arial" w:hAnsi="Arial" w:cs="Arial"/>
          <w:b/>
          <w:bCs/>
          <w:color w:val="1A7A7A"/>
          <w:sz w:val="26"/>
          <w:szCs w:val="26"/>
        </w:rPr>
        <w:t>Safeguarding and Welfare Requirement: Whistleblowing</w:t>
      </w:r>
    </w:p>
    <w:tbl>
      <w:tblPr>
        <w:tblStyle w:val="TableGrid"/>
        <w:tblW w:w="0" w:type="auto"/>
        <w:tblLook w:val="04A0" w:firstRow="1" w:lastRow="0" w:firstColumn="1" w:lastColumn="0" w:noHBand="0" w:noVBand="1"/>
      </w:tblPr>
      <w:tblGrid>
        <w:gridCol w:w="9736"/>
      </w:tblGrid>
      <w:tr w:rsidR="004B3F86" w14:paraId="6B81EEA0" w14:textId="77777777" w:rsidTr="004B3F86">
        <w:tc>
          <w:tcPr>
            <w:tcW w:w="9736" w:type="dxa"/>
          </w:tcPr>
          <w:p w14:paraId="7B1702D8" w14:textId="77777777" w:rsidR="004B3F86" w:rsidRDefault="004B3F86" w:rsidP="004B3F86">
            <w:pPr>
              <w:spacing w:before="80" w:after="80"/>
            </w:pPr>
            <w:r>
              <w:rPr>
                <w:rFonts w:ascii="Arial" w:eastAsia="Arial" w:hAnsi="Arial" w:cs="Arial"/>
                <w:color w:val="000000"/>
                <w:sz w:val="22"/>
                <w:szCs w:val="22"/>
              </w:rPr>
              <w:t>Since 1 September 2025, whistleblowing is an explicit safeguarding and welfare requirement of the Statutory Framework for the Early Years Foundation Stage (EYFS) 2025. Providers must put appropriate whistleblowing procedures in place for all staff (including students and volunteers) to raise concerns about poor or unsafe practice in the setting’s safeguarding provision. This must include when and how to report concerns and the process that will be followed after staff report concerns. Providers must ensure staff are aware of the setting’s whistleblowing procedures and must ensure all staff feel able to raise concerns about poor or unsafe practice and know that such concerns will be taken seriously by the senior leadership team.</w:t>
            </w:r>
          </w:p>
          <w:p w14:paraId="3CD50052" w14:textId="77777777" w:rsidR="004B3F86" w:rsidRDefault="004B3F86" w:rsidP="004B3F86">
            <w:pPr>
              <w:spacing w:before="80" w:after="80"/>
            </w:pPr>
            <w:r>
              <w:rPr>
                <w:rFonts w:ascii="Arial" w:eastAsia="Arial" w:hAnsi="Arial" w:cs="Arial"/>
                <w:color w:val="000000"/>
                <w:sz w:val="22"/>
                <w:szCs w:val="22"/>
              </w:rPr>
              <w:t>Where a staff member feels unable to raise an issue with their employer, or feels that their genuine concerns are not being addressed, they should use the other channels open to them:</w:t>
            </w:r>
          </w:p>
          <w:p w14:paraId="527A1A30" w14:textId="77777777" w:rsidR="004B3F86" w:rsidRDefault="004B3F86" w:rsidP="004B3F86">
            <w:pPr>
              <w:pStyle w:val="ListParagraph"/>
              <w:numPr>
                <w:ilvl w:val="0"/>
                <w:numId w:val="2"/>
              </w:numPr>
              <w:spacing w:before="60" w:after="60"/>
            </w:pPr>
            <w:r>
              <w:rPr>
                <w:rFonts w:ascii="Arial" w:eastAsia="Arial" w:hAnsi="Arial" w:cs="Arial"/>
                <w:color w:val="000000"/>
                <w:sz w:val="22"/>
                <w:szCs w:val="22"/>
              </w:rPr>
              <w:t>NSPCC whistleblowing advice line is available. Staff can call 0800 0280285 – 08:00 to 20:00, Monday to Friday and 09:00 to 18:00 at weekends. The email address is: help@nspcc.org.uk. Alternatively, staff can write to: National Society for the Prevention of Cruelty to Children (NSPCC), Weston House, 42 Curtain Road, London EC2A 3NH.</w:t>
            </w:r>
          </w:p>
          <w:p w14:paraId="314B7975" w14:textId="77777777" w:rsidR="004B3F86" w:rsidRDefault="004B3F86" w:rsidP="004B3F86">
            <w:pPr>
              <w:pStyle w:val="ListParagraph"/>
              <w:numPr>
                <w:ilvl w:val="0"/>
                <w:numId w:val="2"/>
              </w:numPr>
              <w:spacing w:before="60" w:after="60"/>
            </w:pPr>
            <w:r>
              <w:rPr>
                <w:rFonts w:ascii="Arial" w:eastAsia="Arial" w:hAnsi="Arial" w:cs="Arial"/>
                <w:color w:val="000000"/>
                <w:sz w:val="22"/>
                <w:szCs w:val="22"/>
              </w:rPr>
              <w:t>Ofsted provides guidance on how to make complaints about a childcare provider: Complaints procedure – Ofsted – GOV.UK (www.gov.uk).</w:t>
            </w:r>
          </w:p>
          <w:p w14:paraId="61BEB065" w14:textId="6C913D6C" w:rsidR="004B3F86" w:rsidRDefault="004B3F86" w:rsidP="004B3F86">
            <w:pPr>
              <w:pStyle w:val="ListParagraph"/>
              <w:numPr>
                <w:ilvl w:val="0"/>
                <w:numId w:val="2"/>
              </w:numPr>
              <w:spacing w:before="60" w:after="60"/>
            </w:pPr>
            <w:r>
              <w:rPr>
                <w:rFonts w:ascii="Arial" w:eastAsia="Arial" w:hAnsi="Arial" w:cs="Arial"/>
                <w:color w:val="000000"/>
                <w:sz w:val="22"/>
                <w:szCs w:val="22"/>
              </w:rPr>
              <w:t>General guidance on whistleblowing can be found via: Whistleblowing for employees (www.gov.uk).</w:t>
            </w:r>
          </w:p>
        </w:tc>
      </w:tr>
    </w:tbl>
    <w:p w14:paraId="1092BDE0" w14:textId="77777777" w:rsidR="006A2AD0" w:rsidRDefault="0008018A">
      <w:pPr>
        <w:spacing w:before="280" w:after="120"/>
      </w:pPr>
      <w:r>
        <w:rPr>
          <w:rFonts w:ascii="Arial" w:eastAsia="Arial" w:hAnsi="Arial" w:cs="Arial"/>
          <w:b/>
          <w:bCs/>
          <w:color w:val="1A7A7A"/>
          <w:sz w:val="26"/>
          <w:szCs w:val="26"/>
        </w:rPr>
        <w:t>Policy Statement</w:t>
      </w:r>
    </w:p>
    <w:p w14:paraId="688AEFDF" w14:textId="77777777" w:rsidR="006A2AD0" w:rsidRDefault="0008018A">
      <w:pPr>
        <w:spacing w:before="80" w:after="80"/>
      </w:pPr>
      <w:r>
        <w:rPr>
          <w:rFonts w:ascii="Arial" w:eastAsia="Arial" w:hAnsi="Arial" w:cs="Arial"/>
          <w:color w:val="000000"/>
          <w:sz w:val="22"/>
          <w:szCs w:val="22"/>
        </w:rPr>
        <w:t>The aim of this Policy is to encourage employees and others who have serious concerns about any aspect of the Pre-School to voice those concerns and feel secure in doing so. It is important that any fraud, misconduct or wrongdoing is reported and properly dealt with. The Pre-School encourages all individuals to raise any concerns they may have about the conduct of others or the way in which the Pre-School is run. The Pre-School is committed to the principles of honesty and integrity. A culture of openness and accountability is critical to ensuring these values are authentically lived by. This policy applies to all employees of the Pre-School as well as workers, agency staff, contractors, service providers, volunteers, and committee members of the Pre-School. This policy does not form part of any employee’s contract of employment and it may be amended at any time.</w:t>
      </w:r>
    </w:p>
    <w:p w14:paraId="35213260" w14:textId="77777777" w:rsidR="006A2AD0" w:rsidRDefault="0008018A">
      <w:pPr>
        <w:spacing w:before="280" w:after="120"/>
      </w:pPr>
      <w:r>
        <w:rPr>
          <w:rFonts w:ascii="Arial" w:eastAsia="Arial" w:hAnsi="Arial" w:cs="Arial"/>
          <w:b/>
          <w:bCs/>
          <w:color w:val="1A7A7A"/>
          <w:sz w:val="26"/>
          <w:szCs w:val="26"/>
        </w:rPr>
        <w:t>Scope</w:t>
      </w:r>
    </w:p>
    <w:p w14:paraId="55966A16" w14:textId="37D1E6E9" w:rsidR="006A2AD0" w:rsidRDefault="0008018A">
      <w:pPr>
        <w:spacing w:before="80" w:after="80"/>
      </w:pPr>
      <w:r>
        <w:rPr>
          <w:rFonts w:ascii="Arial" w:eastAsia="Arial" w:hAnsi="Arial" w:cs="Arial"/>
          <w:color w:val="000000"/>
          <w:sz w:val="22"/>
          <w:szCs w:val="22"/>
        </w:rPr>
        <w:t xml:space="preserve">If an employee’s concern relates to how they have been treated this should be raised under the staff code of conduct and reported to </w:t>
      </w:r>
      <w:r w:rsidR="008B6482">
        <w:rPr>
          <w:rFonts w:ascii="Arial" w:eastAsia="Arial" w:hAnsi="Arial" w:cs="Arial"/>
          <w:color w:val="000000"/>
          <w:sz w:val="22"/>
          <w:szCs w:val="22"/>
        </w:rPr>
        <w:t>Sarah-Jayne Wells</w:t>
      </w:r>
      <w:r>
        <w:rPr>
          <w:rFonts w:ascii="Arial" w:eastAsia="Arial" w:hAnsi="Arial" w:cs="Arial"/>
          <w:color w:val="000000"/>
          <w:sz w:val="22"/>
          <w:szCs w:val="22"/>
        </w:rPr>
        <w:t>, Pre-School Manager, or Emma Hughes, Committee Chairperson. The Pre-School encourages individuals to disclose any concerns they may have regardless of whether they are covered by this or another policy.</w:t>
      </w:r>
    </w:p>
    <w:p w14:paraId="0670A656" w14:textId="77777777" w:rsidR="006A2AD0" w:rsidRDefault="0008018A">
      <w:pPr>
        <w:spacing w:before="280" w:after="120"/>
      </w:pPr>
      <w:r>
        <w:rPr>
          <w:rFonts w:ascii="Arial" w:eastAsia="Arial" w:hAnsi="Arial" w:cs="Arial"/>
          <w:b/>
          <w:bCs/>
          <w:color w:val="1A7A7A"/>
          <w:sz w:val="26"/>
          <w:szCs w:val="26"/>
        </w:rPr>
        <w:t>What is Whistleblowing?</w:t>
      </w:r>
    </w:p>
    <w:p w14:paraId="2AA9EAA4" w14:textId="77777777" w:rsidR="006A2AD0" w:rsidRDefault="0008018A">
      <w:pPr>
        <w:spacing w:before="80" w:after="80"/>
      </w:pPr>
      <w:r>
        <w:rPr>
          <w:rFonts w:ascii="Arial" w:eastAsia="Arial" w:hAnsi="Arial" w:cs="Arial"/>
          <w:color w:val="000000"/>
          <w:sz w:val="22"/>
          <w:szCs w:val="22"/>
        </w:rPr>
        <w:t>Whistleblowing means the reporting of information which relates to actual or suspected wrongdoing. This is called a “qualifying disclosure”. Qualifying disclosures are disclosures of information where the worker reasonably believes (and it is in the public interest) that one or more of the following matters is either happening, has taken place, or is likely to happen in the future:</w:t>
      </w:r>
    </w:p>
    <w:p w14:paraId="539B4E4C" w14:textId="77777777" w:rsidR="006A2AD0" w:rsidRDefault="0008018A">
      <w:pPr>
        <w:pStyle w:val="ListParagraph"/>
        <w:numPr>
          <w:ilvl w:val="0"/>
          <w:numId w:val="2"/>
        </w:numPr>
        <w:spacing w:before="60" w:after="60"/>
      </w:pPr>
      <w:r>
        <w:rPr>
          <w:rFonts w:ascii="Arial" w:eastAsia="Arial" w:hAnsi="Arial" w:cs="Arial"/>
          <w:color w:val="000000"/>
          <w:sz w:val="22"/>
          <w:szCs w:val="22"/>
        </w:rPr>
        <w:t>A criminal offence</w:t>
      </w:r>
    </w:p>
    <w:p w14:paraId="0817A6B5" w14:textId="77777777" w:rsidR="006A2AD0" w:rsidRDefault="0008018A">
      <w:pPr>
        <w:pStyle w:val="ListParagraph"/>
        <w:numPr>
          <w:ilvl w:val="0"/>
          <w:numId w:val="2"/>
        </w:numPr>
        <w:spacing w:before="60" w:after="60"/>
      </w:pPr>
      <w:r>
        <w:rPr>
          <w:rFonts w:ascii="Arial" w:eastAsia="Arial" w:hAnsi="Arial" w:cs="Arial"/>
          <w:color w:val="000000"/>
          <w:sz w:val="22"/>
          <w:szCs w:val="22"/>
        </w:rPr>
        <w:t>The breach of a legal obligation</w:t>
      </w:r>
    </w:p>
    <w:p w14:paraId="0E633337" w14:textId="77777777" w:rsidR="006A2AD0" w:rsidRDefault="0008018A">
      <w:pPr>
        <w:pStyle w:val="ListParagraph"/>
        <w:numPr>
          <w:ilvl w:val="0"/>
          <w:numId w:val="2"/>
        </w:numPr>
        <w:spacing w:before="60" w:after="60"/>
      </w:pPr>
      <w:r>
        <w:rPr>
          <w:rFonts w:ascii="Arial" w:eastAsia="Arial" w:hAnsi="Arial" w:cs="Arial"/>
          <w:color w:val="000000"/>
          <w:sz w:val="22"/>
          <w:szCs w:val="22"/>
        </w:rPr>
        <w:t>A miscarriage of justice</w:t>
      </w:r>
    </w:p>
    <w:p w14:paraId="0EB08712" w14:textId="77777777" w:rsidR="006A2AD0" w:rsidRDefault="0008018A">
      <w:pPr>
        <w:pStyle w:val="ListParagraph"/>
        <w:numPr>
          <w:ilvl w:val="0"/>
          <w:numId w:val="2"/>
        </w:numPr>
        <w:spacing w:before="60" w:after="60"/>
      </w:pPr>
      <w:r>
        <w:rPr>
          <w:rFonts w:ascii="Arial" w:eastAsia="Arial" w:hAnsi="Arial" w:cs="Arial"/>
          <w:color w:val="000000"/>
          <w:sz w:val="22"/>
          <w:szCs w:val="22"/>
        </w:rPr>
        <w:t>A danger to the health and safety of any individual</w:t>
      </w:r>
    </w:p>
    <w:p w14:paraId="253A78F6" w14:textId="77777777" w:rsidR="006A2AD0" w:rsidRDefault="0008018A">
      <w:pPr>
        <w:pStyle w:val="ListParagraph"/>
        <w:numPr>
          <w:ilvl w:val="0"/>
          <w:numId w:val="2"/>
        </w:numPr>
        <w:spacing w:before="60" w:after="60"/>
      </w:pPr>
      <w:r>
        <w:rPr>
          <w:rFonts w:ascii="Arial" w:eastAsia="Arial" w:hAnsi="Arial" w:cs="Arial"/>
          <w:color w:val="000000"/>
          <w:sz w:val="22"/>
          <w:szCs w:val="22"/>
        </w:rPr>
        <w:t>Damage to the environment</w:t>
      </w:r>
    </w:p>
    <w:p w14:paraId="4F3F2A6A" w14:textId="77777777" w:rsidR="006A2AD0" w:rsidRDefault="0008018A">
      <w:pPr>
        <w:pStyle w:val="ListParagraph"/>
        <w:numPr>
          <w:ilvl w:val="0"/>
          <w:numId w:val="2"/>
        </w:numPr>
        <w:spacing w:before="60" w:after="60"/>
      </w:pPr>
      <w:r>
        <w:rPr>
          <w:rFonts w:ascii="Arial" w:eastAsia="Arial" w:hAnsi="Arial" w:cs="Arial"/>
          <w:color w:val="000000"/>
          <w:sz w:val="22"/>
          <w:szCs w:val="22"/>
        </w:rPr>
        <w:t>Sexual harassment – added as a qualifying disclosure from 6 April 2026 by the Employment Rights Act 2025 (amending Part IVA of the Employment Rights Act 1996), making it explicit that a disclosure about sexual harassment can constitute a protected disclosure</w:t>
      </w:r>
    </w:p>
    <w:p w14:paraId="454B156D" w14:textId="77777777" w:rsidR="006A2AD0" w:rsidRDefault="0008018A">
      <w:pPr>
        <w:pStyle w:val="ListParagraph"/>
        <w:numPr>
          <w:ilvl w:val="0"/>
          <w:numId w:val="2"/>
        </w:numPr>
        <w:spacing w:before="60" w:after="60"/>
      </w:pPr>
      <w:r>
        <w:rPr>
          <w:rFonts w:ascii="Arial" w:eastAsia="Arial" w:hAnsi="Arial" w:cs="Arial"/>
          <w:color w:val="000000"/>
          <w:sz w:val="22"/>
          <w:szCs w:val="22"/>
        </w:rPr>
        <w:t>Deliberate attempt to conceal any of the above</w:t>
      </w:r>
    </w:p>
    <w:p w14:paraId="6C81C62B" w14:textId="77777777" w:rsidR="006A2AD0" w:rsidRDefault="006A2AD0">
      <w:pPr>
        <w:spacing w:before="120"/>
      </w:pPr>
    </w:p>
    <w:p w14:paraId="499C5C14" w14:textId="77777777" w:rsidR="006A2AD0" w:rsidRDefault="0008018A">
      <w:pPr>
        <w:spacing w:before="80" w:after="80"/>
      </w:pPr>
      <w:r>
        <w:rPr>
          <w:rFonts w:ascii="Arial" w:eastAsia="Arial" w:hAnsi="Arial" w:cs="Arial"/>
          <w:b/>
          <w:bCs/>
          <w:color w:val="1A7A7A"/>
          <w:sz w:val="22"/>
          <w:szCs w:val="22"/>
        </w:rPr>
        <w:t xml:space="preserve">Note: </w:t>
      </w:r>
      <w:r>
        <w:rPr>
          <w:rFonts w:ascii="Arial" w:eastAsia="Arial" w:hAnsi="Arial" w:cs="Arial"/>
          <w:color w:val="000000"/>
          <w:sz w:val="22"/>
          <w:szCs w:val="22"/>
        </w:rPr>
        <w:t>The Worker Protection (Amendment of Equality Act 2010) Act 2023, which came into force on 26 October 2024, places a proactive duty on employers to take ‘reasonable steps’ to prevent sexual harassment in the workplace. From October 2026, under the Employment Rights Act 2025, this duty will be strengthened to require ‘all reasonable steps’ to be taken.</w:t>
      </w:r>
    </w:p>
    <w:p w14:paraId="0E8539DE" w14:textId="77777777" w:rsidR="006A2AD0" w:rsidRDefault="0008018A">
      <w:pPr>
        <w:spacing w:before="80" w:after="80"/>
      </w:pPr>
      <w:r>
        <w:rPr>
          <w:rFonts w:ascii="Arial" w:eastAsia="Arial" w:hAnsi="Arial" w:cs="Arial"/>
          <w:color w:val="000000"/>
          <w:sz w:val="22"/>
          <w:szCs w:val="22"/>
        </w:rPr>
        <w:t>If a worker is going to make a disclosure it should be made to the employer first, or if they feel unable to use the organisation’s procedure the disclosure should be made to a prescribed person, so that employment rights are protected. It is not necessary for a whistleblower to have proof of such an act for the protections of this policy to apply. Potential whistleblowers should have reasonable grounds for believing the information they are disclosing is accurate. Where a disclosure fails to show that one of the qualifying categories of wrongdoing has been or is likely to occur, it cannot amount to a qualifying disclosure for the purposes of the whistleblowing legislation. Potential whistleblowers are encouraged to seek support from a senior manager if they are unsure whether to make a disclosure or to access support in making a disclosure, regardless of whether it is qualifying or not.</w:t>
      </w:r>
    </w:p>
    <w:p w14:paraId="2809C1E2" w14:textId="77777777" w:rsidR="006A2AD0" w:rsidRDefault="0008018A">
      <w:pPr>
        <w:spacing w:before="280" w:after="120"/>
      </w:pPr>
      <w:r>
        <w:rPr>
          <w:rFonts w:ascii="Arial" w:eastAsia="Arial" w:hAnsi="Arial" w:cs="Arial"/>
          <w:b/>
          <w:bCs/>
          <w:color w:val="1A7A7A"/>
          <w:sz w:val="26"/>
          <w:szCs w:val="26"/>
        </w:rPr>
        <w:t>Protections for Whistleblowers</w:t>
      </w:r>
    </w:p>
    <w:p w14:paraId="195FB27A" w14:textId="77777777" w:rsidR="006A2AD0" w:rsidRDefault="0008018A">
      <w:pPr>
        <w:spacing w:before="80" w:after="80"/>
      </w:pPr>
      <w:r>
        <w:rPr>
          <w:rFonts w:ascii="Arial" w:eastAsia="Arial" w:hAnsi="Arial" w:cs="Arial"/>
          <w:color w:val="000000"/>
          <w:sz w:val="22"/>
          <w:szCs w:val="22"/>
        </w:rPr>
        <w:t>This policy has been written to take account of Part IVA of the Employment Rights Act 1996 (as amended by the Employment Rights Act 2025), which protects workers making protected disclosures. A qualifying disclosure made to the worker’s employer is a protected disclosure. A qualifying disclosure made by a worker under this policy will also be a protected disclosure. A whistleblower who makes a protected disclosure has the right not to be dismissed (if they are an employee) or subjected to any other detriment because they have made a protected disclosure. This protection applies from the date of employment (including where a worker is dismissed before commencing employment, where dismissal is for a qualifying disclosure reason). Dismissing, or subjecting a whistleblower to any other detriment for raising a protected disclosure will be a disciplinary offence. The Pre-School will not determine that anyone should cease to work at the setting on the basis that they have made a qualifying disclosure in accordance with the law and this policy.</w:t>
      </w:r>
    </w:p>
    <w:p w14:paraId="074EAEB7" w14:textId="77777777" w:rsidR="006A2AD0" w:rsidRDefault="0008018A">
      <w:pPr>
        <w:spacing w:before="80" w:after="80"/>
      </w:pPr>
      <w:r>
        <w:rPr>
          <w:rFonts w:ascii="Arial" w:eastAsia="Arial" w:hAnsi="Arial" w:cs="Arial"/>
          <w:color w:val="000000"/>
          <w:sz w:val="22"/>
          <w:szCs w:val="22"/>
        </w:rPr>
        <w:t>Whistleblowers may seek support and advice from organisations such as the whistleblowing charity Protect (https://protect-advice.org.uk / 020 3117 2520) or ACAS (www.acas.org.uk).</w:t>
      </w:r>
    </w:p>
    <w:p w14:paraId="70916564" w14:textId="77777777" w:rsidR="006A2AD0" w:rsidRDefault="0008018A">
      <w:pPr>
        <w:spacing w:before="280" w:after="120"/>
      </w:pPr>
      <w:r>
        <w:rPr>
          <w:rFonts w:ascii="Arial" w:eastAsia="Arial" w:hAnsi="Arial" w:cs="Arial"/>
          <w:b/>
          <w:bCs/>
          <w:color w:val="1A7A7A"/>
          <w:sz w:val="26"/>
          <w:szCs w:val="26"/>
        </w:rPr>
        <w:t>Obligations for the Whistleblower</w:t>
      </w:r>
    </w:p>
    <w:p w14:paraId="14EB8F0A" w14:textId="77777777" w:rsidR="006A2AD0" w:rsidRDefault="0008018A">
      <w:pPr>
        <w:spacing w:before="80" w:after="80"/>
      </w:pPr>
      <w:r>
        <w:rPr>
          <w:rFonts w:ascii="Arial" w:eastAsia="Arial" w:hAnsi="Arial" w:cs="Arial"/>
          <w:color w:val="000000"/>
          <w:sz w:val="22"/>
          <w:szCs w:val="22"/>
        </w:rPr>
        <w:t>An instruction to cover up wrongdoing is in itself a disciplinary offence. A whistleblower who is told not to raise or pursue any concern, even by a person in authority, should not agree to remain silent. Whistleblowing to an external agency without first using the procedure below may be considered a breach of the Pre-School’s Code of Conduct. It is not appropriate to whistle blow to the media except in limited circumstances and where those circumstances do not apply such whistleblowing may be considered gross misconduct. Maliciously making a false allegation is a disciplinary offence.</w:t>
      </w:r>
    </w:p>
    <w:p w14:paraId="2BDB20B7" w14:textId="77777777" w:rsidR="006A2AD0" w:rsidRDefault="0008018A">
      <w:pPr>
        <w:spacing w:before="280" w:after="120"/>
      </w:pPr>
      <w:r>
        <w:rPr>
          <w:rFonts w:ascii="Arial" w:eastAsia="Arial" w:hAnsi="Arial" w:cs="Arial"/>
          <w:b/>
          <w:bCs/>
          <w:color w:val="1A7A7A"/>
          <w:sz w:val="26"/>
          <w:szCs w:val="26"/>
        </w:rPr>
        <w:t>Confidentiality</w:t>
      </w:r>
    </w:p>
    <w:p w14:paraId="1082DB29" w14:textId="77777777" w:rsidR="006A2AD0" w:rsidRDefault="0008018A">
      <w:pPr>
        <w:spacing w:before="80" w:after="80"/>
      </w:pPr>
      <w:r>
        <w:rPr>
          <w:rFonts w:ascii="Arial" w:eastAsia="Arial" w:hAnsi="Arial" w:cs="Arial"/>
          <w:color w:val="000000"/>
          <w:sz w:val="22"/>
          <w:szCs w:val="22"/>
        </w:rPr>
        <w:t>The Pre-School encourages individuals to voice their concerns openly. If anyone wishes to raise concerns confidentially, the Pre-School will make every effort to keep their identity secret. The person(s) to whom the disclosure is made will consult with the whistleblower before divulging their identity to any party, including an investigator. The Pre-School does not encourage anonymous disclosures as this may make it harder to establish the credibility of an allegation and may make investigation difficult or impossible. Anonymous concerns will be taken seriously and investigated as far as is possible under this policy.</w:t>
      </w:r>
    </w:p>
    <w:p w14:paraId="071E5CBC" w14:textId="77777777" w:rsidR="006A2AD0" w:rsidRDefault="0008018A">
      <w:pPr>
        <w:spacing w:before="280" w:after="120"/>
      </w:pPr>
      <w:r>
        <w:rPr>
          <w:rFonts w:ascii="Arial" w:eastAsia="Arial" w:hAnsi="Arial" w:cs="Arial"/>
          <w:b/>
          <w:bCs/>
          <w:color w:val="1A7A7A"/>
          <w:sz w:val="26"/>
          <w:szCs w:val="26"/>
        </w:rPr>
        <w:t>The Pre-School’s Commitment</w:t>
      </w:r>
    </w:p>
    <w:p w14:paraId="32D84B8D" w14:textId="77777777" w:rsidR="006A2AD0" w:rsidRDefault="0008018A">
      <w:pPr>
        <w:spacing w:before="80" w:after="80"/>
      </w:pPr>
      <w:r>
        <w:rPr>
          <w:rFonts w:ascii="Arial" w:eastAsia="Arial" w:hAnsi="Arial" w:cs="Arial"/>
          <w:color w:val="000000"/>
          <w:sz w:val="22"/>
          <w:szCs w:val="22"/>
        </w:rPr>
        <w:t>Any matter raised under this policy and procedure will be investigated thoroughly, promptly and confidentially. Whilst the person carrying out the investigation will aim to keep the whistleblower informed of the progress of the investigation and likely timescales, sometimes the requirement for confidentiality will prevent full information about the investigation and any consequential disciplinary action from being disclosed.</w:t>
      </w:r>
    </w:p>
    <w:p w14:paraId="2ED71CFE" w14:textId="77777777" w:rsidR="006A2AD0" w:rsidRDefault="0008018A">
      <w:pPr>
        <w:spacing w:before="280" w:after="120"/>
      </w:pPr>
      <w:r>
        <w:rPr>
          <w:rFonts w:ascii="Arial" w:eastAsia="Arial" w:hAnsi="Arial" w:cs="Arial"/>
          <w:b/>
          <w:bCs/>
          <w:color w:val="1A7A7A"/>
          <w:sz w:val="26"/>
          <w:szCs w:val="26"/>
        </w:rPr>
        <w:t>Obligations for the Committee</w:t>
      </w:r>
    </w:p>
    <w:p w14:paraId="0D7FFBAB" w14:textId="77777777" w:rsidR="006A2AD0" w:rsidRDefault="0008018A">
      <w:pPr>
        <w:spacing w:before="80" w:after="80"/>
      </w:pPr>
      <w:r>
        <w:rPr>
          <w:rFonts w:ascii="Arial" w:eastAsia="Arial" w:hAnsi="Arial" w:cs="Arial"/>
          <w:color w:val="000000"/>
          <w:sz w:val="22"/>
          <w:szCs w:val="22"/>
        </w:rPr>
        <w:t>An appropriate representative of the Pre-School (Manager or the committee member named at the end of this policy) will inform Essex County Council as the maintaining authority of any qualifying disclosures at the earliest opportunity. Concerns regarding financial irregularity will be reported to the Charity Commission; where concerns relate to child protection these will be handled in keeping with the relevant policy of the Pre-School and reported to the Local Authority Designated Officer (LADO) where the threshold is met.</w:t>
      </w:r>
    </w:p>
    <w:p w14:paraId="01E675DD" w14:textId="77777777" w:rsidR="006A2AD0" w:rsidRDefault="0008018A">
      <w:pPr>
        <w:spacing w:before="280" w:after="120"/>
      </w:pPr>
      <w:r>
        <w:rPr>
          <w:rFonts w:ascii="Arial" w:eastAsia="Arial" w:hAnsi="Arial" w:cs="Arial"/>
          <w:b/>
          <w:bCs/>
          <w:color w:val="1A7A7A"/>
          <w:sz w:val="26"/>
          <w:szCs w:val="26"/>
        </w:rPr>
        <w:t>Whistleblowing Procedure</w:t>
      </w:r>
    </w:p>
    <w:p w14:paraId="01444F3E" w14:textId="77777777" w:rsidR="006A2AD0" w:rsidRDefault="0008018A">
      <w:pPr>
        <w:spacing w:before="200" w:after="80"/>
      </w:pPr>
      <w:r>
        <w:rPr>
          <w:rFonts w:ascii="Arial" w:eastAsia="Arial" w:hAnsi="Arial" w:cs="Arial"/>
          <w:b/>
          <w:bCs/>
          <w:color w:val="1A7A7A"/>
          <w:sz w:val="24"/>
          <w:szCs w:val="24"/>
        </w:rPr>
        <w:t>Stage 1 – Disclosure</w:t>
      </w:r>
    </w:p>
    <w:p w14:paraId="34A0BA98" w14:textId="77777777" w:rsidR="006A2AD0" w:rsidRDefault="0008018A">
      <w:pPr>
        <w:spacing w:before="80" w:after="80"/>
      </w:pPr>
      <w:r>
        <w:rPr>
          <w:rFonts w:ascii="Arial" w:eastAsia="Arial" w:hAnsi="Arial" w:cs="Arial"/>
          <w:color w:val="000000"/>
          <w:sz w:val="22"/>
          <w:szCs w:val="22"/>
        </w:rPr>
        <w:t>The whistleblower should initially raise their concern with the Manager. They may do this orally or in writing. If the concern relates to the Manager, the whistleblower should raise this with the named committee member.</w:t>
      </w:r>
    </w:p>
    <w:p w14:paraId="1523251E" w14:textId="77777777" w:rsidR="006A2AD0" w:rsidRDefault="0008018A">
      <w:pPr>
        <w:spacing w:before="200" w:after="80"/>
      </w:pPr>
      <w:r>
        <w:rPr>
          <w:rFonts w:ascii="Arial" w:eastAsia="Arial" w:hAnsi="Arial" w:cs="Arial"/>
          <w:b/>
          <w:bCs/>
          <w:color w:val="1A7A7A"/>
          <w:sz w:val="24"/>
          <w:szCs w:val="24"/>
        </w:rPr>
        <w:t>Stage 2 – Investigation</w:t>
      </w:r>
    </w:p>
    <w:p w14:paraId="0053B6B6" w14:textId="77777777" w:rsidR="006A2AD0" w:rsidRDefault="0008018A">
      <w:pPr>
        <w:spacing w:before="80" w:after="80"/>
      </w:pPr>
      <w:r>
        <w:rPr>
          <w:rFonts w:ascii="Arial" w:eastAsia="Arial" w:hAnsi="Arial" w:cs="Arial"/>
          <w:color w:val="000000"/>
          <w:sz w:val="22"/>
          <w:szCs w:val="22"/>
        </w:rPr>
        <w:t>The Manager will arrange an investigation into the concerns raised, unless the concern relates to the Manager, in which case the investigation will be arranged by the named committee member. This will take place as soon as is reasonably practicable. The investigation may involve the whistleblower and other individuals involved meeting with the investigator and giving a written statement. At any investigatory meetings the whistleblower is entitled to be accompanied by a recognised trade union representative or a work colleague.</w:t>
      </w:r>
    </w:p>
    <w:p w14:paraId="26950A2F" w14:textId="77777777" w:rsidR="006A2AD0" w:rsidRDefault="0008018A">
      <w:pPr>
        <w:spacing w:before="200" w:after="80"/>
      </w:pPr>
      <w:r>
        <w:rPr>
          <w:rFonts w:ascii="Arial" w:eastAsia="Arial" w:hAnsi="Arial" w:cs="Arial"/>
          <w:b/>
          <w:bCs/>
          <w:color w:val="1A7A7A"/>
          <w:sz w:val="24"/>
          <w:szCs w:val="24"/>
        </w:rPr>
        <w:t>Stage 3 – Report to Manager/Committee Member</w:t>
      </w:r>
    </w:p>
    <w:p w14:paraId="3EB46B0B" w14:textId="77777777" w:rsidR="006A2AD0" w:rsidRDefault="0008018A">
      <w:pPr>
        <w:spacing w:before="80" w:after="80"/>
      </w:pPr>
      <w:r>
        <w:rPr>
          <w:rFonts w:ascii="Arial" w:eastAsia="Arial" w:hAnsi="Arial" w:cs="Arial"/>
          <w:color w:val="000000"/>
          <w:sz w:val="22"/>
          <w:szCs w:val="22"/>
        </w:rPr>
        <w:t>The investigator will report to the person who arranged the investigation before any further action is taken. That person will decide on potential outcomes including, but not limited to:</w:t>
      </w:r>
    </w:p>
    <w:p w14:paraId="2A7B4F2D" w14:textId="77777777" w:rsidR="006A2AD0" w:rsidRDefault="0008018A">
      <w:pPr>
        <w:pStyle w:val="ListParagraph"/>
        <w:numPr>
          <w:ilvl w:val="0"/>
          <w:numId w:val="2"/>
        </w:numPr>
        <w:spacing w:before="60" w:after="60"/>
      </w:pPr>
      <w:r>
        <w:rPr>
          <w:rFonts w:ascii="Arial" w:eastAsia="Arial" w:hAnsi="Arial" w:cs="Arial"/>
          <w:color w:val="000000"/>
          <w:sz w:val="22"/>
          <w:szCs w:val="22"/>
        </w:rPr>
        <w:t>Invoking the Pre-School’s disciplinary process, or other relevant policy</w:t>
      </w:r>
    </w:p>
    <w:p w14:paraId="57994471" w14:textId="77777777" w:rsidR="006A2AD0" w:rsidRDefault="0008018A">
      <w:pPr>
        <w:pStyle w:val="ListParagraph"/>
        <w:numPr>
          <w:ilvl w:val="0"/>
          <w:numId w:val="2"/>
        </w:numPr>
        <w:spacing w:before="60" w:after="60"/>
      </w:pPr>
      <w:r>
        <w:rPr>
          <w:rFonts w:ascii="Arial" w:eastAsia="Arial" w:hAnsi="Arial" w:cs="Arial"/>
          <w:color w:val="000000"/>
          <w:sz w:val="22"/>
          <w:szCs w:val="22"/>
        </w:rPr>
        <w:t>Referral to the police, Essex County Council department, government department or regulatory agency</w:t>
      </w:r>
    </w:p>
    <w:p w14:paraId="2DE38DC0" w14:textId="77777777" w:rsidR="006A2AD0" w:rsidRDefault="0008018A">
      <w:pPr>
        <w:pStyle w:val="ListParagraph"/>
        <w:numPr>
          <w:ilvl w:val="0"/>
          <w:numId w:val="2"/>
        </w:numPr>
        <w:spacing w:before="60" w:after="60"/>
      </w:pPr>
      <w:r>
        <w:rPr>
          <w:rFonts w:ascii="Arial" w:eastAsia="Arial" w:hAnsi="Arial" w:cs="Arial"/>
          <w:color w:val="000000"/>
          <w:sz w:val="22"/>
          <w:szCs w:val="22"/>
        </w:rPr>
        <w:t>No further action</w:t>
      </w:r>
    </w:p>
    <w:p w14:paraId="0DC1CB68" w14:textId="77777777" w:rsidR="006A2AD0" w:rsidRDefault="0008018A">
      <w:pPr>
        <w:spacing w:before="80" w:after="80"/>
      </w:pPr>
      <w:r>
        <w:rPr>
          <w:rFonts w:ascii="Arial" w:eastAsia="Arial" w:hAnsi="Arial" w:cs="Arial"/>
          <w:color w:val="000000"/>
          <w:sz w:val="22"/>
          <w:szCs w:val="22"/>
        </w:rPr>
        <w:t>On conclusion of any investigation, the whistleblower will, as far as is practicable and where it is reasonable to do so, be told the outcome of the investigation and what the Manager/named committee member has done, or proposes to do, about it. If no action is to be taken, the reason for this will be explained.</w:t>
      </w:r>
    </w:p>
    <w:p w14:paraId="5EA5014A" w14:textId="77777777" w:rsidR="006A2AD0" w:rsidRDefault="0008018A">
      <w:pPr>
        <w:spacing w:before="200" w:after="80"/>
      </w:pPr>
      <w:r>
        <w:rPr>
          <w:rFonts w:ascii="Arial" w:eastAsia="Arial" w:hAnsi="Arial" w:cs="Arial"/>
          <w:b/>
          <w:bCs/>
          <w:color w:val="1A7A7A"/>
          <w:sz w:val="24"/>
          <w:szCs w:val="24"/>
        </w:rPr>
        <w:t>Stage 4 – Escalation</w:t>
      </w:r>
    </w:p>
    <w:p w14:paraId="7B2F49AC" w14:textId="77777777" w:rsidR="006A2AD0" w:rsidRDefault="0008018A">
      <w:pPr>
        <w:spacing w:before="80" w:after="80"/>
      </w:pPr>
      <w:r>
        <w:rPr>
          <w:rFonts w:ascii="Arial" w:eastAsia="Arial" w:hAnsi="Arial" w:cs="Arial"/>
          <w:color w:val="000000"/>
          <w:sz w:val="22"/>
          <w:szCs w:val="22"/>
        </w:rPr>
        <w:t>If, on conclusion of Stages 1, 2 and 3 the whistleblower believes that the appropriate action has not been taken, they should report the matter to the proper authority. The Public Interest Disclosure (Prescribed Persons) Order 2014 (as amended by the Public Interest Disclosure (Prescribed Persons) (Amendment) Order 2025) sets out a number of bodies prescribed by the Secretary of State to which qualifying disclosures may be made. In order for the report to one of these bodies to be a protected disclosure, the whistleblower must reasonably believe that the matter falls within the matters covered by that body. The whistleblower must also reasonably believe that the information disclosed, and any allegations contained in it, are substantially true. These bodies include:</w:t>
      </w:r>
    </w:p>
    <w:p w14:paraId="602A4ADC" w14:textId="77777777" w:rsidR="006A2AD0" w:rsidRDefault="0008018A">
      <w:pPr>
        <w:pStyle w:val="ListParagraph"/>
        <w:numPr>
          <w:ilvl w:val="0"/>
          <w:numId w:val="2"/>
        </w:numPr>
        <w:spacing w:before="60" w:after="60"/>
      </w:pPr>
      <w:r>
        <w:rPr>
          <w:rFonts w:ascii="Arial" w:eastAsia="Arial" w:hAnsi="Arial" w:cs="Arial"/>
          <w:color w:val="000000"/>
          <w:sz w:val="22"/>
          <w:szCs w:val="22"/>
        </w:rPr>
        <w:t>The Financial Conduct Authority (formerly the Financial Services Authority)</w:t>
      </w:r>
    </w:p>
    <w:p w14:paraId="5186D208" w14:textId="77777777" w:rsidR="006A2AD0" w:rsidRDefault="0008018A">
      <w:pPr>
        <w:pStyle w:val="ListParagraph"/>
        <w:numPr>
          <w:ilvl w:val="0"/>
          <w:numId w:val="2"/>
        </w:numPr>
        <w:spacing w:before="60" w:after="60"/>
      </w:pPr>
      <w:r>
        <w:rPr>
          <w:rFonts w:ascii="Arial" w:eastAsia="Arial" w:hAnsi="Arial" w:cs="Arial"/>
          <w:color w:val="000000"/>
          <w:sz w:val="22"/>
          <w:szCs w:val="22"/>
        </w:rPr>
        <w:t>The Health and Safety Executive</w:t>
      </w:r>
    </w:p>
    <w:p w14:paraId="3C345D44" w14:textId="77777777" w:rsidR="006A2AD0" w:rsidRDefault="0008018A">
      <w:pPr>
        <w:pStyle w:val="ListParagraph"/>
        <w:numPr>
          <w:ilvl w:val="0"/>
          <w:numId w:val="2"/>
        </w:numPr>
        <w:spacing w:before="60" w:after="60"/>
      </w:pPr>
      <w:r>
        <w:rPr>
          <w:rFonts w:ascii="Arial" w:eastAsia="Arial" w:hAnsi="Arial" w:cs="Arial"/>
          <w:color w:val="000000"/>
          <w:sz w:val="22"/>
          <w:szCs w:val="22"/>
        </w:rPr>
        <w:t>The Environment Agency</w:t>
      </w:r>
    </w:p>
    <w:p w14:paraId="3FEAC3CF" w14:textId="77777777" w:rsidR="006A2AD0" w:rsidRDefault="0008018A">
      <w:pPr>
        <w:pStyle w:val="ListParagraph"/>
        <w:numPr>
          <w:ilvl w:val="0"/>
          <w:numId w:val="2"/>
        </w:numPr>
        <w:spacing w:before="60" w:after="60"/>
      </w:pPr>
      <w:r>
        <w:rPr>
          <w:rFonts w:ascii="Arial" w:eastAsia="Arial" w:hAnsi="Arial" w:cs="Arial"/>
          <w:color w:val="000000"/>
          <w:sz w:val="22"/>
          <w:szCs w:val="22"/>
        </w:rPr>
        <w:t>His Majesty’s Chief Inspector of Education Children’s Services and Skills (Ofsted)</w:t>
      </w:r>
    </w:p>
    <w:p w14:paraId="2C66A854" w14:textId="77777777" w:rsidR="006A2AD0" w:rsidRDefault="0008018A">
      <w:pPr>
        <w:pStyle w:val="ListParagraph"/>
        <w:numPr>
          <w:ilvl w:val="0"/>
          <w:numId w:val="2"/>
        </w:numPr>
        <w:spacing w:before="60" w:after="60"/>
      </w:pPr>
      <w:r>
        <w:rPr>
          <w:rFonts w:ascii="Arial" w:eastAsia="Arial" w:hAnsi="Arial" w:cs="Arial"/>
          <w:color w:val="000000"/>
          <w:sz w:val="22"/>
          <w:szCs w:val="22"/>
        </w:rPr>
        <w:t>The Secretary of State for Education</w:t>
      </w:r>
    </w:p>
    <w:p w14:paraId="795466F8" w14:textId="77777777" w:rsidR="006A2AD0" w:rsidRDefault="0008018A">
      <w:pPr>
        <w:pStyle w:val="ListParagraph"/>
        <w:numPr>
          <w:ilvl w:val="0"/>
          <w:numId w:val="2"/>
        </w:numPr>
        <w:spacing w:before="60" w:after="60"/>
      </w:pPr>
      <w:r>
        <w:rPr>
          <w:rFonts w:ascii="Arial" w:eastAsia="Arial" w:hAnsi="Arial" w:cs="Arial"/>
          <w:color w:val="000000"/>
          <w:sz w:val="22"/>
          <w:szCs w:val="22"/>
        </w:rPr>
        <w:t>The Office of Qualifications and Examinations Regulation (</w:t>
      </w:r>
      <w:proofErr w:type="spellStart"/>
      <w:r>
        <w:rPr>
          <w:rFonts w:ascii="Arial" w:eastAsia="Arial" w:hAnsi="Arial" w:cs="Arial"/>
          <w:color w:val="000000"/>
          <w:sz w:val="22"/>
          <w:szCs w:val="22"/>
        </w:rPr>
        <w:t>Ofqual</w:t>
      </w:r>
      <w:proofErr w:type="spellEnd"/>
      <w:r>
        <w:rPr>
          <w:rFonts w:ascii="Arial" w:eastAsia="Arial" w:hAnsi="Arial" w:cs="Arial"/>
          <w:color w:val="000000"/>
          <w:sz w:val="22"/>
          <w:szCs w:val="22"/>
        </w:rPr>
        <w:t>)</w:t>
      </w:r>
    </w:p>
    <w:p w14:paraId="35FF2ABC" w14:textId="77777777" w:rsidR="006A2AD0" w:rsidRDefault="0008018A">
      <w:pPr>
        <w:pStyle w:val="ListParagraph"/>
        <w:numPr>
          <w:ilvl w:val="0"/>
          <w:numId w:val="2"/>
        </w:numPr>
        <w:spacing w:before="60" w:after="60"/>
      </w:pPr>
      <w:r>
        <w:rPr>
          <w:rFonts w:ascii="Arial" w:eastAsia="Arial" w:hAnsi="Arial" w:cs="Arial"/>
          <w:color w:val="000000"/>
          <w:sz w:val="22"/>
          <w:szCs w:val="22"/>
        </w:rPr>
        <w:t>HM Treasury (added June 2025 – for disclosures relating to breaches of UK financial sanctions)</w:t>
      </w:r>
    </w:p>
    <w:p w14:paraId="191744B1" w14:textId="77777777" w:rsidR="006A2AD0" w:rsidRDefault="0008018A">
      <w:pPr>
        <w:spacing w:before="80" w:after="80"/>
      </w:pPr>
      <w:r>
        <w:rPr>
          <w:rFonts w:ascii="Arial" w:eastAsia="Arial" w:hAnsi="Arial" w:cs="Arial"/>
          <w:color w:val="000000"/>
          <w:sz w:val="22"/>
          <w:szCs w:val="22"/>
        </w:rPr>
        <w:t>A full list can be obtained from the charity Protect, or from the Department for Business and Trade (DBT) list on the www.gov.uk website. The DBT list contains a description of the type of matter covered by each prescribed body. Alternatively, a whistleblower may contact their professional association or trade union representative for guidance.</w:t>
      </w:r>
    </w:p>
    <w:p w14:paraId="2CB2FE56" w14:textId="77777777" w:rsidR="006A2AD0" w:rsidRDefault="0008018A">
      <w:pPr>
        <w:spacing w:before="280" w:after="120"/>
      </w:pPr>
      <w:r>
        <w:rPr>
          <w:rFonts w:ascii="Arial" w:eastAsia="Arial" w:hAnsi="Arial" w:cs="Arial"/>
          <w:b/>
          <w:bCs/>
          <w:color w:val="1A7A7A"/>
          <w:sz w:val="26"/>
          <w:szCs w:val="26"/>
        </w:rPr>
        <w:t>Data Protection</w:t>
      </w:r>
    </w:p>
    <w:p w14:paraId="69D40062" w14:textId="77777777" w:rsidR="006A2AD0" w:rsidRDefault="0008018A">
      <w:pPr>
        <w:spacing w:before="80" w:after="80"/>
      </w:pPr>
      <w:r>
        <w:rPr>
          <w:rFonts w:ascii="Arial" w:eastAsia="Arial" w:hAnsi="Arial" w:cs="Arial"/>
          <w:color w:val="000000"/>
          <w:sz w:val="22"/>
          <w:szCs w:val="22"/>
        </w:rPr>
        <w:t>When an individual makes a disclosure, the Manager/named committee member will process any personal data collected in accordance with the Pre-School’s data protection policy. Data collected from the point at which the individual makes the report is held securely and accessed by, and disclosed to, individuals only for the purposes of dealing with the disclosure.</w:t>
      </w:r>
    </w:p>
    <w:p w14:paraId="051F92F6" w14:textId="77777777" w:rsidR="006A2AD0" w:rsidRDefault="0008018A">
      <w:pPr>
        <w:spacing w:before="280" w:after="120"/>
      </w:pPr>
      <w:r>
        <w:rPr>
          <w:rFonts w:ascii="Arial" w:eastAsia="Arial" w:hAnsi="Arial" w:cs="Arial"/>
          <w:b/>
          <w:bCs/>
          <w:color w:val="1A7A7A"/>
          <w:sz w:val="26"/>
          <w:szCs w:val="26"/>
        </w:rPr>
        <w:t>Contacts</w:t>
      </w:r>
    </w:p>
    <w:p w14:paraId="2755954D" w14:textId="5CF00C0F" w:rsidR="006A2AD0" w:rsidRDefault="0008018A">
      <w:pPr>
        <w:spacing w:before="80" w:after="80"/>
      </w:pPr>
      <w:r>
        <w:rPr>
          <w:rFonts w:ascii="Arial" w:eastAsia="Arial" w:hAnsi="Arial" w:cs="Arial"/>
          <w:color w:val="000000"/>
          <w:sz w:val="22"/>
          <w:szCs w:val="22"/>
        </w:rPr>
        <w:t xml:space="preserve">The Pre-School’s appointed member of staff for this purpose is </w:t>
      </w:r>
      <w:r w:rsidR="003B6675">
        <w:rPr>
          <w:rFonts w:ascii="Arial" w:eastAsia="Arial" w:hAnsi="Arial" w:cs="Arial"/>
          <w:color w:val="000000"/>
          <w:sz w:val="22"/>
          <w:szCs w:val="22"/>
        </w:rPr>
        <w:t>Sarah-Jayne Wells</w:t>
      </w:r>
      <w:r>
        <w:rPr>
          <w:rFonts w:ascii="Arial" w:eastAsia="Arial" w:hAnsi="Arial" w:cs="Arial"/>
          <w:color w:val="000000"/>
          <w:sz w:val="22"/>
          <w:szCs w:val="22"/>
        </w:rPr>
        <w:t>, Pre-School Manager.</w:t>
      </w:r>
    </w:p>
    <w:p w14:paraId="194D6BB7" w14:textId="77777777" w:rsidR="006A2AD0" w:rsidRDefault="0008018A">
      <w:pPr>
        <w:spacing w:before="80" w:after="80"/>
      </w:pPr>
      <w:r>
        <w:rPr>
          <w:rFonts w:ascii="Arial" w:eastAsia="Arial" w:hAnsi="Arial" w:cs="Arial"/>
          <w:color w:val="000000"/>
          <w:sz w:val="22"/>
          <w:szCs w:val="22"/>
        </w:rPr>
        <w:t>The Pre-School’s appointed committee member for this purpose is Emma Hughes.</w:t>
      </w:r>
    </w:p>
    <w:p w14:paraId="4A29FC8F" w14:textId="77777777" w:rsidR="006A2AD0" w:rsidRDefault="0008018A">
      <w:pPr>
        <w:spacing w:before="80" w:after="80"/>
      </w:pPr>
      <w:r>
        <w:rPr>
          <w:rFonts w:ascii="Arial" w:eastAsia="Arial" w:hAnsi="Arial" w:cs="Arial"/>
          <w:b/>
          <w:bCs/>
          <w:color w:val="1A7A7A"/>
          <w:sz w:val="22"/>
          <w:szCs w:val="22"/>
        </w:rPr>
        <w:t xml:space="preserve">The independent whistleblowing charity Protect: </w:t>
      </w:r>
      <w:r>
        <w:rPr>
          <w:rFonts w:ascii="Arial" w:eastAsia="Arial" w:hAnsi="Arial" w:cs="Arial"/>
          <w:color w:val="000000"/>
          <w:sz w:val="22"/>
          <w:szCs w:val="22"/>
        </w:rPr>
        <w:t>Helpline 020 3117 2520 | whistle@protect-advice.org.uk</w:t>
      </w:r>
    </w:p>
    <w:p w14:paraId="14EB7A46" w14:textId="77777777" w:rsidR="00BE3BC4" w:rsidRDefault="00BE3BC4">
      <w:pPr>
        <w:spacing w:before="280" w:after="120"/>
        <w:rPr>
          <w:rFonts w:ascii="Arial" w:eastAsia="Arial" w:hAnsi="Arial" w:cs="Arial"/>
          <w:b/>
          <w:bCs/>
          <w:color w:val="1A7A7A"/>
          <w:sz w:val="26"/>
          <w:szCs w:val="26"/>
        </w:rPr>
      </w:pPr>
    </w:p>
    <w:p w14:paraId="47CAD2D0" w14:textId="20090402" w:rsidR="006A2AD0" w:rsidRDefault="0008018A">
      <w:pPr>
        <w:spacing w:before="280" w:after="120"/>
      </w:pPr>
      <w:r>
        <w:rPr>
          <w:rFonts w:ascii="Arial" w:eastAsia="Arial" w:hAnsi="Arial" w:cs="Arial"/>
          <w:b/>
          <w:bCs/>
          <w:color w:val="1A7A7A"/>
          <w:sz w:val="26"/>
          <w:szCs w:val="26"/>
        </w:rPr>
        <w:t>Legal Framework</w:t>
      </w:r>
    </w:p>
    <w:p w14:paraId="4B065FBC" w14:textId="77777777" w:rsidR="006A2AD0" w:rsidRDefault="0008018A">
      <w:pPr>
        <w:spacing w:before="80" w:after="80"/>
      </w:pPr>
      <w:r>
        <w:rPr>
          <w:rFonts w:ascii="Arial" w:eastAsia="Arial" w:hAnsi="Arial" w:cs="Arial"/>
          <w:color w:val="000000"/>
          <w:sz w:val="22"/>
          <w:szCs w:val="22"/>
        </w:rPr>
        <w:t>This policy has regard to the following legislation and guidance:</w:t>
      </w:r>
    </w:p>
    <w:p w14:paraId="4E9397E5" w14:textId="77777777" w:rsidR="006A2AD0" w:rsidRDefault="0008018A">
      <w:pPr>
        <w:pStyle w:val="ListParagraph"/>
        <w:numPr>
          <w:ilvl w:val="0"/>
          <w:numId w:val="2"/>
        </w:numPr>
        <w:spacing w:before="60" w:after="60"/>
      </w:pPr>
      <w:r>
        <w:rPr>
          <w:rFonts w:ascii="Arial" w:eastAsia="Arial" w:hAnsi="Arial" w:cs="Arial"/>
          <w:color w:val="000000"/>
          <w:sz w:val="22"/>
          <w:szCs w:val="22"/>
        </w:rPr>
        <w:t>Employment Rights Act 1996, Part IVA (as amended)</w:t>
      </w:r>
    </w:p>
    <w:p w14:paraId="0F371BEA" w14:textId="77777777" w:rsidR="006A2AD0" w:rsidRDefault="0008018A">
      <w:pPr>
        <w:pStyle w:val="ListParagraph"/>
        <w:numPr>
          <w:ilvl w:val="0"/>
          <w:numId w:val="2"/>
        </w:numPr>
        <w:spacing w:before="60" w:after="60"/>
      </w:pPr>
      <w:r>
        <w:rPr>
          <w:rFonts w:ascii="Arial" w:eastAsia="Arial" w:hAnsi="Arial" w:cs="Arial"/>
          <w:color w:val="000000"/>
          <w:sz w:val="22"/>
          <w:szCs w:val="22"/>
        </w:rPr>
        <w:t>Employment Rights Act 2025 – adds sexual harassment as a qualifying disclosure from 6 April 2026</w:t>
      </w:r>
    </w:p>
    <w:p w14:paraId="50368CD0" w14:textId="77777777" w:rsidR="006A2AD0" w:rsidRDefault="0008018A">
      <w:pPr>
        <w:pStyle w:val="ListParagraph"/>
        <w:numPr>
          <w:ilvl w:val="0"/>
          <w:numId w:val="2"/>
        </w:numPr>
        <w:spacing w:before="60" w:after="60"/>
      </w:pPr>
      <w:r>
        <w:rPr>
          <w:rFonts w:ascii="Arial" w:eastAsia="Arial" w:hAnsi="Arial" w:cs="Arial"/>
          <w:color w:val="000000"/>
          <w:sz w:val="22"/>
          <w:szCs w:val="22"/>
        </w:rPr>
        <w:t>Public Interest Disclosure (Prescribed Persons) Order 2014 (as amended 2025)</w:t>
      </w:r>
    </w:p>
    <w:p w14:paraId="57C4F93A" w14:textId="77777777" w:rsidR="006A2AD0" w:rsidRDefault="0008018A">
      <w:pPr>
        <w:pStyle w:val="ListParagraph"/>
        <w:numPr>
          <w:ilvl w:val="0"/>
          <w:numId w:val="2"/>
        </w:numPr>
        <w:spacing w:before="60" w:after="60"/>
      </w:pPr>
      <w:r>
        <w:rPr>
          <w:rFonts w:ascii="Arial" w:eastAsia="Arial" w:hAnsi="Arial" w:cs="Arial"/>
          <w:color w:val="000000"/>
          <w:sz w:val="22"/>
          <w:szCs w:val="22"/>
        </w:rPr>
        <w:t>Worker Protection (Amendment of Equality Act 2010) Act 2023 (in force 26 October 2024)</w:t>
      </w:r>
    </w:p>
    <w:p w14:paraId="3A9A14F7" w14:textId="77777777" w:rsidR="006A2AD0" w:rsidRDefault="0008018A">
      <w:pPr>
        <w:pStyle w:val="ListParagraph"/>
        <w:numPr>
          <w:ilvl w:val="0"/>
          <w:numId w:val="2"/>
        </w:numPr>
        <w:spacing w:before="60" w:after="60"/>
      </w:pPr>
      <w:r>
        <w:rPr>
          <w:rFonts w:ascii="Arial" w:eastAsia="Arial" w:hAnsi="Arial" w:cs="Arial"/>
          <w:color w:val="000000"/>
          <w:sz w:val="22"/>
          <w:szCs w:val="22"/>
        </w:rPr>
        <w:t>Statutory Framework for the Early Years Foundation Stage 2025 (EYFS 2025) – whistleblowing explicit safeguarding and welfare requirement from 1 September 2025</w:t>
      </w:r>
    </w:p>
    <w:p w14:paraId="44231AFA" w14:textId="77777777" w:rsidR="006A2AD0" w:rsidRDefault="006A2AD0">
      <w:pPr>
        <w:spacing w:before="240" w:after="120"/>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3"/>
        <w:gridCol w:w="4820"/>
      </w:tblGrid>
      <w:tr w:rsidR="00BE3BC4" w14:paraId="477A6C6C" w14:textId="77777777" w:rsidTr="00BE3BC4">
        <w:tc>
          <w:tcPr>
            <w:tcW w:w="4673" w:type="dxa"/>
            <w:tcBorders>
              <w:top w:val="single" w:sz="4" w:space="0" w:color="1A7A7A"/>
              <w:left w:val="single" w:sz="4" w:space="0" w:color="1A7A7A"/>
              <w:bottom w:val="single" w:sz="4" w:space="0" w:color="1A7A7A"/>
              <w:right w:val="single" w:sz="4" w:space="0" w:color="1A7A7A"/>
            </w:tcBorders>
            <w:shd w:val="clear" w:color="auto" w:fill="E8F4F4"/>
            <w:tcMar>
              <w:top w:w="80" w:type="dxa"/>
              <w:left w:w="120" w:type="dxa"/>
              <w:bottom w:w="80" w:type="dxa"/>
              <w:right w:w="120" w:type="dxa"/>
            </w:tcMar>
            <w:vAlign w:val="center"/>
          </w:tcPr>
          <w:p w14:paraId="11CEBB18" w14:textId="77777777" w:rsidR="00BE3BC4" w:rsidRDefault="00BE3BC4">
            <w:r>
              <w:rPr>
                <w:rFonts w:ascii="Arial" w:eastAsia="Arial" w:hAnsi="Arial" w:cs="Arial"/>
                <w:b/>
                <w:bCs/>
                <w:color w:val="1A7A7A"/>
                <w:sz w:val="22"/>
                <w:szCs w:val="22"/>
              </w:rPr>
              <w:t>This policy was adopted by</w:t>
            </w:r>
          </w:p>
        </w:tc>
        <w:tc>
          <w:tcPr>
            <w:tcW w:w="4820" w:type="dxa"/>
            <w:tcBorders>
              <w:top w:val="single" w:sz="4" w:space="0" w:color="1A7A7A"/>
              <w:left w:val="single" w:sz="4" w:space="0" w:color="1A7A7A"/>
              <w:bottom w:val="single" w:sz="4" w:space="0" w:color="1A7A7A"/>
              <w:right w:val="single" w:sz="4" w:space="0" w:color="1A7A7A"/>
            </w:tcBorders>
            <w:shd w:val="clear" w:color="auto" w:fill="FFFFFF"/>
            <w:tcMar>
              <w:top w:w="80" w:type="dxa"/>
              <w:left w:w="120" w:type="dxa"/>
              <w:bottom w:w="80" w:type="dxa"/>
              <w:right w:w="120" w:type="dxa"/>
            </w:tcMar>
            <w:vAlign w:val="center"/>
          </w:tcPr>
          <w:p w14:paraId="42EC4C21" w14:textId="77777777" w:rsidR="00BE3BC4" w:rsidRDefault="00BE3BC4">
            <w:r>
              <w:rPr>
                <w:rFonts w:ascii="Arial" w:eastAsia="Arial" w:hAnsi="Arial" w:cs="Arial"/>
                <w:color w:val="000000"/>
                <w:sz w:val="22"/>
                <w:szCs w:val="22"/>
              </w:rPr>
              <w:t>NAZEING PRE-SCHOOL</w:t>
            </w:r>
          </w:p>
        </w:tc>
      </w:tr>
      <w:tr w:rsidR="00BE3BC4" w14:paraId="6995633C" w14:textId="77777777" w:rsidTr="00BE3BC4">
        <w:tc>
          <w:tcPr>
            <w:tcW w:w="4673" w:type="dxa"/>
            <w:tcBorders>
              <w:top w:val="single" w:sz="4" w:space="0" w:color="1A7A7A"/>
              <w:left w:val="single" w:sz="4" w:space="0" w:color="1A7A7A"/>
              <w:bottom w:val="single" w:sz="4" w:space="0" w:color="1A7A7A"/>
              <w:right w:val="single" w:sz="4" w:space="0" w:color="1A7A7A"/>
            </w:tcBorders>
            <w:shd w:val="clear" w:color="auto" w:fill="E8F4F4"/>
            <w:tcMar>
              <w:top w:w="80" w:type="dxa"/>
              <w:left w:w="120" w:type="dxa"/>
              <w:bottom w:w="80" w:type="dxa"/>
              <w:right w:w="120" w:type="dxa"/>
            </w:tcMar>
            <w:vAlign w:val="center"/>
          </w:tcPr>
          <w:p w14:paraId="3E9E417A" w14:textId="77777777" w:rsidR="00BE3BC4" w:rsidRDefault="00BE3BC4">
            <w:r>
              <w:rPr>
                <w:rFonts w:ascii="Arial" w:eastAsia="Arial" w:hAnsi="Arial" w:cs="Arial"/>
                <w:b/>
                <w:bCs/>
                <w:color w:val="1A7A7A"/>
                <w:sz w:val="22"/>
                <w:szCs w:val="22"/>
              </w:rPr>
              <w:t>On</w:t>
            </w:r>
          </w:p>
        </w:tc>
        <w:tc>
          <w:tcPr>
            <w:tcW w:w="4820" w:type="dxa"/>
            <w:tcBorders>
              <w:top w:val="single" w:sz="4" w:space="0" w:color="1A7A7A"/>
              <w:left w:val="single" w:sz="4" w:space="0" w:color="1A7A7A"/>
              <w:bottom w:val="single" w:sz="4" w:space="0" w:color="1A7A7A"/>
              <w:right w:val="single" w:sz="4" w:space="0" w:color="1A7A7A"/>
            </w:tcBorders>
            <w:shd w:val="clear" w:color="auto" w:fill="FFFFFF"/>
            <w:tcMar>
              <w:top w:w="80" w:type="dxa"/>
              <w:left w:w="120" w:type="dxa"/>
              <w:bottom w:w="80" w:type="dxa"/>
              <w:right w:w="120" w:type="dxa"/>
            </w:tcMar>
            <w:vAlign w:val="center"/>
          </w:tcPr>
          <w:p w14:paraId="5842C1C8" w14:textId="55F63DE2" w:rsidR="00BE3BC4" w:rsidRDefault="00BE3BC4">
            <w:r>
              <w:rPr>
                <w:rFonts w:ascii="Arial" w:eastAsia="Arial" w:hAnsi="Arial" w:cs="Arial"/>
                <w:color w:val="000000"/>
                <w:sz w:val="22"/>
                <w:szCs w:val="22"/>
              </w:rPr>
              <w:t>May 2026</w:t>
            </w:r>
          </w:p>
        </w:tc>
      </w:tr>
      <w:tr w:rsidR="00BE3BC4" w14:paraId="55CC48A8" w14:textId="77777777" w:rsidTr="00BE3BC4">
        <w:tc>
          <w:tcPr>
            <w:tcW w:w="4673" w:type="dxa"/>
            <w:tcBorders>
              <w:top w:val="single" w:sz="4" w:space="0" w:color="1A7A7A"/>
              <w:left w:val="single" w:sz="4" w:space="0" w:color="1A7A7A"/>
              <w:bottom w:val="single" w:sz="4" w:space="0" w:color="1A7A7A"/>
              <w:right w:val="single" w:sz="4" w:space="0" w:color="1A7A7A"/>
            </w:tcBorders>
            <w:shd w:val="clear" w:color="auto" w:fill="E8F4F4"/>
            <w:tcMar>
              <w:top w:w="80" w:type="dxa"/>
              <w:left w:w="120" w:type="dxa"/>
              <w:bottom w:w="80" w:type="dxa"/>
              <w:right w:w="120" w:type="dxa"/>
            </w:tcMar>
            <w:vAlign w:val="center"/>
          </w:tcPr>
          <w:p w14:paraId="230CF680" w14:textId="77777777" w:rsidR="00BE3BC4" w:rsidRDefault="00BE3BC4">
            <w:r>
              <w:rPr>
                <w:rFonts w:ascii="Arial" w:eastAsia="Arial" w:hAnsi="Arial" w:cs="Arial"/>
                <w:b/>
                <w:bCs/>
                <w:color w:val="1A7A7A"/>
                <w:sz w:val="22"/>
                <w:szCs w:val="22"/>
              </w:rPr>
              <w:t>Date to be reviewed</w:t>
            </w:r>
          </w:p>
        </w:tc>
        <w:tc>
          <w:tcPr>
            <w:tcW w:w="4820" w:type="dxa"/>
            <w:tcBorders>
              <w:top w:val="single" w:sz="4" w:space="0" w:color="1A7A7A"/>
              <w:left w:val="single" w:sz="4" w:space="0" w:color="1A7A7A"/>
              <w:bottom w:val="single" w:sz="4" w:space="0" w:color="1A7A7A"/>
              <w:right w:val="single" w:sz="4" w:space="0" w:color="1A7A7A"/>
            </w:tcBorders>
            <w:shd w:val="clear" w:color="auto" w:fill="FFFFFF"/>
            <w:tcMar>
              <w:top w:w="80" w:type="dxa"/>
              <w:left w:w="120" w:type="dxa"/>
              <w:bottom w:w="80" w:type="dxa"/>
              <w:right w:w="120" w:type="dxa"/>
            </w:tcMar>
            <w:vAlign w:val="center"/>
          </w:tcPr>
          <w:p w14:paraId="43595016" w14:textId="1F6847E7" w:rsidR="00BE3BC4" w:rsidRDefault="00BE3BC4">
            <w:r>
              <w:rPr>
                <w:rFonts w:ascii="Arial" w:eastAsia="Arial" w:hAnsi="Arial" w:cs="Arial"/>
                <w:color w:val="000000"/>
                <w:sz w:val="22"/>
                <w:szCs w:val="22"/>
              </w:rPr>
              <w:t>May 2027</w:t>
            </w:r>
          </w:p>
        </w:tc>
      </w:tr>
      <w:tr w:rsidR="00BE3BC4" w14:paraId="16D4C8E0" w14:textId="77777777" w:rsidTr="00BE3BC4">
        <w:tc>
          <w:tcPr>
            <w:tcW w:w="4673" w:type="dxa"/>
            <w:tcBorders>
              <w:top w:val="single" w:sz="4" w:space="0" w:color="1A7A7A"/>
              <w:left w:val="single" w:sz="4" w:space="0" w:color="1A7A7A"/>
              <w:bottom w:val="single" w:sz="4" w:space="0" w:color="1A7A7A"/>
              <w:right w:val="single" w:sz="4" w:space="0" w:color="1A7A7A"/>
            </w:tcBorders>
            <w:shd w:val="clear" w:color="auto" w:fill="E8F4F4"/>
            <w:tcMar>
              <w:top w:w="80" w:type="dxa"/>
              <w:left w:w="120" w:type="dxa"/>
              <w:bottom w:w="80" w:type="dxa"/>
              <w:right w:w="120" w:type="dxa"/>
            </w:tcMar>
            <w:vAlign w:val="center"/>
          </w:tcPr>
          <w:p w14:paraId="190C2715" w14:textId="77777777" w:rsidR="00BE3BC4" w:rsidRDefault="00BE3BC4">
            <w:r>
              <w:rPr>
                <w:rFonts w:ascii="Arial" w:eastAsia="Arial" w:hAnsi="Arial" w:cs="Arial"/>
                <w:b/>
                <w:bCs/>
                <w:color w:val="1A7A7A"/>
                <w:sz w:val="22"/>
                <w:szCs w:val="22"/>
              </w:rPr>
              <w:t>Signed on behalf of the provider</w:t>
            </w:r>
          </w:p>
        </w:tc>
        <w:tc>
          <w:tcPr>
            <w:tcW w:w="4820" w:type="dxa"/>
            <w:tcBorders>
              <w:top w:val="single" w:sz="4" w:space="0" w:color="1A7A7A"/>
              <w:left w:val="single" w:sz="4" w:space="0" w:color="1A7A7A"/>
              <w:bottom w:val="single" w:sz="4" w:space="0" w:color="1A7A7A"/>
              <w:right w:val="single" w:sz="4" w:space="0" w:color="1A7A7A"/>
            </w:tcBorders>
            <w:shd w:val="clear" w:color="auto" w:fill="FFFFFF"/>
            <w:tcMar>
              <w:top w:w="80" w:type="dxa"/>
              <w:left w:w="120" w:type="dxa"/>
              <w:bottom w:w="80" w:type="dxa"/>
              <w:right w:w="120" w:type="dxa"/>
            </w:tcMar>
            <w:vAlign w:val="center"/>
          </w:tcPr>
          <w:p w14:paraId="02440023" w14:textId="473FC7FE" w:rsidR="00BE3BC4" w:rsidRDefault="00BE3BC4">
            <w:r>
              <w:rPr>
                <w:rFonts w:ascii="Arial" w:eastAsia="Arial" w:hAnsi="Arial" w:cs="Arial"/>
                <w:color w:val="000000"/>
                <w:sz w:val="22"/>
                <w:szCs w:val="22"/>
              </w:rPr>
              <w:t>Sarah-Jayne Wells</w:t>
            </w:r>
          </w:p>
        </w:tc>
      </w:tr>
      <w:tr w:rsidR="00BE3BC4" w14:paraId="65BBAE95" w14:textId="77777777" w:rsidTr="00BE3BC4">
        <w:tc>
          <w:tcPr>
            <w:tcW w:w="4673" w:type="dxa"/>
            <w:tcBorders>
              <w:top w:val="single" w:sz="4" w:space="0" w:color="1A7A7A"/>
              <w:left w:val="single" w:sz="4" w:space="0" w:color="1A7A7A"/>
              <w:bottom w:val="single" w:sz="4" w:space="0" w:color="1A7A7A"/>
              <w:right w:val="single" w:sz="4" w:space="0" w:color="1A7A7A"/>
            </w:tcBorders>
            <w:shd w:val="clear" w:color="auto" w:fill="E8F4F4"/>
            <w:tcMar>
              <w:top w:w="80" w:type="dxa"/>
              <w:left w:w="120" w:type="dxa"/>
              <w:bottom w:w="80" w:type="dxa"/>
              <w:right w:w="120" w:type="dxa"/>
            </w:tcMar>
            <w:vAlign w:val="center"/>
          </w:tcPr>
          <w:p w14:paraId="7C2AE460" w14:textId="77777777" w:rsidR="00BE3BC4" w:rsidRDefault="00BE3BC4">
            <w:r>
              <w:rPr>
                <w:rFonts w:ascii="Arial" w:eastAsia="Arial" w:hAnsi="Arial" w:cs="Arial"/>
                <w:b/>
                <w:bCs/>
                <w:color w:val="1A7A7A"/>
                <w:sz w:val="22"/>
                <w:szCs w:val="22"/>
              </w:rPr>
              <w:t>Name of signatory</w:t>
            </w:r>
          </w:p>
        </w:tc>
        <w:tc>
          <w:tcPr>
            <w:tcW w:w="4820" w:type="dxa"/>
            <w:tcBorders>
              <w:top w:val="single" w:sz="4" w:space="0" w:color="1A7A7A"/>
              <w:left w:val="single" w:sz="4" w:space="0" w:color="1A7A7A"/>
              <w:bottom w:val="single" w:sz="4" w:space="0" w:color="1A7A7A"/>
              <w:right w:val="single" w:sz="4" w:space="0" w:color="1A7A7A"/>
            </w:tcBorders>
            <w:shd w:val="clear" w:color="auto" w:fill="FFFFFF"/>
            <w:tcMar>
              <w:top w:w="80" w:type="dxa"/>
              <w:left w:w="120" w:type="dxa"/>
              <w:bottom w:w="80" w:type="dxa"/>
              <w:right w:w="120" w:type="dxa"/>
            </w:tcMar>
            <w:vAlign w:val="center"/>
          </w:tcPr>
          <w:p w14:paraId="1488397F" w14:textId="77777777" w:rsidR="00BE3BC4" w:rsidRDefault="00BE3BC4">
            <w:r>
              <w:rPr>
                <w:rFonts w:ascii="Arial" w:eastAsia="Arial" w:hAnsi="Arial" w:cs="Arial"/>
                <w:color w:val="000000"/>
                <w:sz w:val="22"/>
                <w:szCs w:val="22"/>
              </w:rPr>
              <w:t>Emma Hughes</w:t>
            </w:r>
          </w:p>
        </w:tc>
      </w:tr>
      <w:tr w:rsidR="00BE3BC4" w14:paraId="16884D88" w14:textId="77777777" w:rsidTr="00BE3BC4">
        <w:tc>
          <w:tcPr>
            <w:tcW w:w="4673" w:type="dxa"/>
            <w:tcBorders>
              <w:top w:val="single" w:sz="4" w:space="0" w:color="1A7A7A"/>
              <w:left w:val="single" w:sz="4" w:space="0" w:color="1A7A7A"/>
              <w:bottom w:val="single" w:sz="4" w:space="0" w:color="1A7A7A"/>
              <w:right w:val="single" w:sz="4" w:space="0" w:color="1A7A7A"/>
            </w:tcBorders>
            <w:shd w:val="clear" w:color="auto" w:fill="E8F4F4"/>
            <w:tcMar>
              <w:top w:w="80" w:type="dxa"/>
              <w:left w:w="120" w:type="dxa"/>
              <w:bottom w:w="80" w:type="dxa"/>
              <w:right w:w="120" w:type="dxa"/>
            </w:tcMar>
            <w:vAlign w:val="center"/>
          </w:tcPr>
          <w:p w14:paraId="6C256F0E" w14:textId="77777777" w:rsidR="00BE3BC4" w:rsidRDefault="00BE3BC4">
            <w:r>
              <w:rPr>
                <w:rFonts w:ascii="Arial" w:eastAsia="Arial" w:hAnsi="Arial" w:cs="Arial"/>
                <w:b/>
                <w:bCs/>
                <w:color w:val="1A7A7A"/>
                <w:sz w:val="22"/>
                <w:szCs w:val="22"/>
              </w:rPr>
              <w:t>Role of signatory</w:t>
            </w:r>
          </w:p>
        </w:tc>
        <w:tc>
          <w:tcPr>
            <w:tcW w:w="4820" w:type="dxa"/>
            <w:tcBorders>
              <w:top w:val="single" w:sz="4" w:space="0" w:color="1A7A7A"/>
              <w:left w:val="single" w:sz="4" w:space="0" w:color="1A7A7A"/>
              <w:bottom w:val="single" w:sz="4" w:space="0" w:color="1A7A7A"/>
              <w:right w:val="single" w:sz="4" w:space="0" w:color="1A7A7A"/>
            </w:tcBorders>
            <w:shd w:val="clear" w:color="auto" w:fill="FFFFFF"/>
            <w:tcMar>
              <w:top w:w="80" w:type="dxa"/>
              <w:left w:w="120" w:type="dxa"/>
              <w:bottom w:w="80" w:type="dxa"/>
              <w:right w:w="120" w:type="dxa"/>
            </w:tcMar>
            <w:vAlign w:val="center"/>
          </w:tcPr>
          <w:p w14:paraId="73225F9F" w14:textId="77777777" w:rsidR="00BE3BC4" w:rsidRDefault="00BE3BC4">
            <w:r>
              <w:rPr>
                <w:rFonts w:ascii="Arial" w:eastAsia="Arial" w:hAnsi="Arial" w:cs="Arial"/>
                <w:color w:val="000000"/>
                <w:sz w:val="22"/>
                <w:szCs w:val="22"/>
              </w:rPr>
              <w:t>Chair Person</w:t>
            </w:r>
          </w:p>
        </w:tc>
      </w:tr>
    </w:tbl>
    <w:p w14:paraId="061316A7" w14:textId="77777777" w:rsidR="0008018A" w:rsidRDefault="0008018A"/>
    <w:sectPr w:rsidR="0008018A">
      <w:head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4A830" w14:textId="77777777" w:rsidR="00945789" w:rsidRDefault="00945789" w:rsidP="00B758F2">
      <w:r>
        <w:separator/>
      </w:r>
    </w:p>
  </w:endnote>
  <w:endnote w:type="continuationSeparator" w:id="0">
    <w:p w14:paraId="5B99B15C" w14:textId="77777777" w:rsidR="00945789" w:rsidRDefault="00945789" w:rsidP="00B7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73A67" w14:textId="77777777" w:rsidR="00945789" w:rsidRDefault="00945789" w:rsidP="00B758F2">
      <w:r>
        <w:separator/>
      </w:r>
    </w:p>
  </w:footnote>
  <w:footnote w:type="continuationSeparator" w:id="0">
    <w:p w14:paraId="7EC44D7F" w14:textId="77777777" w:rsidR="00945789" w:rsidRDefault="00945789" w:rsidP="00B75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30A4F" w14:textId="77777777" w:rsidR="00B758F2" w:rsidRPr="00B758F2" w:rsidRDefault="00B758F2" w:rsidP="00B758F2">
    <w:pPr>
      <w:jc w:val="right"/>
      <w:rPr>
        <w:rFonts w:ascii="Comic Sans MS" w:eastAsia="Calibri" w:hAnsi="Comic Sans MS"/>
        <w:bCs/>
        <w:color w:val="7030A0"/>
        <w:sz w:val="40"/>
        <w:szCs w:val="4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758F2">
      <w:rPr>
        <w:rFonts w:ascii="Calibri" w:eastAsia="Calibri" w:hAnsi="Calibri"/>
        <w:noProof/>
        <w:sz w:val="40"/>
        <w:szCs w:val="40"/>
        <w:lang w:eastAsia="en-US"/>
      </w:rPr>
      <w:drawing>
        <wp:anchor distT="0" distB="0" distL="114300" distR="114300" simplePos="0" relativeHeight="251658240" behindDoc="1" locked="0" layoutInCell="1" allowOverlap="1" wp14:anchorId="03902474" wp14:editId="4BD31563">
          <wp:simplePos x="0" y="0"/>
          <wp:positionH relativeFrom="margin">
            <wp:posOffset>-10160</wp:posOffset>
          </wp:positionH>
          <wp:positionV relativeFrom="paragraph">
            <wp:posOffset>-156801</wp:posOffset>
          </wp:positionV>
          <wp:extent cx="1181100" cy="1180021"/>
          <wp:effectExtent l="0" t="0" r="0" b="1270"/>
          <wp:wrapNone/>
          <wp:docPr id="1114771270" name="Picture 111477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71270" name="Picture 111477127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180021"/>
                  </a:xfrm>
                  <a:prstGeom prst="rect">
                    <a:avLst/>
                  </a:prstGeom>
                </pic:spPr>
              </pic:pic>
            </a:graphicData>
          </a:graphic>
          <wp14:sizeRelH relativeFrom="margin">
            <wp14:pctWidth>0</wp14:pctWidth>
          </wp14:sizeRelH>
          <wp14:sizeRelV relativeFrom="margin">
            <wp14:pctHeight>0</wp14:pctHeight>
          </wp14:sizeRelV>
        </wp:anchor>
      </w:drawing>
    </w:r>
    <w:r w:rsidRPr="00B758F2">
      <w:rPr>
        <w:rFonts w:ascii="Comic Sans MS" w:eastAsia="Calibri" w:hAnsi="Comic Sans MS"/>
        <w:bCs/>
        <w:color w:val="7030A0"/>
        <w:sz w:val="40"/>
        <w:szCs w:val="4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Nazeing Pre-School</w:t>
    </w:r>
  </w:p>
  <w:p w14:paraId="098F1F97" w14:textId="77777777" w:rsidR="00B758F2" w:rsidRPr="00B758F2" w:rsidRDefault="00B758F2" w:rsidP="00B758F2">
    <w:pPr>
      <w:jc w:val="right"/>
      <w:rPr>
        <w:rFonts w:asciiTheme="minorHAnsi" w:eastAsia="Calibri" w:hAnsiTheme="minorHAnsi" w:cstheme="minorHAnsi"/>
        <w:sz w:val="24"/>
        <w:szCs w:val="24"/>
        <w:lang w:eastAsia="en-US"/>
      </w:rPr>
    </w:pPr>
    <w:r w:rsidRPr="00B758F2">
      <w:rPr>
        <w:rFonts w:asciiTheme="minorHAnsi" w:eastAsia="Calibri" w:hAnsiTheme="minorHAnsi" w:cstheme="minorHAnsi"/>
        <w:sz w:val="24"/>
        <w:szCs w:val="24"/>
        <w:lang w:eastAsia="en-US"/>
      </w:rPr>
      <w:t>c/o Nazeing Primary School, Hyde Mead, Nazeing. EN9 2HS</w:t>
    </w:r>
  </w:p>
  <w:p w14:paraId="52BBA1BF" w14:textId="77777777" w:rsidR="00B758F2" w:rsidRPr="00B758F2" w:rsidRDefault="00B758F2" w:rsidP="00B758F2">
    <w:pPr>
      <w:jc w:val="right"/>
      <w:rPr>
        <w:rFonts w:asciiTheme="minorHAnsi" w:eastAsia="Calibri" w:hAnsiTheme="minorHAnsi" w:cstheme="minorHAnsi"/>
        <w:sz w:val="24"/>
        <w:szCs w:val="24"/>
        <w:lang w:eastAsia="en-US"/>
      </w:rPr>
    </w:pPr>
    <w:r w:rsidRPr="00B758F2">
      <w:rPr>
        <w:rFonts w:asciiTheme="minorHAnsi" w:eastAsia="Calibri" w:hAnsiTheme="minorHAnsi" w:cstheme="minorHAnsi"/>
        <w:b/>
        <w:bCs/>
        <w:sz w:val="24"/>
        <w:szCs w:val="24"/>
        <w:lang w:eastAsia="en-US"/>
      </w:rPr>
      <w:t xml:space="preserve">Tel: </w:t>
    </w:r>
    <w:r w:rsidRPr="00B758F2">
      <w:rPr>
        <w:rFonts w:asciiTheme="minorHAnsi" w:eastAsia="Calibri" w:hAnsiTheme="minorHAnsi" w:cstheme="minorHAnsi"/>
        <w:sz w:val="24"/>
        <w:szCs w:val="24"/>
        <w:lang w:eastAsia="en-US"/>
      </w:rPr>
      <w:t>01992 899028</w:t>
    </w:r>
  </w:p>
  <w:p w14:paraId="0338F794" w14:textId="77777777" w:rsidR="00B758F2" w:rsidRPr="00B758F2" w:rsidRDefault="00B758F2" w:rsidP="00B758F2">
    <w:pPr>
      <w:jc w:val="right"/>
      <w:rPr>
        <w:rFonts w:asciiTheme="minorHAnsi" w:eastAsia="Calibri" w:hAnsiTheme="minorHAnsi" w:cstheme="minorHAnsi"/>
        <w:sz w:val="24"/>
        <w:szCs w:val="24"/>
        <w:lang w:eastAsia="en-US"/>
      </w:rPr>
    </w:pPr>
    <w:hyperlink r:id="rId2" w:history="1">
      <w:r w:rsidRPr="00B758F2">
        <w:rPr>
          <w:rFonts w:asciiTheme="minorHAnsi" w:eastAsia="Calibri" w:hAnsiTheme="minorHAnsi" w:cstheme="minorHAnsi"/>
          <w:color w:val="467886" w:themeColor="hyperlink"/>
          <w:sz w:val="24"/>
          <w:szCs w:val="24"/>
          <w:u w:val="single"/>
          <w:lang w:eastAsia="en-US"/>
        </w:rPr>
        <w:t>manager@nazeingpreschool.co.uk</w:t>
      </w:r>
    </w:hyperlink>
  </w:p>
  <w:p w14:paraId="3B7E9E6A" w14:textId="77777777" w:rsidR="00B758F2" w:rsidRPr="00B758F2" w:rsidRDefault="00B758F2" w:rsidP="00B758F2">
    <w:pPr>
      <w:jc w:val="right"/>
      <w:rPr>
        <w:rFonts w:asciiTheme="minorHAnsi" w:eastAsia="Calibri" w:hAnsiTheme="minorHAnsi" w:cstheme="minorHAnsi"/>
        <w:sz w:val="24"/>
        <w:szCs w:val="24"/>
        <w:lang w:eastAsia="en-US"/>
      </w:rPr>
    </w:pPr>
    <w:r w:rsidRPr="00B758F2">
      <w:rPr>
        <w:rFonts w:ascii="Calibri" w:eastAsia="Calibri" w:hAnsi="Calibri"/>
        <w:noProof/>
        <w:sz w:val="24"/>
        <w:szCs w:val="24"/>
        <w:lang w:eastAsia="en-US"/>
      </w:rPr>
      <mc:AlternateContent>
        <mc:Choice Requires="wps">
          <w:drawing>
            <wp:anchor distT="0" distB="0" distL="114300" distR="114300" simplePos="0" relativeHeight="251658241" behindDoc="0" locked="0" layoutInCell="1" allowOverlap="1" wp14:anchorId="7BE846FC" wp14:editId="18F83174">
              <wp:simplePos x="0" y="0"/>
              <wp:positionH relativeFrom="column">
                <wp:posOffset>-1352550</wp:posOffset>
              </wp:positionH>
              <wp:positionV relativeFrom="paragraph">
                <wp:posOffset>230505</wp:posOffset>
              </wp:positionV>
              <wp:extent cx="9213850" cy="92710"/>
              <wp:effectExtent l="0" t="0" r="0" b="0"/>
              <wp:wrapThrough wrapText="bothSides">
                <wp:wrapPolygon edited="0">
                  <wp:start x="2858" y="5918"/>
                  <wp:lineTo x="2858" y="14795"/>
                  <wp:lineTo x="18757" y="14795"/>
                  <wp:lineTo x="18757" y="5918"/>
                  <wp:lineTo x="2858" y="5918"/>
                </wp:wrapPolygon>
              </wp:wrapThrough>
              <wp:docPr id="615230721" name="Minus Sign 3"/>
              <wp:cNvGraphicFramePr/>
              <a:graphic xmlns:a="http://schemas.openxmlformats.org/drawingml/2006/main">
                <a:graphicData uri="http://schemas.microsoft.com/office/word/2010/wordprocessingShape">
                  <wps:wsp>
                    <wps:cNvSpPr/>
                    <wps:spPr>
                      <a:xfrm>
                        <a:off x="0" y="0"/>
                        <a:ext cx="9213850" cy="92710"/>
                      </a:xfrm>
                      <a:prstGeom prst="mathMinus">
                        <a:avLst/>
                      </a:prstGeom>
                      <a:solidFill>
                        <a:srgbClr val="7030A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61881FC" w14:textId="77777777" w:rsidR="00B758F2" w:rsidRDefault="00B758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BE846FC" id="Minus Sign 3" o:spid="_x0000_s1026" style="position:absolute;left:0;text-align:left;margin-left:-106.5pt;margin-top:18.15pt;width:725.5pt;height: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13850,927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" adj="-11796480,,5400" path="m1221296,35452r6771258,l7992554,57258r-6771258,l1221296,35452xe" fillcolor="#7030a0" strokecolor="#030e13 [484]" strokeweight="1.5pt">
              <v:stroke joinstyle="miter"/>
              <v:formulas/>
              <v:path arrowok="t" o:connecttype="custom" o:connectlocs="1221296,35452;7992554,35452;7992554,57258;1221296,57258;1221296,35452" o:connectangles="0,0,0,0,0" textboxrect="0,0,9213850,92710"/>
              <v:textbox>
                <w:txbxContent>
                  <w:p w14:paraId="661881FC" w14:textId="77777777" w:rsidR="00B758F2" w:rsidRDefault="00B758F2" w:rsidP="007B6335">
                    <w:pPr>
                      <w:jc w:val="center"/>
                    </w:pPr>
                  </w:p>
                </w:txbxContent>
              </v:textbox>
              <w10:wrap type="through"/>
            </v:shape>
          </w:pict>
        </mc:Fallback>
      </mc:AlternateContent>
    </w:r>
    <w:r w:rsidRPr="00B758F2">
      <w:rPr>
        <w:rFonts w:asciiTheme="minorHAnsi" w:eastAsia="Calibri" w:hAnsiTheme="minorHAnsi" w:cstheme="minorHAnsi"/>
        <w:sz w:val="24"/>
        <w:szCs w:val="24"/>
        <w:lang w:eastAsia="en-US"/>
      </w:rPr>
      <w:t>Manager: Sarah-Jayne Wells</w:t>
    </w:r>
  </w:p>
  <w:p w14:paraId="24EDF9BD" w14:textId="77777777" w:rsidR="00B758F2" w:rsidRDefault="00B75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E15CE"/>
    <w:multiLevelType w:val="hybridMultilevel"/>
    <w:tmpl w:val="FFFFFFFF"/>
    <w:lvl w:ilvl="0" w:tplc="73F642AE">
      <w:start w:val="1"/>
      <w:numFmt w:val="bullet"/>
      <w:lvlText w:val="●"/>
      <w:lvlJc w:val="left"/>
      <w:pPr>
        <w:ind w:left="720" w:hanging="360"/>
      </w:pPr>
    </w:lvl>
    <w:lvl w:ilvl="1" w:tplc="A0F6A30E">
      <w:start w:val="1"/>
      <w:numFmt w:val="bullet"/>
      <w:lvlText w:val="○"/>
      <w:lvlJc w:val="left"/>
      <w:pPr>
        <w:ind w:left="1440" w:hanging="360"/>
      </w:pPr>
    </w:lvl>
    <w:lvl w:ilvl="2" w:tplc="E3E80056">
      <w:start w:val="1"/>
      <w:numFmt w:val="bullet"/>
      <w:lvlText w:val="■"/>
      <w:lvlJc w:val="left"/>
      <w:pPr>
        <w:ind w:left="2160" w:hanging="360"/>
      </w:pPr>
    </w:lvl>
    <w:lvl w:ilvl="3" w:tplc="5184981A">
      <w:start w:val="1"/>
      <w:numFmt w:val="bullet"/>
      <w:lvlText w:val="●"/>
      <w:lvlJc w:val="left"/>
      <w:pPr>
        <w:ind w:left="2880" w:hanging="360"/>
      </w:pPr>
    </w:lvl>
    <w:lvl w:ilvl="4" w:tplc="88B87E58">
      <w:start w:val="1"/>
      <w:numFmt w:val="bullet"/>
      <w:lvlText w:val="○"/>
      <w:lvlJc w:val="left"/>
      <w:pPr>
        <w:ind w:left="3600" w:hanging="360"/>
      </w:pPr>
    </w:lvl>
    <w:lvl w:ilvl="5" w:tplc="523E7FD4">
      <w:start w:val="1"/>
      <w:numFmt w:val="bullet"/>
      <w:lvlText w:val="■"/>
      <w:lvlJc w:val="left"/>
      <w:pPr>
        <w:ind w:left="4320" w:hanging="360"/>
      </w:pPr>
    </w:lvl>
    <w:lvl w:ilvl="6" w:tplc="540A5FD6">
      <w:start w:val="1"/>
      <w:numFmt w:val="bullet"/>
      <w:lvlText w:val="●"/>
      <w:lvlJc w:val="left"/>
      <w:pPr>
        <w:ind w:left="5040" w:hanging="360"/>
      </w:pPr>
    </w:lvl>
    <w:lvl w:ilvl="7" w:tplc="25D4A690">
      <w:start w:val="1"/>
      <w:numFmt w:val="bullet"/>
      <w:lvlText w:val="●"/>
      <w:lvlJc w:val="left"/>
      <w:pPr>
        <w:ind w:left="5760" w:hanging="360"/>
      </w:pPr>
    </w:lvl>
    <w:lvl w:ilvl="8" w:tplc="807C82D2">
      <w:start w:val="1"/>
      <w:numFmt w:val="bullet"/>
      <w:lvlText w:val="●"/>
      <w:lvlJc w:val="left"/>
      <w:pPr>
        <w:ind w:left="6480" w:hanging="360"/>
      </w:pPr>
    </w:lvl>
  </w:abstractNum>
  <w:abstractNum w:abstractNumId="1" w15:restartNumberingAfterBreak="0">
    <w:nsid w:val="5F0B677F"/>
    <w:multiLevelType w:val="hybridMultilevel"/>
    <w:tmpl w:val="FFFFFFFF"/>
    <w:lvl w:ilvl="0" w:tplc="9CBEAD06">
      <w:start w:val="1"/>
      <w:numFmt w:val="bullet"/>
      <w:lvlText w:val="•"/>
      <w:lvlJc w:val="left"/>
      <w:pPr>
        <w:ind w:left="720" w:hanging="360"/>
      </w:pPr>
    </w:lvl>
    <w:lvl w:ilvl="1" w:tplc="5A447754">
      <w:numFmt w:val="decimal"/>
      <w:lvlText w:val=""/>
      <w:lvlJc w:val="left"/>
    </w:lvl>
    <w:lvl w:ilvl="2" w:tplc="72B6170A">
      <w:numFmt w:val="decimal"/>
      <w:lvlText w:val=""/>
      <w:lvlJc w:val="left"/>
    </w:lvl>
    <w:lvl w:ilvl="3" w:tplc="32EE5EDC">
      <w:numFmt w:val="decimal"/>
      <w:lvlText w:val=""/>
      <w:lvlJc w:val="left"/>
    </w:lvl>
    <w:lvl w:ilvl="4" w:tplc="86A84978">
      <w:numFmt w:val="decimal"/>
      <w:lvlText w:val=""/>
      <w:lvlJc w:val="left"/>
    </w:lvl>
    <w:lvl w:ilvl="5" w:tplc="E07EC626">
      <w:numFmt w:val="decimal"/>
      <w:lvlText w:val=""/>
      <w:lvlJc w:val="left"/>
    </w:lvl>
    <w:lvl w:ilvl="6" w:tplc="1B1C622E">
      <w:numFmt w:val="decimal"/>
      <w:lvlText w:val=""/>
      <w:lvlJc w:val="left"/>
    </w:lvl>
    <w:lvl w:ilvl="7" w:tplc="DD8E0C1E">
      <w:numFmt w:val="decimal"/>
      <w:lvlText w:val=""/>
      <w:lvlJc w:val="left"/>
    </w:lvl>
    <w:lvl w:ilvl="8" w:tplc="363C1D10">
      <w:numFmt w:val="decimal"/>
      <w:lvlText w:val=""/>
      <w:lvlJc w:val="left"/>
    </w:lvl>
  </w:abstractNum>
  <w:num w:numId="1" w16cid:durableId="1362052958">
    <w:abstractNumId w:val="0"/>
    <w:lvlOverride w:ilvl="0">
      <w:startOverride w:val="1"/>
    </w:lvlOverride>
  </w:num>
  <w:num w:numId="2" w16cid:durableId="8048086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AD0"/>
    <w:rsid w:val="00026BD1"/>
    <w:rsid w:val="0008018A"/>
    <w:rsid w:val="002E69AC"/>
    <w:rsid w:val="00335504"/>
    <w:rsid w:val="003B6675"/>
    <w:rsid w:val="004B3F86"/>
    <w:rsid w:val="005670BD"/>
    <w:rsid w:val="006A2AD0"/>
    <w:rsid w:val="008317E9"/>
    <w:rsid w:val="008B6482"/>
    <w:rsid w:val="00923F52"/>
    <w:rsid w:val="00945789"/>
    <w:rsid w:val="009F4B6C"/>
    <w:rsid w:val="00AC73DC"/>
    <w:rsid w:val="00B01C7C"/>
    <w:rsid w:val="00B758F2"/>
    <w:rsid w:val="00BE3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F316F3"/>
  <w15:docId w15:val="{94745427-43AE-430E-887E-8247A383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758F2"/>
    <w:pPr>
      <w:tabs>
        <w:tab w:val="center" w:pos="4513"/>
        <w:tab w:val="right" w:pos="9026"/>
      </w:tabs>
    </w:pPr>
  </w:style>
  <w:style w:type="character" w:customStyle="1" w:styleId="HeaderChar">
    <w:name w:val="Header Char"/>
    <w:basedOn w:val="DefaultParagraphFont"/>
    <w:link w:val="Header"/>
    <w:uiPriority w:val="99"/>
    <w:rsid w:val="00B758F2"/>
  </w:style>
  <w:style w:type="paragraph" w:styleId="Footer">
    <w:name w:val="footer"/>
    <w:basedOn w:val="Normal"/>
    <w:link w:val="FooterChar"/>
    <w:uiPriority w:val="99"/>
    <w:unhideWhenUsed/>
    <w:rsid w:val="00B758F2"/>
    <w:pPr>
      <w:tabs>
        <w:tab w:val="center" w:pos="4513"/>
        <w:tab w:val="right" w:pos="9026"/>
      </w:tabs>
    </w:pPr>
  </w:style>
  <w:style w:type="character" w:customStyle="1" w:styleId="FooterChar">
    <w:name w:val="Footer Char"/>
    <w:basedOn w:val="DefaultParagraphFont"/>
    <w:link w:val="Footer"/>
    <w:uiPriority w:val="99"/>
    <w:rsid w:val="00B758F2"/>
  </w:style>
  <w:style w:type="table" w:styleId="TableGrid">
    <w:name w:val="Table Grid"/>
    <w:basedOn w:val="TableNormal"/>
    <w:uiPriority w:val="39"/>
    <w:rsid w:val="004B3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manager@nazeingpreschool.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1946</Words>
  <Characters>11096</Characters>
  <Application>Microsoft Office Word</Application>
  <DocSecurity>4</DocSecurity>
  <Lines>92</Lines>
  <Paragraphs>26</Paragraphs>
  <ScaleCrop>false</ScaleCrop>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Nazeing Pre-School Manager</cp:lastModifiedBy>
  <cp:revision>9</cp:revision>
  <dcterms:created xsi:type="dcterms:W3CDTF">2026-05-17T22:39:00Z</dcterms:created>
  <dcterms:modified xsi:type="dcterms:W3CDTF">2026-09-22T13:35:00Z</dcterms:modified>
</cp:coreProperties>
</file>