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rFonts w:ascii="DM Mono" w:cs="DM Mono" w:eastAsia="DM Mono" w:hAnsi="DM Mono"/>
          <w:b/>
          <w:bCs/>
          <w:color w:val="00C2CB"/>
          <w:sz w:val="18"/>
          <w:szCs w:val="18"/>
        </w:rPr>
        <w:t xml:space="preserve">STRATEGIC PATHWAYS</w:t>
      </w:r>
    </w:p>
    <w:p>
      <w:pPr>
        <w:spacing w:before="300"/>
        <w:jc w:val="center"/>
      </w:pPr>
      <w:r>
        <w:rPr>
          <w:rFonts w:ascii="DM Serif Display" w:cs="DM Serif Display" w:eastAsia="DM Serif Display" w:hAnsi="DM Serif Display"/>
          <w:b/>
          <w:bCs/>
          <w:color w:val="050327"/>
          <w:sz w:val="52"/>
          <w:szCs w:val="52"/>
        </w:rPr>
        <w:t xml:space="preserve">The Human-AI Intelligence Charter™</w:t>
      </w:r>
    </w:p>
    <w:p>
      <w:pPr>
        <w:spacing w:after="0" w:before="200"/>
        <w:jc w:val="center"/>
      </w:pPr>
      <w:r>
        <w:rPr>
          <w:rFonts w:ascii="DM Sans" w:cs="DM Sans" w:eastAsia="DM Sans" w:hAnsi="DM Sans"/>
          <w:i/>
          <w:iCs/>
          <w:color w:val="6B6B6B"/>
          <w:sz w:val="26"/>
          <w:szCs w:val="26"/>
        </w:rPr>
        <w:t xml:space="preserve">Enterprise and Employee Commitment Document</w:t>
      </w:r>
    </w:p>
    <w:p>
      <w:pPr>
        <w:pBdr>
          <w:top w:val="single" w:color="00C2CB" w:sz="8" w:space="12"/>
          <w:bottom w:val="single" w:color="00C2CB" w:sz="8" w:space="12"/>
        </w:pBdr>
        <w:spacing w:before="480"/>
        <w:jc w:val="center"/>
      </w:pPr>
      <w:r>
        <w:rPr>
          <w:rFonts w:ascii="DM Sans" w:cs="DM Sans" w:eastAsia="DM Sans" w:hAnsi="DM Sans"/>
          <w:i/>
          <w:iCs/>
          <w:color w:val="050327"/>
          <w:sz w:val="22"/>
          <w:szCs w:val="22"/>
        </w:rPr>
        <w:t xml:space="preserve">"Humans Amplified by AI. Human authority remains absolute."</w:t>
      </w:r>
    </w:p>
    <w:p>
      <w:pPr>
        <w:spacing w:before="900"/>
        <w:jc w:val="center"/>
      </w:pPr>
      <w:r>
        <w:rPr>
          <w:rFonts w:ascii="DM Sans" w:cs="DM Sans" w:eastAsia="DM Sans" w:hAnsi="DM Sans"/>
          <w:color w:val="1A1A1A"/>
          <w:sz w:val="20"/>
          <w:szCs w:val="20"/>
        </w:rPr>
        <w:t xml:space="preserve">This document sets out what an organisation and its people commit to</w:t>
      </w:r>
    </w:p>
    <w:p>
      <w:pPr>
        <w:spacing w:after="0"/>
        <w:jc w:val="center"/>
      </w:pPr>
      <w:r>
        <w:rPr>
          <w:rFonts w:ascii="DM Sans" w:cs="DM Sans" w:eastAsia="DM Sans" w:hAnsi="DM Sans"/>
          <w:color w:val="1A1A1A"/>
          <w:sz w:val="20"/>
          <w:szCs w:val="20"/>
        </w:rPr>
        <w:t xml:space="preserve">when they adopt AI under the governing principle of the Charter.</w:t>
      </w:r>
    </w:p>
    <w:p>
      <w:pPr>
        <w:spacing w:before="1400"/>
        <w:jc w:val="center"/>
      </w:pPr>
      <w:r>
        <w:rPr>
          <w:rFonts w:ascii="DM Mono" w:cs="DM Mono" w:eastAsia="DM Mono" w:hAnsi="DM Mono"/>
          <w:color w:val="6B6B6B"/>
          <w:sz w:val="18"/>
          <w:szCs w:val="18"/>
        </w:rPr>
        <w:t xml:space="preserve">strategicpathways.asia/charter</w:t>
      </w:r>
    </w:p>
    <w:p>
      <w:r>
        <w:br w:type="page"/>
      </w:r>
    </w:p>
    <w:p>
      <w:pPr>
        <w:sectPr>
          <w:pgSz w:w="12240" w:h="15840" w:orient="portrait"/>
          <w:pgMar w:top="1440" w:right="1350" w:bottom="1440" w:left="1350" w:header="708" w:footer="708" w:gutter="0"/>
          <w:pgNumType/>
          <w:docGrid w:linePitch="360"/>
        </w:sectPr>
      </w:pP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Why This Charter Exists</w:t>
      </w:r>
    </w:p>
    <w:p>
      <w:pPr>
        <w:spacing w:after="160" w:line="300"/>
      </w:pPr>
      <w:r>
        <w:rPr>
          <w:rFonts w:ascii="DM Sans" w:cs="DM Sans" w:eastAsia="DM Sans" w:hAnsi="DM Sans"/>
          <w:i w:val="false"/>
          <w:iCs w:val="false"/>
          <w:color w:val="1A1A1A"/>
          <w:sz w:val="21"/>
          <w:szCs w:val="21"/>
        </w:rPr>
        <w:t xml:space="preserve">AI can process. Only humans can govern. The failure mode of the AI era is not bad AI output. It is humans abdicating judgment in favour of AI speed.</w:t>
      </w:r>
    </w:p>
    <w:p>
      <w:pPr>
        <w:spacing w:after="160" w:line="300"/>
      </w:pPr>
      <w:r>
        <w:rPr>
          <w:rFonts w:ascii="DM Sans" w:cs="DM Sans" w:eastAsia="DM Sans" w:hAnsi="DM Sans"/>
          <w:i w:val="false"/>
          <w:iCs w:val="false"/>
          <w:color w:val="1A1A1A"/>
          <w:sz w:val="21"/>
          <w:szCs w:val="21"/>
        </w:rPr>
        <w:t xml:space="preserve">Most organisations deploy AI into systems that were never designed to receive it. Productivity tools multiply. Workflows remain unchanged. Decisions accelerate without the governance structures required to make acceleration sustainable.</w:t>
      </w:r>
    </w:p>
    <w:p>
      <w:pPr>
        <w:spacing w:after="160" w:line="300"/>
      </w:pPr>
      <w:r>
        <w:rPr>
          <w:rFonts w:ascii="DM Sans" w:cs="DM Sans" w:eastAsia="DM Sans" w:hAnsi="DM Sans"/>
          <w:i w:val="false"/>
          <w:iCs w:val="false"/>
          <w:color w:val="1A1A1A"/>
          <w:sz w:val="21"/>
          <w:szCs w:val="21"/>
        </w:rPr>
        <w:t xml:space="preserve">The result is not intelligent work. It is fragmented automation at scale. AI amplifies what already exists, including the fragmentation. The operating model must precede the technology.</w:t>
      </w:r>
    </w:p>
    <w:p>
      <w:pPr>
        <w:spacing w:after="160" w:line="300"/>
      </w:pPr>
      <w:r>
        <w:rPr>
          <w:rFonts w:ascii="DM Sans" w:cs="DM Sans" w:eastAsia="DM Sans" w:hAnsi="DM Sans"/>
          <w:i w:val="false"/>
          <w:iCs w:val="false"/>
          <w:color w:val="1A1A1A"/>
          <w:sz w:val="21"/>
          <w:szCs w:val="21"/>
        </w:rPr>
        <w:t xml:space="preserve">This Charter exists to be signed, not just read. It commits the enterprise and every employee to a shared standard for how human judgment and AI capability work together.</w:t>
      </w: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The Core Belief</w:t>
      </w:r>
    </w:p>
    <w:p>
      <w:pPr>
        <w:pBdr>
          <w:left w:val="single" w:color="00C2CB" w:sz="18" w:space="12"/>
        </w:pBdr>
        <w:spacing w:after="240" w:before="120" w:line="300"/>
        <w:ind w:left="360"/>
      </w:pPr>
      <w:r>
        <w:rPr>
          <w:rFonts w:ascii="DM Sans" w:cs="DM Sans" w:eastAsia="DM Sans" w:hAnsi="DM Sans"/>
          <w:i/>
          <w:iCs/>
          <w:color w:val="050327"/>
          <w:sz w:val="21"/>
          <w:szCs w:val="21"/>
        </w:rPr>
        <w:t xml:space="preserve">Sustainable growth is achieved when human expertise and AI capabilities operate as a unified system.</w:t>
      </w:r>
      <w:r>
        <w:br/>
        <w:t xml:space="preserve"/>
      </w:r>
      <w:r>
        <w:rPr>
          <w:rFonts w:ascii="DM Sans" w:cs="DM Sans" w:eastAsia="DM Sans" w:hAnsi="DM Sans"/>
          <w:i/>
          <w:iCs/>
          <w:color w:val="050327"/>
          <w:sz w:val="21"/>
          <w:szCs w:val="21"/>
        </w:rPr>
        <w:t xml:space="preserve">AI does not replace human capability. It extends, structures, and accelerates it.</w:t>
      </w:r>
      <w:r>
        <w:br/>
        <w:t xml:space="preserve"/>
      </w:r>
      <w:r>
        <w:rPr>
          <w:rFonts w:ascii="DM Sans" w:cs="DM Sans" w:eastAsia="DM Sans" w:hAnsi="DM Sans"/>
          <w:i/>
          <w:iCs/>
          <w:color w:val="050327"/>
          <w:sz w:val="21"/>
          <w:szCs w:val="21"/>
        </w:rPr>
        <w:t xml:space="preserve">Human authority remains absolute.</w:t>
      </w: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What We Are Committing To</w:t>
      </w:r>
    </w:p>
    <w:p>
      <w:pPr>
        <w:spacing w:after="160" w:line="300"/>
      </w:pPr>
      <w:r>
        <w:rPr>
          <w:rFonts w:ascii="DM Sans" w:cs="DM Sans" w:eastAsia="DM Sans" w:hAnsi="DM Sans"/>
          <w:i w:val="false"/>
          <w:iCs w:val="false"/>
          <w:color w:val="1A1A1A"/>
          <w:sz w:val="21"/>
          <w:szCs w:val="21"/>
        </w:rPr>
        <w:t xml:space="preserve">Endorsing this Charter is not a statement of intent. It is an operating commitment, made at two levels: the enterprise commits to the structures that make responsible AI adoption possible, and each employee commits to the behaviours that make it real day to day.</w:t>
      </w:r>
    </w:p>
    <w:p>
      <w:pPr>
        <w:spacing w:after="140" w:before="320"/>
      </w:pPr>
      <w:r>
        <w:rPr>
          <w:rFonts w:ascii="DM Serif Display" w:cs="DM Serif Display" w:eastAsia="DM Serif Display" w:hAnsi="DM Serif Display"/>
          <w:b/>
          <w:bCs/>
          <w:color w:val="050327"/>
          <w:sz w:val="24"/>
          <w:szCs w:val="24"/>
        </w:rPr>
        <w:t xml:space="preserve">Principle 1 — Enablement</w:t>
      </w:r>
    </w:p>
    <w:p>
      <w:pPr>
        <w:spacing w:after="160" w:line="300"/>
      </w:pPr>
      <w:r>
        <w:rPr>
          <w:rFonts w:ascii="DM Sans" w:cs="DM Sans" w:eastAsia="DM Sans" w:hAnsi="DM Sans"/>
          <w:i w:val="false"/>
          <w:iCs w:val="false"/>
          <w:color w:val="1A1A1A"/>
          <w:sz w:val="21"/>
          <w:szCs w:val="21"/>
        </w:rPr>
        <w:t xml:space="preserve">Integrating AI into an organisation is not a technology project. It is a human transformation. It requires mindset shift, capability development, and structured change management, in that sequence.</w:t>
      </w:r>
    </w:p>
    <w:p>
      <w:pPr>
        <w:spacing w:after="100" w:before="60"/>
      </w:pPr>
      <w:r>
        <w:rPr>
          <w:rFonts w:ascii="DM Mono" w:cs="DM Mono" w:eastAsia="DM Mono" w:hAnsi="DM Mono"/>
          <w:b/>
          <w:bCs/>
          <w:color w:val="00C2CB"/>
          <w:sz w:val="16"/>
          <w:szCs w:val="16"/>
        </w:rPr>
        <w:t xml:space="preserve">ENTERPRISE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Fund and schedule structured AI capability development, not one-off training.</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Sequence change management before tool rollout, not after.</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Name an owner accountable for enablement outcomes, not just deployment dates.</w:t>
      </w:r>
    </w:p>
    <w:p>
      <w:pPr>
        <w:spacing w:after="100" w:before="160"/>
      </w:pPr>
      <w:r>
        <w:rPr>
          <w:rFonts w:ascii="DM Mono" w:cs="DM Mono" w:eastAsia="DM Mono" w:hAnsi="DM Mono"/>
          <w:b/>
          <w:bCs/>
          <w:color w:val="00C2CB"/>
          <w:sz w:val="16"/>
          <w:szCs w:val="16"/>
        </w:rPr>
        <w:t xml:space="preserve">EACH EMPLOYEE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Build my own AI fluency rather than waiting for it to be handed to me.</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Ask when I do not understand how an AI-assisted output was produced.</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Treat capability-building as part of my role, not an optional extra.</w:t>
      </w:r>
    </w:p>
    <w:p>
      <w:pPr>
        <w:spacing w:after="140" w:before="320"/>
      </w:pPr>
      <w:r>
        <w:rPr>
          <w:rFonts w:ascii="DM Serif Display" w:cs="DM Serif Display" w:eastAsia="DM Serif Display" w:hAnsi="DM Serif Display"/>
          <w:b/>
          <w:bCs/>
          <w:color w:val="050327"/>
          <w:sz w:val="24"/>
          <w:szCs w:val="24"/>
        </w:rPr>
        <w:t xml:space="preserve">Principle 2 — Collaboration</w:t>
      </w:r>
    </w:p>
    <w:p>
      <w:pPr>
        <w:spacing w:after="160" w:line="300"/>
      </w:pPr>
      <w:r>
        <w:rPr>
          <w:rFonts w:ascii="DM Sans" w:cs="DM Sans" w:eastAsia="DM Sans" w:hAnsi="DM Sans"/>
          <w:i w:val="false"/>
          <w:iCs w:val="false"/>
          <w:color w:val="1A1A1A"/>
          <w:sz w:val="21"/>
          <w:szCs w:val="21"/>
        </w:rPr>
        <w:t xml:space="preserve">Humans define context, judgment, and intent. AI amplifies analysis, speed, and pattern recognition. This division of function must be deliberately designed, not assumed, not delegated, not discovered through failure.</w:t>
      </w:r>
    </w:p>
    <w:p>
      <w:pPr>
        <w:spacing w:after="100" w:before="60"/>
      </w:pPr>
      <w:r>
        <w:rPr>
          <w:rFonts w:ascii="DM Mono" w:cs="DM Mono" w:eastAsia="DM Mono" w:hAnsi="DM Mono"/>
          <w:b/>
          <w:bCs/>
          <w:color w:val="00C2CB"/>
          <w:sz w:val="16"/>
          <w:szCs w:val="16"/>
        </w:rPr>
        <w:t xml:space="preserve">ENTERPRISE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Define, for every AI-assisted workflow, where human authority begins and ends.</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Design collaboration points into processes rather than leaving them to individual discretion.</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Review and update those boundaries as tools and roles change.</w:t>
      </w:r>
    </w:p>
    <w:p>
      <w:pPr>
        <w:spacing w:after="100" w:before="160"/>
      </w:pPr>
      <w:r>
        <w:rPr>
          <w:rFonts w:ascii="DM Mono" w:cs="DM Mono" w:eastAsia="DM Mono" w:hAnsi="DM Mono"/>
          <w:b/>
          <w:bCs/>
          <w:color w:val="00C2CB"/>
          <w:sz w:val="16"/>
          <w:szCs w:val="16"/>
        </w:rPr>
        <w:t xml:space="preserve">EACH EMPLOYEE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Apply judgment to every AI-generated output before I act on it or pass it on.</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Bring context and intent that the AI does not have.</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Flag workflows where the human/AI boundary is unclear rather than guessing.</w:t>
      </w:r>
    </w:p>
    <w:p>
      <w:pPr>
        <w:spacing w:after="140" w:before="320"/>
      </w:pPr>
      <w:r>
        <w:rPr>
          <w:rFonts w:ascii="DM Serif Display" w:cs="DM Serif Display" w:eastAsia="DM Serif Display" w:hAnsi="DM Serif Display"/>
          <w:b/>
          <w:bCs/>
          <w:color w:val="050327"/>
          <w:sz w:val="24"/>
          <w:szCs w:val="24"/>
        </w:rPr>
        <w:t xml:space="preserve">Principle 3 — Governance</w:t>
      </w:r>
    </w:p>
    <w:p>
      <w:pPr>
        <w:spacing w:after="160" w:line="300"/>
      </w:pPr>
      <w:r>
        <w:rPr>
          <w:rFonts w:ascii="DM Sans" w:cs="DM Sans" w:eastAsia="DM Sans" w:hAnsi="DM Sans"/>
          <w:i w:val="false"/>
          <w:iCs w:val="false"/>
          <w:color w:val="1A1A1A"/>
          <w:sz w:val="21"/>
          <w:szCs w:val="21"/>
        </w:rPr>
        <w:t xml:space="preserve">Trust in AI is not a perception problem. It is a governance problem. Organisations that deploy AI without data governance, usage boundaries, and decision accountability will face failures proportional to their speed of deployment.</w:t>
      </w:r>
    </w:p>
    <w:p>
      <w:pPr>
        <w:spacing w:after="100" w:before="60"/>
      </w:pPr>
      <w:r>
        <w:rPr>
          <w:rFonts w:ascii="DM Mono" w:cs="DM Mono" w:eastAsia="DM Mono" w:hAnsi="DM Mono"/>
          <w:b/>
          <w:bCs/>
          <w:color w:val="00C2CB"/>
          <w:sz w:val="16"/>
          <w:szCs w:val="16"/>
        </w:rPr>
        <w:t xml:space="preserve">ENTERPRISE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Maintain data governance and usage boundaries for every AI system in use.</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Make decision accountability explicit: who is answerable for an AI-assisted decision.</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Treat governance as the architecture that enables faster adoption, not a brake on it.</w:t>
      </w:r>
    </w:p>
    <w:p>
      <w:pPr>
        <w:spacing w:after="100" w:before="160"/>
      </w:pPr>
      <w:r>
        <w:rPr>
          <w:rFonts w:ascii="DM Mono" w:cs="DM Mono" w:eastAsia="DM Mono" w:hAnsi="DM Mono"/>
          <w:b/>
          <w:bCs/>
          <w:color w:val="00C2CB"/>
          <w:sz w:val="16"/>
          <w:szCs w:val="16"/>
        </w:rPr>
        <w:t xml:space="preserve">EACH EMPLOYEE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Follow published data governance and usage boundaries, without exception for convenience.</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Escalate AI outputs that affect a real decision rather than acting on them unreviewed.</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Take personal accountability for decisions I make with AI assistance.</w:t>
      </w:r>
    </w:p>
    <w:p>
      <w:pPr>
        <w:spacing w:after="140" w:before="320"/>
      </w:pPr>
      <w:r>
        <w:rPr>
          <w:rFonts w:ascii="DM Serif Display" w:cs="DM Serif Display" w:eastAsia="DM Serif Display" w:hAnsi="DM Serif Display"/>
          <w:b/>
          <w:bCs/>
          <w:color w:val="050327"/>
          <w:sz w:val="24"/>
          <w:szCs w:val="24"/>
        </w:rPr>
        <w:t xml:space="preserve">Governance Extends To: Sustainable AI</w:t>
      </w:r>
    </w:p>
    <w:p>
      <w:pPr>
        <w:spacing w:after="160" w:line="300"/>
      </w:pPr>
      <w:r>
        <w:rPr>
          <w:rFonts w:ascii="DM Sans" w:cs="DM Sans" w:eastAsia="DM Sans" w:hAnsi="DM Sans"/>
          <w:i w:val="false"/>
          <w:iCs w:val="false"/>
          <w:color w:val="1A1A1A"/>
          <w:sz w:val="21"/>
          <w:szCs w:val="21"/>
        </w:rPr>
        <w:t xml:space="preserve">Governance includes what AI costs to run, not only what it decides. Compute has an environmental footprint, and responsible use means treating that footprint as a decision, not an afterthought.</w:t>
      </w:r>
    </w:p>
    <w:p>
      <w:pPr>
        <w:spacing w:after="100" w:before="60"/>
      </w:pPr>
      <w:r>
        <w:rPr>
          <w:rFonts w:ascii="DM Mono" w:cs="DM Mono" w:eastAsia="DM Mono" w:hAnsi="DM Mono"/>
          <w:b/>
          <w:bCs/>
          <w:color w:val="00C2CB"/>
          <w:sz w:val="16"/>
          <w:szCs w:val="16"/>
        </w:rPr>
        <w:t xml:space="preserve">ENTERPRISE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Track and disclose the environmental footprint of the AI systems it deploys at scale.</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Right-size models to the task, and require justification before defaulting to frontier-scale compute.</w:t>
      </w:r>
    </w:p>
    <w:p>
      <w:pPr>
        <w:spacing w:after="100" w:before="160"/>
      </w:pPr>
      <w:r>
        <w:rPr>
          <w:rFonts w:ascii="DM Mono" w:cs="DM Mono" w:eastAsia="DM Mono" w:hAnsi="DM Mono"/>
          <w:b/>
          <w:bCs/>
          <w:color w:val="00C2CB"/>
          <w:sz w:val="16"/>
          <w:szCs w:val="16"/>
        </w:rPr>
        <w:t xml:space="preserve">EACH EMPLOYEE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Avoid using AI compute for non-essential or vanity tasks.</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Flag wasteful default usage patterns rather than treating heavier compute as automatically better.</w:t>
      </w:r>
    </w:p>
    <w:p>
      <w:pPr>
        <w:spacing w:after="140" w:before="320"/>
      </w:pPr>
      <w:r>
        <w:rPr>
          <w:rFonts w:ascii="DM Serif Display" w:cs="DM Serif Display" w:eastAsia="DM Serif Display" w:hAnsi="DM Serif Display"/>
          <w:b/>
          <w:bCs/>
          <w:color w:val="050327"/>
          <w:sz w:val="24"/>
          <w:szCs w:val="24"/>
        </w:rPr>
        <w:t xml:space="preserve">Governance Extends To: Harmful AI</w:t>
      </w:r>
    </w:p>
    <w:p>
      <w:pPr>
        <w:spacing w:after="160" w:line="300"/>
      </w:pPr>
      <w:r>
        <w:rPr>
          <w:rFonts w:ascii="DM Sans" w:cs="DM Sans" w:eastAsia="DM Sans" w:hAnsi="DM Sans"/>
          <w:i w:val="false"/>
          <w:iCs w:val="false"/>
          <w:color w:val="1A1A1A"/>
          <w:sz w:val="21"/>
          <w:szCs w:val="21"/>
        </w:rPr>
        <w:t xml:space="preserve">Governance includes what AI is used to do to people, not only what it does for them. Deception, manipulation, and polarisation are governance failures, whether or not they were intended.</w:t>
      </w:r>
    </w:p>
    <w:p>
      <w:pPr>
        <w:spacing w:after="100" w:before="60"/>
      </w:pPr>
      <w:r>
        <w:rPr>
          <w:rFonts w:ascii="DM Mono" w:cs="DM Mono" w:eastAsia="DM Mono" w:hAnsi="DM Mono"/>
          <w:b/>
          <w:bCs/>
          <w:color w:val="00C2CB"/>
          <w:sz w:val="16"/>
          <w:szCs w:val="16"/>
        </w:rPr>
        <w:t xml:space="preserve">ENTERPRISE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Prohibit AI-enabled deception, manipulation, or polarising use, and test for these risks before and after deployment.</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Disclose clearly when a person is interacting with AI rather than a human.</w:t>
      </w:r>
    </w:p>
    <w:p>
      <w:pPr>
        <w:spacing w:after="100" w:before="160"/>
      </w:pPr>
      <w:r>
        <w:rPr>
          <w:rFonts w:ascii="DM Mono" w:cs="DM Mono" w:eastAsia="DM Mono" w:hAnsi="DM Mono"/>
          <w:b/>
          <w:bCs/>
          <w:color w:val="00C2CB"/>
          <w:sz w:val="16"/>
          <w:szCs w:val="16"/>
        </w:rPr>
        <w:t xml:space="preserve">EACH EMPLOYEE COMMITS TO</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Never use AI to impersonate, mislead, or manufacture false consensus.</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Identify AI-generated content as such where a reasonable person would otherwise assume it was human-made.</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Report outputs or uses that appear manipulative or deceptive, including my own.</w:t>
      </w: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How This Charter Is Enforced</w:t>
      </w:r>
    </w:p>
    <w:p>
      <w:pPr>
        <w:spacing w:after="160" w:line="300"/>
      </w:pPr>
      <w:r>
        <w:rPr>
          <w:rFonts w:ascii="DM Sans" w:cs="DM Sans" w:eastAsia="DM Sans" w:hAnsi="DM Sans"/>
          <w:i w:val="false"/>
          <w:iCs w:val="false"/>
          <w:color w:val="1A1A1A"/>
          <w:sz w:val="21"/>
          <w:szCs w:val="21"/>
        </w:rPr>
        <w:t xml:space="preserve">A charter that is only read is a values statement. A charter that is signed, owned, and reviewed is a governance instrument. This Charter is held to the following standard:</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Named accountability: every AI-assisted decision of consequence has a named human owner.</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Documented review: Charter adherence is reviewed on a defined cadence, not assumed.</w:t>
      </w:r>
    </w:p>
    <w:p>
      <w:pPr>
        <w:spacing w:after="90"/>
        <w:ind w:left="200" w:hanging="200"/>
      </w:pPr>
      <w:r>
        <w:rPr>
          <w:rFonts w:ascii="DM Sans" w:cs="DM Sans" w:eastAsia="DM Sans" w:hAnsi="DM Sans"/>
          <w:b/>
          <w:bCs/>
          <w:color w:val="00C2CB"/>
          <w:sz w:val="21"/>
          <w:szCs w:val="21"/>
        </w:rPr>
        <w:t xml:space="preserve">— </w:t>
      </w:r>
      <w:r>
        <w:rPr>
          <w:rFonts w:ascii="DM Sans" w:cs="DM Sans" w:eastAsia="DM Sans" w:hAnsi="DM Sans"/>
          <w:color w:val="1A1A1A"/>
          <w:sz w:val="21"/>
          <w:szCs w:val="21"/>
        </w:rPr>
        <w:t xml:space="preserve">Audit trail: approvals, exceptions, and incidents are logged and available for review.</w:t>
      </w:r>
    </w:p>
    <w:p>
      <w:pPr>
        <w:spacing w:after="100" w:before="200"/>
      </w:pPr>
      <w:r>
        <w:rPr>
          <w:rFonts w:ascii="DM Sans" w:cs="DM Sans" w:eastAsia="DM Sans" w:hAnsi="DM Sans"/>
          <w:b/>
          <w:bCs/>
          <w:color w:val="050327"/>
          <w:sz w:val="20"/>
          <w:szCs w:val="20"/>
        </w:rPr>
        <w:t xml:space="preserve">External Alignment</w:t>
      </w:r>
    </w:p>
    <w:p>
      <w:pPr>
        <w:spacing w:after="160" w:line="300"/>
      </w:pPr>
      <w:r>
        <w:rPr>
          <w:rFonts w:ascii="DM Sans" w:cs="DM Sans" w:eastAsia="DM Sans" w:hAnsi="DM Sans"/>
          <w:i w:val="false"/>
          <w:iCs w:val="false"/>
          <w:color w:val="1A1A1A"/>
          <w:sz w:val="21"/>
          <w:szCs w:val="21"/>
        </w:rPr>
        <w:t xml:space="preserve">This Charter is consistent with the direction of the leading external standards for AI governance, including the NIST AI Risk Management Framework, ISO/IEC 42001, the EU AI Act's AI literacy and transparency obligations, and the UNESCO Recommendation on the Ethics of AI. Endorsing the Charter positions an organisation ahead of these requirements, not merely compliant with them.</w:t>
      </w: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The Common Standard</w:t>
      </w:r>
    </w:p>
    <w:p>
      <w:pPr>
        <w:spacing w:after="160" w:line="300"/>
      </w:pPr>
      <w:r>
        <w:rPr>
          <w:rFonts w:ascii="DM Sans" w:cs="DM Sans" w:eastAsia="DM Sans" w:hAnsi="DM Sans"/>
          <w:i w:val="false"/>
          <w:iCs w:val="false"/>
          <w:color w:val="1A1A1A"/>
          <w:sz w:val="21"/>
          <w:szCs w:val="21"/>
        </w:rPr>
        <w:t xml:space="preserve">Every system, team, and individual operating under this Charter is held to the same standard:</w:t>
      </w:r>
    </w:p>
    <w:p>
      <w:pPr>
        <w:pBdr>
          <w:left w:val="single" w:color="00C2CB" w:sz="18" w:space="12"/>
        </w:pBdr>
        <w:spacing w:after="240" w:before="120" w:line="300"/>
        <w:ind w:left="360"/>
      </w:pPr>
      <w:r>
        <w:rPr>
          <w:rFonts w:ascii="DM Sans" w:cs="DM Sans" w:eastAsia="DM Sans" w:hAnsi="DM Sans"/>
          <w:i/>
          <w:iCs/>
          <w:color w:val="050327"/>
          <w:sz w:val="21"/>
          <w:szCs w:val="21"/>
        </w:rPr>
        <w:t xml:space="preserve">Structured intelligence precedes execution.</w:t>
      </w:r>
      <w:r>
        <w:br/>
        <w:t xml:space="preserve"/>
      </w:r>
      <w:r>
        <w:rPr>
          <w:rFonts w:ascii="DM Sans" w:cs="DM Sans" w:eastAsia="DM Sans" w:hAnsi="DM Sans"/>
          <w:i/>
          <w:iCs/>
          <w:color w:val="050327"/>
          <w:sz w:val="21"/>
          <w:szCs w:val="21"/>
        </w:rPr>
        <w:t xml:space="preserve">Human authority governs every decision.</w:t>
      </w:r>
      <w:r>
        <w:br/>
        <w:t xml:space="preserve"/>
      </w:r>
      <w:r>
        <w:rPr>
          <w:rFonts w:ascii="DM Sans" w:cs="DM Sans" w:eastAsia="DM Sans" w:hAnsi="DM Sans"/>
          <w:i/>
          <w:iCs/>
          <w:color w:val="050327"/>
          <w:sz w:val="21"/>
          <w:szCs w:val="21"/>
        </w:rPr>
        <w:t xml:space="preserve">AI extends capability without replacing judgment.</w:t>
      </w: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Enterprise Endorsement</w:t>
      </w:r>
    </w:p>
    <w:p>
      <w:pPr>
        <w:spacing w:after="160" w:line="300"/>
      </w:pPr>
      <w:r>
        <w:rPr>
          <w:rFonts w:ascii="DM Sans" w:cs="DM Sans" w:eastAsia="DM Sans" w:hAnsi="DM Sans"/>
          <w:i w:val="false"/>
          <w:iCs w:val="false"/>
          <w:color w:val="1A1A1A"/>
          <w:sz w:val="21"/>
          <w:szCs w:val="21"/>
        </w:rPr>
        <w:t xml:space="preserve">On behalf of the organisation named below, we adopt the Human-AI Intelligence Charter™ as the governing principle for how AI is deployed, and commit to the enterprise obligations set out in this document.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ORGANISATION NAME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AUTHORISED SIGNATORY — NAME AND TITLE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SIGNATURE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DATE</w:t>
            </w:r>
          </w:p>
        </w:tc>
      </w:tr>
    </w:tbl>
    <w:p>
      <w:r>
        <w:br w:type="page"/>
      </w:r>
    </w:p>
    <w:p>
      <w:pPr>
        <w:pBdr>
          <w:bottom w:val="single" w:color="00C2CB" w:sz="4" w:space="6"/>
        </w:pBdr>
        <w:spacing w:after="200" w:before="480"/>
      </w:pPr>
      <w:r>
        <w:rPr>
          <w:rFonts w:ascii="DM Serif Display" w:cs="DM Serif Display" w:eastAsia="DM Serif Display" w:hAnsi="DM Serif Display"/>
          <w:b/>
          <w:bCs/>
          <w:color w:val="050327"/>
          <w:sz w:val="30"/>
          <w:szCs w:val="30"/>
        </w:rPr>
        <w:t xml:space="preserve">Employee Commitment</w:t>
      </w:r>
    </w:p>
    <w:p>
      <w:pPr>
        <w:spacing w:after="160" w:line="300"/>
      </w:pPr>
      <w:r>
        <w:rPr>
          <w:rFonts w:ascii="DM Sans" w:cs="DM Sans" w:eastAsia="DM Sans" w:hAnsi="DM Sans"/>
          <w:i w:val="false"/>
          <w:iCs w:val="false"/>
          <w:color w:val="1A1A1A"/>
          <w:sz w:val="21"/>
          <w:szCs w:val="21"/>
        </w:rPr>
        <w:t xml:space="preserve">I have read the Human-AI Intelligence Charter™ and commit, in my own role, to the employee obligations set out in this document, under each of the three principles: Enablement, Collaboration, and Governance.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EMPLOYEE NAME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ROLE / DEPARTMENT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SIGNATURE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tcPr>
          <w:p>
            <w:pPr>
              <w:pBdr>
                <w:bottom w:val="single" w:color="999999" w:sz="4" w:space="4"/>
              </w:pBdr>
              <w:spacing w:after="20" w:before="260"/>
            </w:pPr>
            <w:r>
              <w:rPr>
                <w:rFonts w:ascii="DM Sans" w:cs="DM Sans" w:eastAsia="DM Sans" w:hAnsi="DM Sans"/>
                <w:sz w:val="21"/>
                <w:szCs w:val="21"/>
              </w:rPr>
              <w:t xml:space="preserve"> </w:t>
            </w:r>
          </w:p>
          <w:p>
            <w:pPr>
              <w:spacing w:after="200"/>
            </w:pPr>
            <w:r>
              <w:rPr>
                <w:rFonts w:ascii="DM Mono" w:cs="DM Mono" w:eastAsia="DM Mono" w:hAnsi="DM Mono"/>
                <w:color w:val="6B6B6B"/>
                <w:sz w:val="16"/>
                <w:szCs w:val="16"/>
              </w:rPr>
              <w:t xml:space="preserve">DATE</w:t>
            </w:r>
          </w:p>
        </w:tc>
      </w:tr>
    </w:tbl>
    <w:p>
      <w:pPr>
        <w:pBdr>
          <w:top w:val="single" w:color="00C2CB" w:sz="4" w:space="10"/>
        </w:pBdr>
        <w:spacing w:before="600"/>
      </w:pPr>
      <w:r>
        <w:rPr>
          <w:rFonts w:ascii="DM Sans" w:cs="DM Sans" w:eastAsia="DM Sans" w:hAnsi="DM Sans"/>
          <w:sz w:val="4"/>
          <w:szCs w:val="4"/>
        </w:rPr>
        <w:t xml:space="preserve"> </w:t>
      </w:r>
    </w:p>
    <w:p>
      <w:pPr>
        <w:spacing w:before="300"/>
        <w:jc w:val="center"/>
      </w:pPr>
      <w:r>
        <w:rPr>
          <w:rFonts w:ascii="DM Sans" w:cs="DM Sans" w:eastAsia="DM Sans" w:hAnsi="DM Sans"/>
          <w:i/>
          <w:iCs/>
          <w:color w:val="050327"/>
          <w:sz w:val="21"/>
          <w:szCs w:val="21"/>
        </w:rPr>
        <w:t xml:space="preserve">"I have built it at the scale of one. The principles do not change at the scale of a thousand."</w:t>
      </w:r>
    </w:p>
    <w:p>
      <w:pPr>
        <w:spacing w:after="300"/>
        <w:jc w:val="center"/>
      </w:pPr>
      <w:r>
        <w:rPr>
          <w:rFonts w:ascii="DM Sans" w:cs="DM Sans" w:eastAsia="DM Sans" w:hAnsi="DM Sans"/>
          <w:color w:val="6B6B6B"/>
          <w:sz w:val="20"/>
          <w:szCs w:val="20"/>
        </w:rPr>
        <w:t xml:space="preserve">— Marc A. Rémond</w:t>
      </w:r>
    </w:p>
    <w:p>
      <w:pPr>
        <w:jc w:val="center"/>
      </w:pPr>
      <w:r>
        <w:rPr>
          <w:rFonts w:ascii="DM Mono" w:cs="DM Mono" w:eastAsia="DM Mono" w:hAnsi="DM Mono"/>
          <w:color w:val="6B6B6B"/>
          <w:sz w:val="16"/>
          <w:szCs w:val="16"/>
        </w:rPr>
        <w:t xml:space="preserve">Strategic Pathways  ·  strategicpathways.asia/charter</w:t>
      </w:r>
    </w:p>
    <w:sectPr>
      <w:pgSz w:w="12240" w:h="15840" w:orient="portrait"/>
      <w:pgMar w:top="1350" w:right="1350" w:bottom="13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2026-08-14T04:53:14.749Z</dcterms:created>
  <dcterms:modified xsi:type="dcterms:W3CDTF">2026-08-14T04:53:14.749Z</dcterms:modified>
</cp:coreProperties>
</file>

<file path=docProps/custom.xml><?xml version="1.0" encoding="utf-8"?>
<Properties xmlns="http://schemas.openxmlformats.org/officeDocument/2006/custom-properties" xmlns:vt="http://schemas.openxmlformats.org/officeDocument/2006/docPropsVTypes"/>
</file>