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F1AF" w14:textId="395B0427" w:rsidR="0073483E" w:rsidRDefault="0073483E" w:rsidP="0038400F">
      <w:pPr>
        <w:pStyle w:val="NoSpacing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10"/>
        <w:gridCol w:w="3690"/>
        <w:gridCol w:w="5670"/>
        <w:gridCol w:w="90"/>
        <w:gridCol w:w="630"/>
      </w:tblGrid>
      <w:tr w:rsidR="0038400F" w14:paraId="658F6BB1" w14:textId="77777777" w:rsidTr="00193228">
        <w:trPr>
          <w:trHeight w:hRule="exact" w:val="1620"/>
        </w:trPr>
        <w:tc>
          <w:tcPr>
            <w:tcW w:w="630" w:type="dxa"/>
            <w:vAlign w:val="center"/>
          </w:tcPr>
          <w:p w14:paraId="5E2D3FB4" w14:textId="77777777" w:rsidR="0038400F" w:rsidRDefault="0038400F"/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8F1BF73" w14:textId="77777777" w:rsidR="0038400F" w:rsidRDefault="0038400F"/>
        </w:tc>
        <w:tc>
          <w:tcPr>
            <w:tcW w:w="9450" w:type="dxa"/>
            <w:gridSpan w:val="3"/>
            <w:shd w:val="clear" w:color="auto" w:fill="F2F2F2" w:themeFill="background1" w:themeFillShade="F2"/>
            <w:vAlign w:val="center"/>
          </w:tcPr>
          <w:p w14:paraId="38EE4B7F" w14:textId="3B6420BE" w:rsidR="0038400F" w:rsidRPr="00BA77C1" w:rsidRDefault="00466FEC" w:rsidP="00BA77C1">
            <w:pPr>
              <w:pStyle w:val="Heading1"/>
              <w:jc w:val="center"/>
              <w:rPr>
                <w:b/>
                <w:bCs/>
                <w:color w:val="0070C0"/>
                <w:sz w:val="48"/>
                <w:szCs w:val="36"/>
              </w:rPr>
            </w:pPr>
            <w:r w:rsidRPr="00BA77C1">
              <w:rPr>
                <w:b/>
                <w:bCs/>
                <w:color w:val="0070C0"/>
                <w:sz w:val="48"/>
                <w:szCs w:val="36"/>
              </w:rPr>
              <w:t>South Texas Association of School Maintenance Officials</w:t>
            </w:r>
          </w:p>
          <w:p w14:paraId="3D4A5733" w14:textId="3617D662" w:rsidR="0038400F" w:rsidRPr="0038400F" w:rsidRDefault="00466FEC" w:rsidP="0038400F">
            <w:pPr>
              <w:pStyle w:val="Heading2"/>
            </w:pPr>
            <w:r>
              <w:t>9/23/25</w:t>
            </w:r>
          </w:p>
        </w:tc>
        <w:tc>
          <w:tcPr>
            <w:tcW w:w="630" w:type="dxa"/>
            <w:vAlign w:val="center"/>
          </w:tcPr>
          <w:p w14:paraId="680010BF" w14:textId="77777777" w:rsidR="0038400F" w:rsidRDefault="0038400F" w:rsidP="00BA77C1">
            <w:pPr>
              <w:jc w:val="center"/>
            </w:pPr>
          </w:p>
        </w:tc>
      </w:tr>
      <w:tr w:rsidR="0038400F" w14:paraId="68F34B3E" w14:textId="77777777" w:rsidTr="00BA77C1">
        <w:trPr>
          <w:trHeight w:hRule="exact" w:val="567"/>
        </w:trPr>
        <w:tc>
          <w:tcPr>
            <w:tcW w:w="630" w:type="dxa"/>
            <w:vAlign w:val="center"/>
          </w:tcPr>
          <w:p w14:paraId="3E4391A2" w14:textId="77777777" w:rsidR="0038400F" w:rsidRDefault="0038400F"/>
        </w:tc>
        <w:tc>
          <w:tcPr>
            <w:tcW w:w="810" w:type="dxa"/>
            <w:vAlign w:val="center"/>
          </w:tcPr>
          <w:p w14:paraId="4136BD22" w14:textId="77777777" w:rsidR="00BA77C1" w:rsidRPr="00BA77C1" w:rsidRDefault="00BA77C1" w:rsidP="00BA77C1"/>
        </w:tc>
        <w:tc>
          <w:tcPr>
            <w:tcW w:w="3690" w:type="dxa"/>
            <w:vAlign w:val="center"/>
          </w:tcPr>
          <w:p w14:paraId="6C028D8D" w14:textId="77777777" w:rsidR="0038400F" w:rsidRDefault="0038400F" w:rsidP="0038400F"/>
        </w:tc>
        <w:tc>
          <w:tcPr>
            <w:tcW w:w="6390" w:type="dxa"/>
            <w:gridSpan w:val="3"/>
            <w:vAlign w:val="center"/>
          </w:tcPr>
          <w:p w14:paraId="38FD5003" w14:textId="77777777" w:rsidR="0038400F" w:rsidRDefault="0038400F"/>
        </w:tc>
      </w:tr>
      <w:tr w:rsidR="00890EE8" w14:paraId="65548F3A" w14:textId="77777777" w:rsidTr="00F519F7">
        <w:tc>
          <w:tcPr>
            <w:tcW w:w="630" w:type="dxa"/>
          </w:tcPr>
          <w:p w14:paraId="21E5B798" w14:textId="77777777" w:rsidR="00890EE8" w:rsidRDefault="00890EE8"/>
        </w:tc>
        <w:tc>
          <w:tcPr>
            <w:tcW w:w="10170" w:type="dxa"/>
            <w:gridSpan w:val="3"/>
          </w:tcPr>
          <w:p w14:paraId="1AABB362" w14:textId="77F66DA2" w:rsidR="00BA77C1" w:rsidRPr="000C3888" w:rsidRDefault="00BA77C1" w:rsidP="00BA77C1">
            <w:pPr>
              <w:jc w:val="center"/>
              <w:rPr>
                <w:b/>
                <w:bCs/>
                <w:sz w:val="24"/>
                <w:szCs w:val="24"/>
              </w:rPr>
            </w:pPr>
            <w:r w:rsidRPr="000C3888">
              <w:rPr>
                <w:b/>
                <w:bCs/>
                <w:sz w:val="24"/>
                <w:szCs w:val="24"/>
              </w:rPr>
              <w:t>2025 Summer Conference</w:t>
            </w:r>
          </w:p>
          <w:p w14:paraId="04C1183E" w14:textId="73A86A04" w:rsidR="000C3888" w:rsidRPr="00193228" w:rsidRDefault="00BA77C1" w:rsidP="00193228">
            <w:pPr>
              <w:jc w:val="center"/>
              <w:rPr>
                <w:b/>
                <w:bCs/>
                <w:sz w:val="24"/>
                <w:szCs w:val="24"/>
              </w:rPr>
            </w:pPr>
            <w:r w:rsidRPr="000C3888">
              <w:rPr>
                <w:b/>
                <w:bCs/>
                <w:sz w:val="24"/>
                <w:szCs w:val="24"/>
              </w:rPr>
              <w:t>Executive Summary</w:t>
            </w:r>
          </w:p>
        </w:tc>
        <w:tc>
          <w:tcPr>
            <w:tcW w:w="720" w:type="dxa"/>
            <w:gridSpan w:val="2"/>
          </w:tcPr>
          <w:p w14:paraId="7ECBA3B7" w14:textId="77777777" w:rsidR="00890EE8" w:rsidRDefault="00890EE8"/>
        </w:tc>
      </w:tr>
      <w:tr w:rsidR="00890EE8" w14:paraId="0D4F796D" w14:textId="77777777" w:rsidTr="0082709F">
        <w:trPr>
          <w:trHeight w:val="6624"/>
        </w:trPr>
        <w:tc>
          <w:tcPr>
            <w:tcW w:w="630" w:type="dxa"/>
          </w:tcPr>
          <w:p w14:paraId="4B68220A" w14:textId="77777777" w:rsidR="00890EE8" w:rsidRPr="000C3888" w:rsidRDefault="00890EE8">
            <w:pPr>
              <w:rPr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14:paraId="527D493E" w14:textId="34743B47" w:rsidR="00890EE8" w:rsidRPr="000C3888" w:rsidRDefault="000C3888" w:rsidP="00890EE8">
            <w:pPr>
              <w:rPr>
                <w:sz w:val="24"/>
                <w:szCs w:val="24"/>
              </w:rPr>
            </w:pPr>
            <w:r w:rsidRPr="000C3888">
              <w:rPr>
                <w:b/>
                <w:bCs/>
                <w:sz w:val="24"/>
                <w:szCs w:val="24"/>
              </w:rPr>
              <w:t>Introduction</w:t>
            </w:r>
            <w:r w:rsidRPr="000C3888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This was the 13</w:t>
            </w:r>
            <w:r w:rsidRPr="000C388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annual summer conference conducted at the Convention Center </w:t>
            </w:r>
            <w:r w:rsidR="00EA0480">
              <w:rPr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 xml:space="preserve"> South Padre Island. The host hotel was the Holiday Inn Resort on 100 S. Padre Blvd.  </w:t>
            </w:r>
            <w:r w:rsidR="00C2224B">
              <w:rPr>
                <w:sz w:val="24"/>
                <w:szCs w:val="24"/>
              </w:rPr>
              <w:t xml:space="preserve">The hotel is selected based on bids initiated by the Convention Center staff.  </w:t>
            </w:r>
            <w:r>
              <w:rPr>
                <w:sz w:val="24"/>
                <w:szCs w:val="24"/>
              </w:rPr>
              <w:t>The conference was held July 16-17</w:t>
            </w:r>
            <w:r w:rsidRPr="000C388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, a Wednesday/Thursday.  This time frame has been used for several </w:t>
            </w:r>
            <w:r w:rsidR="00193228">
              <w:rPr>
                <w:sz w:val="24"/>
                <w:szCs w:val="24"/>
              </w:rPr>
              <w:t>years,</w:t>
            </w:r>
            <w:r>
              <w:rPr>
                <w:sz w:val="24"/>
                <w:szCs w:val="24"/>
              </w:rPr>
              <w:t xml:space="preserve"> being that it typically does not conflict with TASBO’s Summer Conference and given summer work schedules is the best time to schedule it.</w:t>
            </w:r>
            <w:r w:rsidR="00C2224B">
              <w:rPr>
                <w:sz w:val="24"/>
                <w:szCs w:val="24"/>
              </w:rPr>
              <w:t xml:space="preserve">  </w:t>
            </w:r>
          </w:p>
          <w:p w14:paraId="5D2C5AEF" w14:textId="50F96FEF" w:rsidR="00890EE8" w:rsidRDefault="00C2224B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24B">
              <w:rPr>
                <w:b/>
                <w:bCs/>
                <w:color w:val="000000" w:themeColor="text1"/>
                <w:sz w:val="24"/>
                <w:szCs w:val="24"/>
              </w:rPr>
              <w:t>Scheduling.</w:t>
            </w:r>
            <w:r w:rsidRPr="00C2224B">
              <w:rPr>
                <w:b/>
                <w:bCs/>
                <w:sz w:val="24"/>
                <w:szCs w:val="24"/>
              </w:rPr>
              <w:t xml:space="preserve">  </w:t>
            </w:r>
            <w:r w:rsidRPr="00C222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It is a two-day conference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that includes 8- </w:t>
            </w:r>
            <w:proofErr w:type="gramStart"/>
            <w:r w:rsidR="0019322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45 minute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presentations, </w:t>
            </w:r>
            <w:proofErr w:type="gramStart"/>
            <w:r w:rsidR="0019322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 minute</w:t>
            </w:r>
            <w:proofErr w:type="gramEnd"/>
            <w:r w:rsidR="0019322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breaks,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 two-hour bay cruise, a catered luncheon, a trade show and awarding of door prizes at the end.</w:t>
            </w:r>
          </w:p>
          <w:p w14:paraId="41E750D6" w14:textId="77777777" w:rsidR="00C2224B" w:rsidRDefault="00C2224B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63A16F2" w14:textId="77777777" w:rsidR="00EA0480" w:rsidRDefault="00C2224B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Participants. 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We had a total of 144 registered participants; this includes school folks, non-profits and our vendors.  </w:t>
            </w:r>
          </w:p>
          <w:p w14:paraId="12D2A077" w14:textId="3668B63F" w:rsidR="00C2224B" w:rsidRDefault="00C2224B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The </w:t>
            </w:r>
            <w:r w:rsidR="0073483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educational entitie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 represented included</w:t>
            </w:r>
            <w:r w:rsidR="00EA04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(12)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 Brownsville ISD, Donna ISD, </w:t>
            </w:r>
            <w:r w:rsidR="00EA04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Harris County Dept of Education,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Mission CISD, Pharr-San Juan Alamo, Saint Joseph Academy, San Benito CISD, San Perlita ISD, South Texas College, South Texas ISD, UT-RGV</w:t>
            </w:r>
            <w:r w:rsidR="00EA04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Zapata CISD</w:t>
            </w:r>
            <w:r w:rsidR="00EA04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2705ACE0" w14:textId="77777777" w:rsidR="00EA0480" w:rsidRDefault="00EA0480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A6E6F38" w14:textId="77777777" w:rsidR="00EA0480" w:rsidRDefault="00EA0480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Presenters. 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Included, United Rentals, Incident IQ,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GoJo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Industries, Kings Clean, Complete Foundation Repairs, Harvest Innovative Solutions, SBDINC/DeWalt, Pelican Wireless and UT-RGV Economic Development</w:t>
            </w:r>
          </w:p>
          <w:p w14:paraId="19DFD6BE" w14:textId="77777777" w:rsidR="00EA0480" w:rsidRDefault="00EA0480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DD9D468" w14:textId="0EF6735C" w:rsidR="00EA0480" w:rsidRDefault="00EA0480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531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Trade Show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 There were 40 tables.  </w:t>
            </w:r>
            <w:r w:rsidR="008B531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This and the sponsorships are the primary source of revenue for the organization’s operations. 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Vendors purchased 38 tables and 2 were reserved for invited </w:t>
            </w:r>
            <w:r w:rsidR="008B531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entities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 </w:t>
            </w:r>
            <w:r w:rsidR="008B531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 trade show is approximately 2 hours long.  Schools are required to visit each of the stations to be eligible for the door prize drawings at the end of the show.</w:t>
            </w:r>
          </w:p>
          <w:p w14:paraId="3842662C" w14:textId="77777777" w:rsidR="008B5310" w:rsidRDefault="008B5310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072B92D" w14:textId="77777777" w:rsidR="008B5310" w:rsidRDefault="008B5310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531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Sponsors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 This year we had 11 sponsors.  They included: Incident IQ, United Rentals, LPS Green Technologies, TIPS, Terracon Consultants, Gulf Coast Paper, TASBO, Choice Partners, Salto Systems, Raba Kistner Inc., and A1 Facility Services. </w:t>
            </w:r>
          </w:p>
          <w:p w14:paraId="50882842" w14:textId="77777777" w:rsidR="008B5310" w:rsidRDefault="008B5310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725BCCC" w14:textId="77777777" w:rsidR="008B5310" w:rsidRDefault="008B5310" w:rsidP="00C2224B">
            <w:pPr>
              <w:pStyle w:val="Quo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531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Financial Results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 </w:t>
            </w:r>
          </w:p>
          <w:p w14:paraId="2E82DE3F" w14:textId="4226E91E" w:rsidR="008B5310" w:rsidRDefault="008B5310" w:rsidP="00C2224B">
            <w:pPr>
              <w:pStyle w:val="Quot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-Revenues (tradeshow tables, sponsorships and registrations):           $36,416</w:t>
            </w:r>
          </w:p>
          <w:p w14:paraId="1785660B" w14:textId="77777777" w:rsidR="008B5310" w:rsidRDefault="008B5310" w:rsidP="00C2224B">
            <w:pPr>
              <w:pStyle w:val="Quot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-Expenses (convention center, bay cruise, catering, incentives, etc)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:  </w:t>
            </w:r>
            <w:r w:rsidRPr="00193228">
              <w:rPr>
                <w:color w:val="000000" w:themeColor="text1"/>
                <w:sz w:val="24"/>
                <w:szCs w:val="24"/>
                <w:u w:val="single"/>
              </w:rPr>
              <w:t>$</w:t>
            </w:r>
            <w:proofErr w:type="gramEnd"/>
            <w:r w:rsidRPr="00193228">
              <w:rPr>
                <w:color w:val="000000" w:themeColor="text1"/>
                <w:sz w:val="24"/>
                <w:szCs w:val="24"/>
                <w:u w:val="single"/>
              </w:rPr>
              <w:t>20,658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14:paraId="2F133029" w14:textId="2BBDC618" w:rsidR="00193228" w:rsidRDefault="00193228" w:rsidP="00C2224B">
            <w:pPr>
              <w:pStyle w:val="Quot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-</w:t>
            </w:r>
            <w:r w:rsidRPr="00193228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>Net Profit: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193228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>$17,758</w:t>
            </w:r>
          </w:p>
          <w:p w14:paraId="07535902" w14:textId="0AB139B8" w:rsidR="00193228" w:rsidRPr="00EA0480" w:rsidRDefault="00193228" w:rsidP="00C2224B">
            <w:pPr>
              <w:pStyle w:val="Quo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238A579A" w14:textId="77777777" w:rsidR="00890EE8" w:rsidRDefault="00890EE8"/>
        </w:tc>
      </w:tr>
      <w:tr w:rsidR="004C2E69" w14:paraId="3DBC1F83" w14:textId="77777777" w:rsidTr="00BA77C1">
        <w:tc>
          <w:tcPr>
            <w:tcW w:w="630" w:type="dxa"/>
          </w:tcPr>
          <w:p w14:paraId="2BD801E2" w14:textId="77777777" w:rsidR="004C2E69" w:rsidRDefault="004C2E69" w:rsidP="004C2E69">
            <w:pPr>
              <w:pStyle w:val="NoSpacing"/>
              <w:keepNext/>
              <w:keepLines/>
            </w:pPr>
          </w:p>
        </w:tc>
        <w:tc>
          <w:tcPr>
            <w:tcW w:w="4500" w:type="dxa"/>
            <w:gridSpan w:val="2"/>
          </w:tcPr>
          <w:p w14:paraId="18CD0595" w14:textId="77777777" w:rsidR="004C2E69" w:rsidRPr="000B4502" w:rsidRDefault="004C2E69" w:rsidP="004C2E69">
            <w:pPr>
              <w:pStyle w:val="NoSpacing"/>
              <w:keepNext/>
              <w:keepLines/>
              <w:rPr>
                <w:color w:val="44546A" w:themeColor="text2"/>
              </w:rPr>
            </w:pPr>
          </w:p>
        </w:tc>
        <w:tc>
          <w:tcPr>
            <w:tcW w:w="6390" w:type="dxa"/>
            <w:gridSpan w:val="3"/>
          </w:tcPr>
          <w:p w14:paraId="0C5BEDBD" w14:textId="77777777" w:rsidR="004C2E69" w:rsidRPr="000B4502" w:rsidRDefault="004C2E69" w:rsidP="004C2E69">
            <w:pPr>
              <w:pStyle w:val="NoSpacing"/>
              <w:keepNext/>
              <w:keepLines/>
            </w:pPr>
          </w:p>
        </w:tc>
      </w:tr>
      <w:tr w:rsidR="0010766A" w14:paraId="3E2DA4E1" w14:textId="77777777" w:rsidTr="0010766A">
        <w:tc>
          <w:tcPr>
            <w:tcW w:w="630" w:type="dxa"/>
          </w:tcPr>
          <w:p w14:paraId="062704F0" w14:textId="77777777" w:rsidR="0010766A" w:rsidRDefault="0010766A" w:rsidP="00BE6ACF"/>
        </w:tc>
        <w:tc>
          <w:tcPr>
            <w:tcW w:w="10170" w:type="dxa"/>
            <w:gridSpan w:val="3"/>
          </w:tcPr>
          <w:p w14:paraId="1FBA9B31" w14:textId="4F6E242E" w:rsidR="0010766A" w:rsidRPr="000B4502" w:rsidRDefault="0010766A" w:rsidP="00BE6ACF"/>
        </w:tc>
        <w:tc>
          <w:tcPr>
            <w:tcW w:w="720" w:type="dxa"/>
            <w:gridSpan w:val="2"/>
          </w:tcPr>
          <w:p w14:paraId="54E05BC6" w14:textId="77777777" w:rsidR="0010766A" w:rsidRDefault="0010766A" w:rsidP="00BE6ACF"/>
        </w:tc>
      </w:tr>
    </w:tbl>
    <w:p w14:paraId="6D0F0BBD" w14:textId="77777777" w:rsidR="0038400F" w:rsidRDefault="0038400F" w:rsidP="00230743">
      <w:pPr>
        <w:pStyle w:val="NoSpacing"/>
      </w:pPr>
    </w:p>
    <w:sectPr w:rsidR="0038400F" w:rsidSect="00EB2399">
      <w:footerReference w:type="default" r:id="rId9"/>
      <w:pgSz w:w="12240" w:h="15840"/>
      <w:pgMar w:top="360" w:right="360" w:bottom="1008" w:left="3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AC73" w14:textId="77777777" w:rsidR="00440B2F" w:rsidRDefault="00440B2F" w:rsidP="00EB2399">
      <w:pPr>
        <w:spacing w:after="0" w:line="240" w:lineRule="auto"/>
      </w:pPr>
      <w:r>
        <w:separator/>
      </w:r>
    </w:p>
  </w:endnote>
  <w:endnote w:type="continuationSeparator" w:id="0">
    <w:p w14:paraId="286EC493" w14:textId="77777777" w:rsidR="00440B2F" w:rsidRDefault="00440B2F" w:rsidP="00EB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51"/>
      <w:gridCol w:w="369"/>
    </w:tblGrid>
    <w:tr w:rsidR="00EB2399" w:rsidRPr="00EB2399" w14:paraId="0D46FC37" w14:textId="77777777" w:rsidTr="00EB2399">
      <w:tc>
        <w:tcPr>
          <w:tcW w:w="10890" w:type="dxa"/>
        </w:tcPr>
        <w:p w14:paraId="40D86361" w14:textId="07130AB1" w:rsidR="00EB2399" w:rsidRPr="00EB2399" w:rsidRDefault="00EB2399" w:rsidP="00EB2399">
          <w:pPr>
            <w:pStyle w:val="Footer"/>
          </w:pPr>
          <w:r w:rsidRPr="00EB2399">
            <w:t xml:space="preserve">Page </w:t>
          </w:r>
          <w:sdt>
            <w:sdtPr>
              <w:id w:val="-294374766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EB2399">
                <w:fldChar w:fldCharType="begin"/>
              </w:r>
              <w:r w:rsidRPr="00EB2399">
                <w:instrText xml:space="preserve"> PAGE   \* MERGEFORMAT </w:instrText>
              </w:r>
              <w:r w:rsidRPr="00EB2399">
                <w:fldChar w:fldCharType="separate"/>
              </w:r>
              <w:r>
                <w:t>1</w:t>
              </w:r>
              <w:r w:rsidRPr="00EB2399">
                <w:fldChar w:fldCharType="end"/>
              </w:r>
            </w:sdtContent>
          </w:sdt>
        </w:p>
      </w:tc>
      <w:tc>
        <w:tcPr>
          <w:tcW w:w="360" w:type="dxa"/>
        </w:tcPr>
        <w:p w14:paraId="48695DF9" w14:textId="56CCBA47" w:rsidR="00EB2399" w:rsidRPr="00EB2399" w:rsidRDefault="00EB2399" w:rsidP="00193228">
          <w:pPr>
            <w:pStyle w:val="Footer"/>
            <w:jc w:val="left"/>
          </w:pPr>
        </w:p>
      </w:tc>
    </w:tr>
  </w:tbl>
  <w:p w14:paraId="40EC3C1C" w14:textId="3D20AF18" w:rsidR="00EB2399" w:rsidRDefault="00EB2399" w:rsidP="00EB2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DE74" w14:textId="77777777" w:rsidR="00440B2F" w:rsidRDefault="00440B2F" w:rsidP="00EB2399">
      <w:pPr>
        <w:spacing w:after="0" w:line="240" w:lineRule="auto"/>
      </w:pPr>
      <w:r>
        <w:separator/>
      </w:r>
    </w:p>
  </w:footnote>
  <w:footnote w:type="continuationSeparator" w:id="0">
    <w:p w14:paraId="5852A0EF" w14:textId="77777777" w:rsidR="00440B2F" w:rsidRDefault="00440B2F" w:rsidP="00EB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15"/>
    <w:rsid w:val="000C3888"/>
    <w:rsid w:val="0010766A"/>
    <w:rsid w:val="00114DE0"/>
    <w:rsid w:val="00193228"/>
    <w:rsid w:val="001D3CF2"/>
    <w:rsid w:val="00230743"/>
    <w:rsid w:val="0038400F"/>
    <w:rsid w:val="00386BFD"/>
    <w:rsid w:val="003E6E04"/>
    <w:rsid w:val="00433B5F"/>
    <w:rsid w:val="00440B2F"/>
    <w:rsid w:val="00466FEC"/>
    <w:rsid w:val="004C2E69"/>
    <w:rsid w:val="004F14EE"/>
    <w:rsid w:val="006555D4"/>
    <w:rsid w:val="0073483E"/>
    <w:rsid w:val="007447EB"/>
    <w:rsid w:val="0076296E"/>
    <w:rsid w:val="0082709F"/>
    <w:rsid w:val="00890EE8"/>
    <w:rsid w:val="008B30FC"/>
    <w:rsid w:val="008B5310"/>
    <w:rsid w:val="008F3D15"/>
    <w:rsid w:val="0091138A"/>
    <w:rsid w:val="009C59CF"/>
    <w:rsid w:val="00BA77C1"/>
    <w:rsid w:val="00C2224B"/>
    <w:rsid w:val="00C4693A"/>
    <w:rsid w:val="00E22A71"/>
    <w:rsid w:val="00EA0480"/>
    <w:rsid w:val="00EB2399"/>
    <w:rsid w:val="00EC080B"/>
    <w:rsid w:val="00F0142C"/>
    <w:rsid w:val="00F519F7"/>
    <w:rsid w:val="00F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B67AEC"/>
  <w15:chartTrackingRefBased/>
  <w15:docId w15:val="{CFFA5704-0035-444A-AB96-89D6F53C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3A"/>
  </w:style>
  <w:style w:type="paragraph" w:styleId="Heading1">
    <w:name w:val="heading 1"/>
    <w:basedOn w:val="Normal"/>
    <w:next w:val="Normal"/>
    <w:link w:val="Heading1Char"/>
    <w:uiPriority w:val="9"/>
    <w:qFormat/>
    <w:rsid w:val="0076296E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6296E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96E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00F"/>
    <w:pPr>
      <w:spacing w:after="0" w:line="240" w:lineRule="auto"/>
    </w:pPr>
  </w:style>
  <w:style w:type="table" w:styleId="TableGrid">
    <w:name w:val="Table Grid"/>
    <w:basedOn w:val="TableNormal"/>
    <w:uiPriority w:val="39"/>
    <w:rsid w:val="0038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296E"/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9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E22A71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A71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11"/>
    <w:qFormat/>
    <w:rsid w:val="00114DE0"/>
    <w:pPr>
      <w:numPr>
        <w:ilvl w:val="1"/>
      </w:numPr>
      <w:contextualSpacing/>
    </w:pPr>
    <w:rPr>
      <w:rFonts w:eastAsiaTheme="minorEastAsia"/>
      <w:color w:val="F2F2F2" w:themeColor="background1" w:themeShade="F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14DE0"/>
    <w:rPr>
      <w:rFonts w:eastAsiaTheme="minorEastAsia"/>
      <w:color w:val="F2F2F2" w:themeColor="background1" w:themeShade="F2"/>
      <w:spacing w:val="15"/>
      <w:sz w:val="48"/>
    </w:rPr>
  </w:style>
  <w:style w:type="paragraph" w:styleId="Header">
    <w:name w:val="header"/>
    <w:basedOn w:val="Normal"/>
    <w:link w:val="HeaderChar"/>
    <w:uiPriority w:val="99"/>
    <w:unhideWhenUsed/>
    <w:rsid w:val="00EB2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399"/>
  </w:style>
  <w:style w:type="paragraph" w:styleId="Footer">
    <w:name w:val="footer"/>
    <w:basedOn w:val="Normal"/>
    <w:link w:val="FooterChar"/>
    <w:uiPriority w:val="99"/>
    <w:unhideWhenUsed/>
    <w:rsid w:val="00EB2399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EB2399"/>
  </w:style>
  <w:style w:type="character" w:customStyle="1" w:styleId="Heading3Char">
    <w:name w:val="Heading 3 Char"/>
    <w:basedOn w:val="DefaultParagraphFont"/>
    <w:link w:val="Heading3"/>
    <w:uiPriority w:val="9"/>
    <w:rsid w:val="007629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0142C"/>
    <w:rPr>
      <w:color w:val="808080"/>
    </w:rPr>
  </w:style>
  <w:style w:type="paragraph" w:styleId="Quote">
    <w:name w:val="Quote"/>
    <w:basedOn w:val="Normal"/>
    <w:link w:val="QuoteChar"/>
    <w:uiPriority w:val="29"/>
    <w:qFormat/>
    <w:rsid w:val="0076296E"/>
    <w:pPr>
      <w:spacing w:after="240"/>
      <w:contextualSpacing/>
    </w:pPr>
    <w:rPr>
      <w:rFonts w:asciiTheme="majorHAnsi" w:hAnsiTheme="majorHAnsi"/>
      <w:iCs/>
      <w:color w:val="2F5496" w:themeColor="accent1" w:themeShade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6296E"/>
    <w:rPr>
      <w:rFonts w:asciiTheme="majorHAnsi" w:hAnsiTheme="majorHAnsi"/>
      <w:iCs/>
      <w:color w:val="2F5496" w:themeColor="accent1" w:themeShade="BF"/>
      <w:sz w:val="26"/>
    </w:rPr>
  </w:style>
  <w:style w:type="paragraph" w:customStyle="1" w:styleId="Subtitle-Dark">
    <w:name w:val="Subtitle - Dark"/>
    <w:basedOn w:val="Normal"/>
    <w:uiPriority w:val="12"/>
    <w:qFormat/>
    <w:rsid w:val="00114DE0"/>
    <w:pPr>
      <w:contextualSpacing/>
    </w:pPr>
    <w:rPr>
      <w:color w:val="44546A" w:themeColor="text2"/>
      <w:spacing w:val="15"/>
      <w:sz w:val="48"/>
    </w:rPr>
  </w:style>
  <w:style w:type="paragraph" w:customStyle="1" w:styleId="Title-Light">
    <w:name w:val="Title - Light"/>
    <w:basedOn w:val="Normal"/>
    <w:uiPriority w:val="11"/>
    <w:qFormat/>
    <w:rsid w:val="00114DE0"/>
    <w:pPr>
      <w:keepNext/>
      <w:keepLines/>
      <w:spacing w:after="0" w:line="240" w:lineRule="auto"/>
      <w:contextualSpacing/>
    </w:pPr>
    <w:rPr>
      <w:rFonts w:asciiTheme="majorHAnsi" w:hAnsiTheme="majorHAnsi"/>
      <w:color w:val="44546A" w:themeColor="text2"/>
      <w:spacing w:val="-10"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6CDB6F4-B54C-4DCC-BF04-51B3F38D5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7C1AC-B259-4232-B430-FC8C0A513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32498-DF95-451E-8CD7-15711BBACB7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Cantu</dc:creator>
  <cp:keywords/>
  <dc:description/>
  <cp:lastModifiedBy>Dan Cantu</cp:lastModifiedBy>
  <cp:revision>5</cp:revision>
  <cp:lastPrinted>2025-09-24T03:25:00Z</cp:lastPrinted>
  <dcterms:created xsi:type="dcterms:W3CDTF">2025-09-24T03:31:00Z</dcterms:created>
  <dcterms:modified xsi:type="dcterms:W3CDTF">2025-09-24T03:34:00Z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