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5498E" w14:textId="77777777" w:rsidR="00144CDF" w:rsidRPr="000B345E" w:rsidRDefault="00144CDF" w:rsidP="0034704E">
      <w:pPr>
        <w:rPr>
          <w:rFonts w:ascii="Arial" w:hAnsi="Arial" w:cs="Arial"/>
          <w:b/>
          <w:sz w:val="20"/>
          <w:szCs w:val="20"/>
        </w:rPr>
      </w:pPr>
    </w:p>
    <w:p w14:paraId="7613B602" w14:textId="33BDE70E" w:rsidR="00144CDF" w:rsidRPr="000B345E" w:rsidRDefault="00623E73" w:rsidP="0034704E">
      <w:pPr>
        <w:rPr>
          <w:rFonts w:ascii="Arial" w:hAnsi="Arial" w:cs="Arial"/>
          <w:sz w:val="20"/>
          <w:szCs w:val="20"/>
        </w:rPr>
      </w:pPr>
      <w:proofErr w:type="spellStart"/>
      <w:r w:rsidRPr="000B345E">
        <w:rPr>
          <w:rFonts w:ascii="Arial" w:hAnsi="Arial" w:cs="Arial"/>
          <w:b/>
          <w:sz w:val="20"/>
          <w:szCs w:val="20"/>
        </w:rPr>
        <w:t>Agyrtis</w:t>
      </w:r>
      <w:proofErr w:type="spellEnd"/>
      <w:r w:rsidRPr="000B345E">
        <w:rPr>
          <w:rFonts w:ascii="Arial" w:hAnsi="Arial" w:cs="Arial"/>
          <w:b/>
          <w:sz w:val="20"/>
          <w:szCs w:val="20"/>
        </w:rPr>
        <w:t>, LLC</w:t>
      </w:r>
      <w:r w:rsidR="00823A74" w:rsidRPr="000B345E">
        <w:rPr>
          <w:rFonts w:ascii="Arial" w:hAnsi="Arial" w:cs="Arial"/>
          <w:sz w:val="20"/>
          <w:szCs w:val="20"/>
        </w:rPr>
        <w:t xml:space="preserve"> </w:t>
      </w:r>
      <w:r w:rsidR="00144CDF" w:rsidRPr="000B345E">
        <w:rPr>
          <w:rFonts w:ascii="Arial" w:hAnsi="Arial" w:cs="Arial"/>
          <w:sz w:val="20"/>
          <w:szCs w:val="20"/>
        </w:rPr>
        <w:t>utilizes a sophisticated suite of advanced software tools alongside stringent underwriting procedures to combat loan fraud and identity theft.</w:t>
      </w:r>
    </w:p>
    <w:p w14:paraId="6D3A5A71" w14:textId="543637FB" w:rsidR="00144CDF" w:rsidRPr="000B345E" w:rsidRDefault="00144CDF" w:rsidP="0034704E">
      <w:pPr>
        <w:jc w:val="center"/>
        <w:rPr>
          <w:rFonts w:ascii="Arial" w:hAnsi="Arial" w:cs="Arial"/>
          <w:b/>
          <w:sz w:val="20"/>
          <w:szCs w:val="20"/>
        </w:rPr>
      </w:pPr>
      <w:r w:rsidRPr="000B345E">
        <w:rPr>
          <w:rFonts w:ascii="Arial" w:hAnsi="Arial" w:cs="Arial"/>
          <w:b/>
          <w:sz w:val="20"/>
          <w:szCs w:val="20"/>
        </w:rPr>
        <w:t xml:space="preserve">NOTICE: ANY SUBMISSION OF INFORMATION TO </w:t>
      </w:r>
      <w:proofErr w:type="spellStart"/>
      <w:r w:rsidR="00762647" w:rsidRPr="000B345E">
        <w:rPr>
          <w:rFonts w:ascii="Arial" w:hAnsi="Arial" w:cs="Arial"/>
          <w:b/>
          <w:sz w:val="20"/>
          <w:szCs w:val="20"/>
        </w:rPr>
        <w:t>Agyrtis</w:t>
      </w:r>
      <w:proofErr w:type="spellEnd"/>
      <w:r w:rsidR="00762647" w:rsidRPr="000B345E">
        <w:rPr>
          <w:rFonts w:ascii="Arial" w:hAnsi="Arial" w:cs="Arial"/>
          <w:b/>
          <w:sz w:val="20"/>
          <w:szCs w:val="20"/>
        </w:rPr>
        <w:t xml:space="preserve">, LLC. </w:t>
      </w:r>
      <w:r w:rsidRPr="000B345E">
        <w:rPr>
          <w:rFonts w:ascii="Arial" w:hAnsi="Arial" w:cs="Arial"/>
          <w:b/>
          <w:sz w:val="20"/>
          <w:szCs w:val="20"/>
        </w:rPr>
        <w:t>KNOWINGLY CONTAINING FALSE INFORMATION IN CONNECTION WITH A PRIVATE MORTGAGE LOAN/FIRST TRUST DEED APPLICATIONS IS A FEDERAL CRIME</w:t>
      </w:r>
    </w:p>
    <w:p w14:paraId="72AC9AA8" w14:textId="43B5A71B" w:rsidR="00144CDF" w:rsidRPr="000B345E" w:rsidRDefault="00144CDF" w:rsidP="0034704E">
      <w:pPr>
        <w:rPr>
          <w:rFonts w:ascii="Arial" w:hAnsi="Arial" w:cs="Arial"/>
          <w:sz w:val="20"/>
          <w:szCs w:val="20"/>
        </w:rPr>
      </w:pPr>
      <w:r w:rsidRPr="000B345E">
        <w:rPr>
          <w:rFonts w:ascii="Arial" w:hAnsi="Arial" w:cs="Arial"/>
          <w:sz w:val="20"/>
          <w:szCs w:val="20"/>
        </w:rPr>
        <w:t xml:space="preserve">Mortgage fraud means a material misstatement, misrepresentation, or omission relied upon </w:t>
      </w:r>
      <w:proofErr w:type="spellStart"/>
      <w:r w:rsidR="00762647" w:rsidRPr="000B345E">
        <w:rPr>
          <w:rFonts w:ascii="Arial" w:hAnsi="Arial" w:cs="Arial"/>
          <w:b/>
          <w:sz w:val="20"/>
          <w:szCs w:val="20"/>
        </w:rPr>
        <w:t>Agyrtis</w:t>
      </w:r>
      <w:proofErr w:type="spellEnd"/>
      <w:r w:rsidR="00762647" w:rsidRPr="000B345E">
        <w:rPr>
          <w:rFonts w:ascii="Arial" w:hAnsi="Arial" w:cs="Arial"/>
          <w:b/>
          <w:sz w:val="20"/>
          <w:szCs w:val="20"/>
        </w:rPr>
        <w:t>, LLC</w:t>
      </w:r>
      <w:r w:rsidR="00823A74" w:rsidRPr="000B345E">
        <w:rPr>
          <w:rFonts w:ascii="Arial" w:hAnsi="Arial" w:cs="Arial"/>
          <w:sz w:val="20"/>
          <w:szCs w:val="20"/>
        </w:rPr>
        <w:t xml:space="preserve"> </w:t>
      </w:r>
      <w:r w:rsidRPr="000B345E">
        <w:rPr>
          <w:rFonts w:ascii="Arial" w:hAnsi="Arial" w:cs="Arial"/>
          <w:sz w:val="20"/>
          <w:szCs w:val="20"/>
        </w:rPr>
        <w:t xml:space="preserve">to fund or purchase-or not to fund or purchase-a mortgage. </w:t>
      </w:r>
    </w:p>
    <w:p w14:paraId="62B617BD" w14:textId="77777777" w:rsidR="00144CDF" w:rsidRPr="000B345E" w:rsidRDefault="00144CDF" w:rsidP="0034704E">
      <w:pPr>
        <w:rPr>
          <w:rFonts w:ascii="Arial" w:hAnsi="Arial" w:cs="Arial"/>
          <w:sz w:val="20"/>
          <w:szCs w:val="20"/>
        </w:rPr>
      </w:pPr>
      <w:r w:rsidRPr="000B345E">
        <w:rPr>
          <w:rFonts w:ascii="Arial" w:hAnsi="Arial" w:cs="Arial"/>
          <w:sz w:val="20"/>
          <w:szCs w:val="20"/>
        </w:rPr>
        <w:t xml:space="preserve">Such mortgage fraud included, but is not limited to, false information contained in identification and employment documents, false mortgagee or mortgagor identity, and fraudulent appraisals; theft of custodial funds, non-remitted payoff funds, misrepresentations of borrower funds, and property flipping where designed to falsely inflate property value. </w:t>
      </w:r>
    </w:p>
    <w:p w14:paraId="7EB99F79" w14:textId="4922290A" w:rsidR="00144CDF" w:rsidRPr="000B345E" w:rsidRDefault="00144CDF" w:rsidP="0034704E">
      <w:pPr>
        <w:rPr>
          <w:rFonts w:ascii="Arial" w:hAnsi="Arial" w:cs="Arial"/>
          <w:sz w:val="20"/>
          <w:szCs w:val="20"/>
        </w:rPr>
      </w:pPr>
      <w:r w:rsidRPr="000B345E">
        <w:rPr>
          <w:rFonts w:ascii="Arial" w:hAnsi="Arial" w:cs="Arial"/>
          <w:sz w:val="20"/>
          <w:szCs w:val="20"/>
        </w:rPr>
        <w:t xml:space="preserve">Possible mortgage fraud means </w:t>
      </w:r>
      <w:bookmarkStart w:id="0" w:name="_Hlk49328026"/>
      <w:proofErr w:type="spellStart"/>
      <w:r w:rsidR="00762647" w:rsidRPr="000B345E">
        <w:rPr>
          <w:rFonts w:ascii="Arial" w:hAnsi="Arial" w:cs="Arial"/>
          <w:bCs/>
          <w:sz w:val="20"/>
          <w:szCs w:val="20"/>
        </w:rPr>
        <w:t>Agyrtis</w:t>
      </w:r>
      <w:proofErr w:type="spellEnd"/>
      <w:r w:rsidR="00762647" w:rsidRPr="000B345E">
        <w:rPr>
          <w:rFonts w:ascii="Arial" w:hAnsi="Arial" w:cs="Arial"/>
          <w:bCs/>
          <w:sz w:val="20"/>
          <w:szCs w:val="20"/>
        </w:rPr>
        <w:t>, LLC</w:t>
      </w:r>
      <w:bookmarkEnd w:id="0"/>
      <w:r w:rsidR="00762647" w:rsidRPr="000B345E">
        <w:rPr>
          <w:rFonts w:ascii="Arial" w:hAnsi="Arial" w:cs="Arial"/>
          <w:b/>
          <w:sz w:val="20"/>
          <w:szCs w:val="20"/>
        </w:rPr>
        <w:t xml:space="preserve"> </w:t>
      </w:r>
      <w:r w:rsidRPr="000B345E">
        <w:rPr>
          <w:rFonts w:ascii="Arial" w:hAnsi="Arial" w:cs="Arial"/>
          <w:sz w:val="20"/>
          <w:szCs w:val="20"/>
        </w:rPr>
        <w:t xml:space="preserve">has a reasonable belief, based upon a review of information available, that mortgage fraud me be occurring or has occurred. It is the intent of </w:t>
      </w:r>
      <w:proofErr w:type="spellStart"/>
      <w:r w:rsidR="00762647" w:rsidRPr="000B345E">
        <w:rPr>
          <w:rFonts w:ascii="Arial" w:hAnsi="Arial" w:cs="Arial"/>
          <w:bCs/>
          <w:sz w:val="20"/>
          <w:szCs w:val="20"/>
        </w:rPr>
        <w:t>Agyrtis</w:t>
      </w:r>
      <w:proofErr w:type="spellEnd"/>
      <w:r w:rsidR="00762647" w:rsidRPr="000B345E">
        <w:rPr>
          <w:rFonts w:ascii="Arial" w:hAnsi="Arial" w:cs="Arial"/>
          <w:bCs/>
          <w:sz w:val="20"/>
          <w:szCs w:val="20"/>
        </w:rPr>
        <w:t>, LLC</w:t>
      </w:r>
      <w:r w:rsidR="00762647" w:rsidRPr="000B345E">
        <w:rPr>
          <w:rFonts w:ascii="Arial" w:hAnsi="Arial" w:cs="Arial"/>
          <w:sz w:val="20"/>
          <w:szCs w:val="20"/>
        </w:rPr>
        <w:t xml:space="preserve"> </w:t>
      </w:r>
      <w:r w:rsidRPr="000B345E">
        <w:rPr>
          <w:rFonts w:ascii="Arial" w:hAnsi="Arial" w:cs="Arial"/>
          <w:sz w:val="20"/>
          <w:szCs w:val="20"/>
        </w:rPr>
        <w:t>Zero Tolerance Loan Fraud Policy (“Policy”) to support the industry’s and law enforcement’s efforts to eradicate residential Private Mortgage Loan/First Trust Deed Fraud. Accordingly, by doing business with</w:t>
      </w:r>
      <w:r w:rsidR="000B345E" w:rsidRPr="000B345E">
        <w:t xml:space="preserve"> </w:t>
      </w:r>
      <w:proofErr w:type="spellStart"/>
      <w:r w:rsidR="000B345E" w:rsidRPr="000B345E">
        <w:rPr>
          <w:rFonts w:ascii="Arial" w:hAnsi="Arial" w:cs="Arial"/>
          <w:sz w:val="20"/>
          <w:szCs w:val="20"/>
        </w:rPr>
        <w:t>Agyrtis</w:t>
      </w:r>
      <w:proofErr w:type="spellEnd"/>
      <w:r w:rsidR="000B345E" w:rsidRPr="000B345E">
        <w:rPr>
          <w:rFonts w:ascii="Arial" w:hAnsi="Arial" w:cs="Arial"/>
          <w:sz w:val="20"/>
          <w:szCs w:val="20"/>
        </w:rPr>
        <w:t>, LLC</w:t>
      </w:r>
      <w:r w:rsidRPr="000B345E">
        <w:rPr>
          <w:rFonts w:ascii="Arial" w:hAnsi="Arial" w:cs="Arial"/>
          <w:sz w:val="20"/>
          <w:szCs w:val="20"/>
        </w:rPr>
        <w:t xml:space="preserve"> the Borrower, Broker, Realtor shall be directly responsible for the actions performed </w:t>
      </w:r>
      <w:proofErr w:type="gramStart"/>
      <w:r w:rsidRPr="000B345E">
        <w:rPr>
          <w:rFonts w:ascii="Arial" w:hAnsi="Arial" w:cs="Arial"/>
          <w:sz w:val="20"/>
          <w:szCs w:val="20"/>
        </w:rPr>
        <w:t>in the course of</w:t>
      </w:r>
      <w:proofErr w:type="gramEnd"/>
      <w:r w:rsidRPr="000B345E">
        <w:rPr>
          <w:rFonts w:ascii="Arial" w:hAnsi="Arial" w:cs="Arial"/>
          <w:sz w:val="20"/>
          <w:szCs w:val="20"/>
        </w:rPr>
        <w:t xml:space="preserve"> doing business with </w:t>
      </w:r>
      <w:bookmarkStart w:id="1" w:name="_Hlk49328125"/>
      <w:proofErr w:type="spellStart"/>
      <w:r w:rsidR="001943BF" w:rsidRPr="001943BF">
        <w:rPr>
          <w:rFonts w:ascii="Arial" w:hAnsi="Arial" w:cs="Arial"/>
          <w:sz w:val="20"/>
          <w:szCs w:val="20"/>
        </w:rPr>
        <w:t>Agyrtis</w:t>
      </w:r>
      <w:proofErr w:type="spellEnd"/>
      <w:r w:rsidR="001943BF" w:rsidRPr="001943BF">
        <w:rPr>
          <w:rFonts w:ascii="Arial" w:hAnsi="Arial" w:cs="Arial"/>
          <w:sz w:val="20"/>
          <w:szCs w:val="20"/>
        </w:rPr>
        <w:t xml:space="preserve">, LLC </w:t>
      </w:r>
      <w:bookmarkEnd w:id="1"/>
      <w:r w:rsidRPr="000B345E">
        <w:rPr>
          <w:rFonts w:ascii="Arial" w:hAnsi="Arial" w:cs="Arial"/>
          <w:sz w:val="20"/>
          <w:szCs w:val="20"/>
        </w:rPr>
        <w:t xml:space="preserve">and for maintaining compliance with this Policy. Although loan fraud may be perpetrated in many forms, some of the most common examples are shown below. </w:t>
      </w:r>
    </w:p>
    <w:p w14:paraId="3227E1CA" w14:textId="77777777" w:rsidR="00144CDF" w:rsidRPr="000B345E" w:rsidRDefault="00144CDF" w:rsidP="0034704E">
      <w:pPr>
        <w:pStyle w:val="ListParagraph"/>
        <w:numPr>
          <w:ilvl w:val="0"/>
          <w:numId w:val="1"/>
        </w:numPr>
        <w:rPr>
          <w:rFonts w:ascii="Arial" w:hAnsi="Arial" w:cs="Arial"/>
          <w:sz w:val="20"/>
          <w:szCs w:val="20"/>
        </w:rPr>
      </w:pPr>
      <w:r w:rsidRPr="000B345E">
        <w:rPr>
          <w:rFonts w:ascii="Arial" w:hAnsi="Arial" w:cs="Arial"/>
          <w:sz w:val="20"/>
          <w:szCs w:val="20"/>
        </w:rPr>
        <w:t>Identity theft</w:t>
      </w:r>
    </w:p>
    <w:p w14:paraId="3F0DCD89" w14:textId="77777777" w:rsidR="00144CDF" w:rsidRPr="000B345E" w:rsidRDefault="00144CDF" w:rsidP="0034704E">
      <w:pPr>
        <w:pStyle w:val="ListParagraph"/>
        <w:numPr>
          <w:ilvl w:val="0"/>
          <w:numId w:val="1"/>
        </w:numPr>
        <w:rPr>
          <w:rFonts w:ascii="Arial" w:hAnsi="Arial" w:cs="Arial"/>
          <w:sz w:val="20"/>
          <w:szCs w:val="20"/>
        </w:rPr>
      </w:pPr>
      <w:r w:rsidRPr="000B345E">
        <w:rPr>
          <w:rFonts w:ascii="Arial" w:hAnsi="Arial" w:cs="Arial"/>
          <w:sz w:val="20"/>
          <w:szCs w:val="20"/>
        </w:rPr>
        <w:t xml:space="preserve">Submission of inaccurate or misleading information, including false statements on loan application(s) and falsification of documents purporting to substantiate credit, employment, deposit and asset information or personal information including identity, ownership/non-ownership of the real </w:t>
      </w:r>
      <w:proofErr w:type="gramStart"/>
      <w:r w:rsidRPr="000B345E">
        <w:rPr>
          <w:rFonts w:ascii="Arial" w:hAnsi="Arial" w:cs="Arial"/>
          <w:sz w:val="20"/>
          <w:szCs w:val="20"/>
        </w:rPr>
        <w:t>property;;</w:t>
      </w:r>
      <w:proofErr w:type="gramEnd"/>
    </w:p>
    <w:p w14:paraId="0F92E1BB" w14:textId="77777777" w:rsidR="00144CDF" w:rsidRPr="000B345E" w:rsidRDefault="00144CDF" w:rsidP="0034704E">
      <w:pPr>
        <w:pStyle w:val="ListParagraph"/>
        <w:numPr>
          <w:ilvl w:val="0"/>
          <w:numId w:val="1"/>
        </w:numPr>
        <w:rPr>
          <w:rFonts w:ascii="Arial" w:hAnsi="Arial" w:cs="Arial"/>
          <w:sz w:val="20"/>
          <w:szCs w:val="20"/>
        </w:rPr>
      </w:pPr>
      <w:r w:rsidRPr="000B345E">
        <w:rPr>
          <w:rFonts w:ascii="Arial" w:hAnsi="Arial" w:cs="Arial"/>
          <w:sz w:val="20"/>
          <w:szCs w:val="20"/>
        </w:rPr>
        <w:t xml:space="preserve">The alteration or forgery of otherwise predominately accurate </w:t>
      </w:r>
      <w:proofErr w:type="gramStart"/>
      <w:r w:rsidRPr="000B345E">
        <w:rPr>
          <w:rFonts w:ascii="Arial" w:hAnsi="Arial" w:cs="Arial"/>
          <w:sz w:val="20"/>
          <w:szCs w:val="20"/>
        </w:rPr>
        <w:t>information;</w:t>
      </w:r>
      <w:proofErr w:type="gramEnd"/>
    </w:p>
    <w:p w14:paraId="10EA7810" w14:textId="77777777" w:rsidR="00144CDF" w:rsidRPr="000B345E" w:rsidRDefault="00144CDF" w:rsidP="0034704E">
      <w:pPr>
        <w:pStyle w:val="ListParagraph"/>
        <w:numPr>
          <w:ilvl w:val="0"/>
          <w:numId w:val="1"/>
        </w:numPr>
        <w:rPr>
          <w:rFonts w:ascii="Arial" w:hAnsi="Arial" w:cs="Arial"/>
          <w:sz w:val="20"/>
          <w:szCs w:val="20"/>
        </w:rPr>
      </w:pPr>
      <w:r w:rsidRPr="000B345E">
        <w:rPr>
          <w:rFonts w:ascii="Arial" w:hAnsi="Arial" w:cs="Arial"/>
          <w:sz w:val="20"/>
          <w:szCs w:val="20"/>
        </w:rPr>
        <w:t xml:space="preserve">Inaccurate representations of current occupancy or intent to maintain required occupancy as agreed in the security </w:t>
      </w:r>
      <w:proofErr w:type="gramStart"/>
      <w:r w:rsidRPr="000B345E">
        <w:rPr>
          <w:rFonts w:ascii="Arial" w:hAnsi="Arial" w:cs="Arial"/>
          <w:sz w:val="20"/>
          <w:szCs w:val="20"/>
        </w:rPr>
        <w:t>instrument;</w:t>
      </w:r>
      <w:proofErr w:type="gramEnd"/>
    </w:p>
    <w:p w14:paraId="0E0CA8F9" w14:textId="77777777" w:rsidR="00144CDF" w:rsidRPr="000B345E" w:rsidRDefault="00144CDF" w:rsidP="0034704E">
      <w:pPr>
        <w:pStyle w:val="ListParagraph"/>
        <w:numPr>
          <w:ilvl w:val="0"/>
          <w:numId w:val="1"/>
        </w:numPr>
        <w:rPr>
          <w:rFonts w:ascii="Arial" w:hAnsi="Arial" w:cs="Arial"/>
          <w:sz w:val="20"/>
          <w:szCs w:val="20"/>
        </w:rPr>
      </w:pPr>
      <w:r w:rsidRPr="000B345E">
        <w:rPr>
          <w:rFonts w:ascii="Arial" w:hAnsi="Arial" w:cs="Arial"/>
          <w:sz w:val="20"/>
          <w:szCs w:val="20"/>
        </w:rPr>
        <w:t>Lack of due diligence or concern by borrower, realtor, broker, loan officer, interviewer or processor, including failure to obtain or divulge all information required by the application and failure to request further information as dictated by Borrower’s response to other questions. This could include the following examples: (</w:t>
      </w:r>
      <w:proofErr w:type="spellStart"/>
      <w:r w:rsidRPr="000B345E">
        <w:rPr>
          <w:rFonts w:ascii="Arial" w:hAnsi="Arial" w:cs="Arial"/>
          <w:sz w:val="20"/>
          <w:szCs w:val="20"/>
        </w:rPr>
        <w:t>i</w:t>
      </w:r>
      <w:proofErr w:type="spellEnd"/>
      <w:r w:rsidRPr="000B345E">
        <w:rPr>
          <w:rFonts w:ascii="Arial" w:hAnsi="Arial" w:cs="Arial"/>
          <w:sz w:val="20"/>
          <w:szCs w:val="20"/>
        </w:rPr>
        <w:t>) simultaneous or consecutive processing of multiple owner-occupied loans from single applicant where information differs on each application; (ii) permitting an applicant or interested third party to assist with the processing of the loan; and (iii) failure to disclose any relevant or pertinent information known to the Broker which could negatively impact the lending decision..</w:t>
      </w:r>
    </w:p>
    <w:p w14:paraId="1BB3ABE0" w14:textId="77777777" w:rsidR="00B74691" w:rsidRDefault="00B74691" w:rsidP="0034704E">
      <w:pPr>
        <w:rPr>
          <w:rFonts w:ascii="Arial" w:hAnsi="Arial" w:cs="Arial"/>
          <w:sz w:val="20"/>
          <w:szCs w:val="20"/>
        </w:rPr>
      </w:pPr>
    </w:p>
    <w:p w14:paraId="16BB23EA" w14:textId="1B977016" w:rsidR="00144CDF" w:rsidRPr="000B345E" w:rsidRDefault="001943BF" w:rsidP="0034704E">
      <w:pPr>
        <w:rPr>
          <w:rFonts w:ascii="Arial" w:hAnsi="Arial" w:cs="Arial"/>
          <w:b/>
          <w:sz w:val="20"/>
          <w:szCs w:val="20"/>
        </w:rPr>
      </w:pPr>
      <w:proofErr w:type="spellStart"/>
      <w:r w:rsidRPr="001943BF">
        <w:rPr>
          <w:rFonts w:ascii="Arial" w:hAnsi="Arial" w:cs="Arial"/>
          <w:sz w:val="20"/>
          <w:szCs w:val="20"/>
        </w:rPr>
        <w:lastRenderedPageBreak/>
        <w:t>Agyrtis</w:t>
      </w:r>
      <w:proofErr w:type="spellEnd"/>
      <w:r w:rsidRPr="001943BF">
        <w:rPr>
          <w:rFonts w:ascii="Arial" w:hAnsi="Arial" w:cs="Arial"/>
          <w:sz w:val="20"/>
          <w:szCs w:val="20"/>
        </w:rPr>
        <w:t xml:space="preserve">, LLC </w:t>
      </w:r>
      <w:r w:rsidR="00144CDF" w:rsidRPr="000B345E">
        <w:rPr>
          <w:rFonts w:ascii="Arial" w:hAnsi="Arial" w:cs="Arial"/>
          <w:sz w:val="20"/>
          <w:szCs w:val="20"/>
        </w:rPr>
        <w:t>specifically represents and warrants the quality and integrity of its loan production</w:t>
      </w:r>
      <w:r w:rsidR="003450CD" w:rsidRPr="003450CD">
        <w:t xml:space="preserve"> </w:t>
      </w:r>
      <w:proofErr w:type="spellStart"/>
      <w:r w:rsidR="003450CD" w:rsidRPr="003450CD">
        <w:rPr>
          <w:rFonts w:ascii="Arial" w:hAnsi="Arial" w:cs="Arial"/>
          <w:sz w:val="20"/>
          <w:szCs w:val="20"/>
        </w:rPr>
        <w:t>Agyrtis</w:t>
      </w:r>
      <w:proofErr w:type="spellEnd"/>
      <w:r w:rsidR="003450CD" w:rsidRPr="003450CD">
        <w:rPr>
          <w:rFonts w:ascii="Arial" w:hAnsi="Arial" w:cs="Arial"/>
          <w:sz w:val="20"/>
          <w:szCs w:val="20"/>
        </w:rPr>
        <w:t>, LLC</w:t>
      </w:r>
      <w:r w:rsidR="003450CD">
        <w:rPr>
          <w:rFonts w:ascii="Arial" w:hAnsi="Arial" w:cs="Arial"/>
          <w:sz w:val="20"/>
          <w:szCs w:val="20"/>
        </w:rPr>
        <w:t xml:space="preserve"> </w:t>
      </w:r>
      <w:r w:rsidR="00144CDF" w:rsidRPr="000B345E">
        <w:rPr>
          <w:rFonts w:ascii="Arial" w:hAnsi="Arial" w:cs="Arial"/>
          <w:sz w:val="20"/>
          <w:szCs w:val="20"/>
        </w:rPr>
        <w:t xml:space="preserve">’s investors. Consequently, loans containing fraud or material misrepresentations that negatively impact </w:t>
      </w:r>
      <w:proofErr w:type="spellStart"/>
      <w:r w:rsidR="003450CD" w:rsidRPr="003450CD">
        <w:rPr>
          <w:rFonts w:ascii="Arial" w:hAnsi="Arial" w:cs="Arial"/>
          <w:sz w:val="20"/>
          <w:szCs w:val="20"/>
        </w:rPr>
        <w:t>Agyrtis</w:t>
      </w:r>
      <w:proofErr w:type="spellEnd"/>
      <w:r w:rsidR="003450CD" w:rsidRPr="003450CD">
        <w:rPr>
          <w:rFonts w:ascii="Arial" w:hAnsi="Arial" w:cs="Arial"/>
          <w:sz w:val="20"/>
          <w:szCs w:val="20"/>
        </w:rPr>
        <w:t>, LLC</w:t>
      </w:r>
      <w:r w:rsidR="00144CDF" w:rsidRPr="000B345E">
        <w:rPr>
          <w:rFonts w:ascii="Arial" w:hAnsi="Arial" w:cs="Arial"/>
          <w:sz w:val="20"/>
          <w:szCs w:val="20"/>
        </w:rPr>
        <w:t>’s business reputation can severely strain investor relationships. The potential consequences for knowing participants of this practice are also very serious and</w:t>
      </w:r>
      <w:r w:rsidR="003450CD" w:rsidRPr="003450CD">
        <w:t xml:space="preserve"> </w:t>
      </w:r>
      <w:proofErr w:type="spellStart"/>
      <w:r w:rsidR="003450CD" w:rsidRPr="003450CD">
        <w:rPr>
          <w:rFonts w:ascii="Arial" w:hAnsi="Arial" w:cs="Arial"/>
          <w:sz w:val="20"/>
          <w:szCs w:val="20"/>
        </w:rPr>
        <w:t>Agyrtis</w:t>
      </w:r>
      <w:proofErr w:type="spellEnd"/>
      <w:r w:rsidR="003450CD" w:rsidRPr="003450CD">
        <w:rPr>
          <w:rFonts w:ascii="Arial" w:hAnsi="Arial" w:cs="Arial"/>
          <w:sz w:val="20"/>
          <w:szCs w:val="20"/>
        </w:rPr>
        <w:t>, LLC</w:t>
      </w:r>
      <w:r w:rsidR="003450CD">
        <w:rPr>
          <w:rFonts w:ascii="Arial" w:hAnsi="Arial" w:cs="Arial"/>
          <w:b/>
          <w:sz w:val="20"/>
          <w:szCs w:val="20"/>
        </w:rPr>
        <w:t xml:space="preserve"> </w:t>
      </w:r>
      <w:r w:rsidR="00144CDF" w:rsidRPr="000B345E">
        <w:rPr>
          <w:rFonts w:ascii="Arial" w:hAnsi="Arial" w:cs="Arial"/>
          <w:sz w:val="20"/>
          <w:szCs w:val="20"/>
        </w:rPr>
        <w:t xml:space="preserve">’s position is a </w:t>
      </w:r>
      <w:proofErr w:type="gramStart"/>
      <w:r w:rsidR="00144CDF" w:rsidRPr="000B345E">
        <w:rPr>
          <w:rFonts w:ascii="Arial" w:hAnsi="Arial" w:cs="Arial"/>
          <w:sz w:val="20"/>
          <w:szCs w:val="20"/>
        </w:rPr>
        <w:t>zero tolerance</w:t>
      </w:r>
      <w:proofErr w:type="gramEnd"/>
      <w:r w:rsidR="00144CDF" w:rsidRPr="000B345E">
        <w:rPr>
          <w:rFonts w:ascii="Arial" w:hAnsi="Arial" w:cs="Arial"/>
          <w:sz w:val="20"/>
          <w:szCs w:val="20"/>
        </w:rPr>
        <w:t xml:space="preserve"> policy.</w:t>
      </w:r>
    </w:p>
    <w:p w14:paraId="17436BE6" w14:textId="77777777" w:rsidR="00144CDF" w:rsidRPr="000B345E" w:rsidRDefault="00144CDF" w:rsidP="0034704E">
      <w:pPr>
        <w:rPr>
          <w:rFonts w:ascii="Arial" w:hAnsi="Arial" w:cs="Arial"/>
          <w:b/>
          <w:sz w:val="20"/>
          <w:szCs w:val="20"/>
        </w:rPr>
      </w:pPr>
      <w:r w:rsidRPr="000B345E">
        <w:rPr>
          <w:rFonts w:ascii="Arial" w:hAnsi="Arial" w:cs="Arial"/>
          <w:b/>
          <w:sz w:val="20"/>
          <w:szCs w:val="20"/>
        </w:rPr>
        <w:t>Examples of the possible consequences:</w:t>
      </w:r>
    </w:p>
    <w:p w14:paraId="108F2755" w14:textId="77777777" w:rsidR="00144CDF" w:rsidRPr="000B345E" w:rsidRDefault="00144CDF" w:rsidP="0034704E">
      <w:pPr>
        <w:rPr>
          <w:rFonts w:ascii="Arial" w:hAnsi="Arial" w:cs="Arial"/>
          <w:sz w:val="20"/>
          <w:szCs w:val="20"/>
        </w:rPr>
      </w:pPr>
      <w:r w:rsidRPr="000B345E">
        <w:rPr>
          <w:rFonts w:ascii="Arial" w:hAnsi="Arial" w:cs="Arial"/>
          <w:sz w:val="20"/>
          <w:szCs w:val="20"/>
        </w:rPr>
        <w:t>For Borrowers:</w:t>
      </w:r>
    </w:p>
    <w:p w14:paraId="5EE49403" w14:textId="77777777" w:rsidR="00144CDF" w:rsidRPr="000B345E" w:rsidRDefault="00144CDF" w:rsidP="0034704E">
      <w:pPr>
        <w:pStyle w:val="ListParagraph"/>
        <w:numPr>
          <w:ilvl w:val="0"/>
          <w:numId w:val="2"/>
        </w:numPr>
        <w:rPr>
          <w:rFonts w:ascii="Arial" w:hAnsi="Arial" w:cs="Arial"/>
          <w:sz w:val="20"/>
          <w:szCs w:val="20"/>
        </w:rPr>
      </w:pPr>
      <w:r w:rsidRPr="000B345E">
        <w:rPr>
          <w:rFonts w:ascii="Arial" w:hAnsi="Arial" w:cs="Arial"/>
          <w:sz w:val="20"/>
          <w:szCs w:val="20"/>
        </w:rPr>
        <w:t>Acceleration of debt as authorized by the security instrument (Deed of Trust/Mortgage).</w:t>
      </w:r>
    </w:p>
    <w:p w14:paraId="020F1069" w14:textId="77777777" w:rsidR="00144CDF" w:rsidRPr="000B345E" w:rsidRDefault="00144CDF" w:rsidP="0034704E">
      <w:pPr>
        <w:pStyle w:val="ListParagraph"/>
        <w:numPr>
          <w:ilvl w:val="0"/>
          <w:numId w:val="2"/>
        </w:numPr>
        <w:rPr>
          <w:rFonts w:ascii="Arial" w:hAnsi="Arial" w:cs="Arial"/>
          <w:sz w:val="20"/>
          <w:szCs w:val="20"/>
        </w:rPr>
      </w:pPr>
      <w:r w:rsidRPr="000B345E">
        <w:rPr>
          <w:rFonts w:ascii="Arial" w:hAnsi="Arial" w:cs="Arial"/>
          <w:sz w:val="20"/>
          <w:szCs w:val="20"/>
        </w:rPr>
        <w:t xml:space="preserve">Criminal prosecution, which may result in possible fines, </w:t>
      </w:r>
      <w:proofErr w:type="gramStart"/>
      <w:r w:rsidRPr="000B345E">
        <w:rPr>
          <w:rFonts w:ascii="Arial" w:hAnsi="Arial" w:cs="Arial"/>
          <w:sz w:val="20"/>
          <w:szCs w:val="20"/>
        </w:rPr>
        <w:t>imprisonment</w:t>
      </w:r>
      <w:proofErr w:type="gramEnd"/>
      <w:r w:rsidRPr="000B345E">
        <w:rPr>
          <w:rFonts w:ascii="Arial" w:hAnsi="Arial" w:cs="Arial"/>
          <w:sz w:val="20"/>
          <w:szCs w:val="20"/>
        </w:rPr>
        <w:t xml:space="preserve"> or both. </w:t>
      </w:r>
    </w:p>
    <w:p w14:paraId="16F52D0A" w14:textId="689644B3" w:rsidR="00144CDF" w:rsidRPr="000B345E" w:rsidRDefault="00144CDF" w:rsidP="0034704E">
      <w:pPr>
        <w:pStyle w:val="ListParagraph"/>
        <w:numPr>
          <w:ilvl w:val="0"/>
          <w:numId w:val="2"/>
        </w:numPr>
        <w:rPr>
          <w:rFonts w:ascii="Arial" w:hAnsi="Arial" w:cs="Arial"/>
          <w:sz w:val="20"/>
          <w:szCs w:val="20"/>
        </w:rPr>
      </w:pPr>
      <w:r w:rsidRPr="000B345E">
        <w:rPr>
          <w:rFonts w:ascii="Arial" w:hAnsi="Arial" w:cs="Arial"/>
          <w:sz w:val="20"/>
          <w:szCs w:val="20"/>
        </w:rPr>
        <w:t xml:space="preserve">Civil action by </w:t>
      </w:r>
      <w:proofErr w:type="spellStart"/>
      <w:r w:rsidR="00CA3A0D" w:rsidRPr="00CA3A0D">
        <w:rPr>
          <w:rFonts w:ascii="Arial" w:hAnsi="Arial" w:cs="Arial"/>
          <w:sz w:val="20"/>
          <w:szCs w:val="20"/>
        </w:rPr>
        <w:t>Agyrtis</w:t>
      </w:r>
      <w:proofErr w:type="spellEnd"/>
      <w:r w:rsidR="00CA3A0D" w:rsidRPr="00CA3A0D">
        <w:rPr>
          <w:rFonts w:ascii="Arial" w:hAnsi="Arial" w:cs="Arial"/>
          <w:sz w:val="20"/>
          <w:szCs w:val="20"/>
        </w:rPr>
        <w:t xml:space="preserve">, LLC </w:t>
      </w:r>
      <w:r w:rsidRPr="000B345E">
        <w:rPr>
          <w:rFonts w:ascii="Arial" w:hAnsi="Arial" w:cs="Arial"/>
          <w:sz w:val="20"/>
          <w:szCs w:val="20"/>
        </w:rPr>
        <w:t xml:space="preserve">for </w:t>
      </w:r>
      <w:proofErr w:type="gramStart"/>
      <w:r w:rsidRPr="000B345E">
        <w:rPr>
          <w:rFonts w:ascii="Arial" w:hAnsi="Arial" w:cs="Arial"/>
          <w:sz w:val="20"/>
          <w:szCs w:val="20"/>
        </w:rPr>
        <w:t>damages..</w:t>
      </w:r>
      <w:proofErr w:type="gramEnd"/>
    </w:p>
    <w:p w14:paraId="56CDA882" w14:textId="77777777" w:rsidR="00144CDF" w:rsidRPr="000B345E" w:rsidRDefault="00144CDF" w:rsidP="0034704E">
      <w:pPr>
        <w:pStyle w:val="ListParagraph"/>
        <w:numPr>
          <w:ilvl w:val="0"/>
          <w:numId w:val="2"/>
        </w:numPr>
        <w:rPr>
          <w:rFonts w:ascii="Arial" w:hAnsi="Arial" w:cs="Arial"/>
          <w:sz w:val="20"/>
          <w:szCs w:val="20"/>
        </w:rPr>
      </w:pPr>
      <w:r w:rsidRPr="000B345E">
        <w:rPr>
          <w:rFonts w:ascii="Arial" w:hAnsi="Arial" w:cs="Arial"/>
          <w:sz w:val="20"/>
          <w:szCs w:val="20"/>
        </w:rPr>
        <w:t>Civil action by other parties to the transaction such as seller or real estate agent/broker.</w:t>
      </w:r>
    </w:p>
    <w:p w14:paraId="2AC665D5" w14:textId="77777777" w:rsidR="00144CDF" w:rsidRPr="000B345E" w:rsidRDefault="00144CDF" w:rsidP="0034704E">
      <w:pPr>
        <w:pStyle w:val="ListParagraph"/>
        <w:numPr>
          <w:ilvl w:val="0"/>
          <w:numId w:val="2"/>
        </w:numPr>
        <w:rPr>
          <w:rFonts w:ascii="Arial" w:hAnsi="Arial" w:cs="Arial"/>
          <w:sz w:val="20"/>
          <w:szCs w:val="20"/>
        </w:rPr>
      </w:pPr>
      <w:r w:rsidRPr="000B345E">
        <w:rPr>
          <w:rFonts w:ascii="Arial" w:hAnsi="Arial" w:cs="Arial"/>
          <w:sz w:val="20"/>
          <w:szCs w:val="20"/>
        </w:rPr>
        <w:t>Forfeiture of any professional license.</w:t>
      </w:r>
    </w:p>
    <w:p w14:paraId="183D77B8" w14:textId="77777777" w:rsidR="00144CDF" w:rsidRPr="000B345E" w:rsidRDefault="00144CDF" w:rsidP="0034704E">
      <w:pPr>
        <w:pStyle w:val="ListParagraph"/>
        <w:numPr>
          <w:ilvl w:val="0"/>
          <w:numId w:val="2"/>
        </w:numPr>
        <w:rPr>
          <w:rFonts w:ascii="Arial" w:hAnsi="Arial" w:cs="Arial"/>
          <w:sz w:val="20"/>
          <w:szCs w:val="20"/>
        </w:rPr>
      </w:pPr>
      <w:r w:rsidRPr="000B345E">
        <w:rPr>
          <w:rFonts w:ascii="Arial" w:hAnsi="Arial" w:cs="Arial"/>
          <w:sz w:val="20"/>
          <w:szCs w:val="20"/>
        </w:rPr>
        <w:t xml:space="preserve">Long term adverse effect on credit </w:t>
      </w:r>
      <w:proofErr w:type="gramStart"/>
      <w:r w:rsidRPr="000B345E">
        <w:rPr>
          <w:rFonts w:ascii="Arial" w:hAnsi="Arial" w:cs="Arial"/>
          <w:sz w:val="20"/>
          <w:szCs w:val="20"/>
        </w:rPr>
        <w:t>history..</w:t>
      </w:r>
      <w:proofErr w:type="gramEnd"/>
    </w:p>
    <w:p w14:paraId="0926916F" w14:textId="77777777" w:rsidR="00144CDF" w:rsidRPr="000B345E" w:rsidRDefault="00144CDF" w:rsidP="0034704E">
      <w:pPr>
        <w:rPr>
          <w:rFonts w:ascii="Arial" w:hAnsi="Arial" w:cs="Arial"/>
          <w:sz w:val="20"/>
          <w:szCs w:val="20"/>
        </w:rPr>
      </w:pPr>
      <w:r w:rsidRPr="000B345E">
        <w:rPr>
          <w:rFonts w:ascii="Arial" w:hAnsi="Arial" w:cs="Arial"/>
          <w:sz w:val="20"/>
          <w:szCs w:val="20"/>
        </w:rPr>
        <w:t>For Brokers/Realtors:</w:t>
      </w:r>
    </w:p>
    <w:p w14:paraId="27A5FCA8" w14:textId="77777777" w:rsidR="00144CDF" w:rsidRPr="000B345E" w:rsidRDefault="00144CDF" w:rsidP="0034704E">
      <w:pPr>
        <w:pStyle w:val="ListParagraph"/>
        <w:numPr>
          <w:ilvl w:val="0"/>
          <w:numId w:val="3"/>
        </w:numPr>
        <w:rPr>
          <w:rFonts w:ascii="Arial" w:hAnsi="Arial" w:cs="Arial"/>
          <w:sz w:val="20"/>
          <w:szCs w:val="20"/>
        </w:rPr>
      </w:pPr>
      <w:r w:rsidRPr="000B345E">
        <w:rPr>
          <w:rFonts w:ascii="Arial" w:hAnsi="Arial" w:cs="Arial"/>
          <w:sz w:val="20"/>
          <w:szCs w:val="20"/>
        </w:rPr>
        <w:t xml:space="preserve">Criminal prosecution, which could result in fines, </w:t>
      </w:r>
      <w:proofErr w:type="gramStart"/>
      <w:r w:rsidRPr="000B345E">
        <w:rPr>
          <w:rFonts w:ascii="Arial" w:hAnsi="Arial" w:cs="Arial"/>
          <w:sz w:val="20"/>
          <w:szCs w:val="20"/>
        </w:rPr>
        <w:t>imprisonment</w:t>
      </w:r>
      <w:proofErr w:type="gramEnd"/>
      <w:r w:rsidRPr="000B345E">
        <w:rPr>
          <w:rFonts w:ascii="Arial" w:hAnsi="Arial" w:cs="Arial"/>
          <w:sz w:val="20"/>
          <w:szCs w:val="20"/>
        </w:rPr>
        <w:t xml:space="preserve"> or both.</w:t>
      </w:r>
    </w:p>
    <w:p w14:paraId="25DA8EC0" w14:textId="77777777" w:rsidR="00144CDF" w:rsidRPr="000B345E" w:rsidRDefault="00144CDF" w:rsidP="0034704E">
      <w:pPr>
        <w:pStyle w:val="ListParagraph"/>
        <w:numPr>
          <w:ilvl w:val="0"/>
          <w:numId w:val="3"/>
        </w:numPr>
        <w:rPr>
          <w:rFonts w:ascii="Arial" w:hAnsi="Arial" w:cs="Arial"/>
          <w:sz w:val="20"/>
          <w:szCs w:val="20"/>
        </w:rPr>
      </w:pPr>
      <w:r w:rsidRPr="000B345E">
        <w:rPr>
          <w:rFonts w:ascii="Arial" w:hAnsi="Arial" w:cs="Arial"/>
          <w:sz w:val="20"/>
          <w:szCs w:val="20"/>
        </w:rPr>
        <w:t>Revocation of Broker’s license.</w:t>
      </w:r>
    </w:p>
    <w:p w14:paraId="4CA32DCC" w14:textId="77777777" w:rsidR="00144CDF" w:rsidRPr="000B345E" w:rsidRDefault="00144CDF" w:rsidP="0034704E">
      <w:pPr>
        <w:pStyle w:val="ListParagraph"/>
        <w:numPr>
          <w:ilvl w:val="0"/>
          <w:numId w:val="3"/>
        </w:numPr>
        <w:rPr>
          <w:rFonts w:ascii="Arial" w:hAnsi="Arial" w:cs="Arial"/>
          <w:sz w:val="20"/>
          <w:szCs w:val="20"/>
        </w:rPr>
      </w:pPr>
      <w:r w:rsidRPr="000B345E">
        <w:rPr>
          <w:rFonts w:ascii="Arial" w:hAnsi="Arial" w:cs="Arial"/>
          <w:sz w:val="20"/>
          <w:szCs w:val="20"/>
        </w:rPr>
        <w:t>Loss of access privileges to lenders resulting from the exchange of legally permissible information between lenders, mortgage insurance companies; FHLMC, FNMA and other investors; policy agencies; and state and federal regulatory agencies including the Department of Justice and the FBI</w:t>
      </w:r>
    </w:p>
    <w:p w14:paraId="2B20C0FB" w14:textId="056CFFDD" w:rsidR="00144CDF" w:rsidRPr="000B345E" w:rsidRDefault="00144CDF" w:rsidP="0034704E">
      <w:pPr>
        <w:pStyle w:val="ListParagraph"/>
        <w:numPr>
          <w:ilvl w:val="0"/>
          <w:numId w:val="3"/>
        </w:numPr>
        <w:rPr>
          <w:rFonts w:ascii="Arial" w:hAnsi="Arial" w:cs="Arial"/>
          <w:sz w:val="20"/>
          <w:szCs w:val="20"/>
        </w:rPr>
      </w:pPr>
      <w:r w:rsidRPr="000B345E">
        <w:rPr>
          <w:rFonts w:ascii="Arial" w:hAnsi="Arial" w:cs="Arial"/>
          <w:sz w:val="20"/>
          <w:szCs w:val="20"/>
        </w:rPr>
        <w:t xml:space="preserve">Loan repurchase and/or liability to </w:t>
      </w:r>
      <w:proofErr w:type="spellStart"/>
      <w:r w:rsidR="00CA3A0D" w:rsidRPr="00CA3A0D">
        <w:rPr>
          <w:rFonts w:ascii="Arial" w:hAnsi="Arial" w:cs="Arial"/>
          <w:sz w:val="20"/>
          <w:szCs w:val="20"/>
        </w:rPr>
        <w:t>Agyrtis</w:t>
      </w:r>
      <w:proofErr w:type="spellEnd"/>
      <w:r w:rsidR="00CA3A0D" w:rsidRPr="00CA3A0D">
        <w:rPr>
          <w:rFonts w:ascii="Arial" w:hAnsi="Arial" w:cs="Arial"/>
          <w:sz w:val="20"/>
          <w:szCs w:val="20"/>
        </w:rPr>
        <w:t xml:space="preserve">, LLC </w:t>
      </w:r>
      <w:r w:rsidRPr="000B345E">
        <w:rPr>
          <w:rFonts w:ascii="Arial" w:hAnsi="Arial" w:cs="Arial"/>
          <w:sz w:val="20"/>
          <w:szCs w:val="20"/>
        </w:rPr>
        <w:t xml:space="preserve">for resulting monetary </w:t>
      </w:r>
      <w:proofErr w:type="gramStart"/>
      <w:r w:rsidRPr="000B345E">
        <w:rPr>
          <w:rFonts w:ascii="Arial" w:hAnsi="Arial" w:cs="Arial"/>
          <w:sz w:val="20"/>
          <w:szCs w:val="20"/>
        </w:rPr>
        <w:t>loss..</w:t>
      </w:r>
      <w:proofErr w:type="gramEnd"/>
    </w:p>
    <w:p w14:paraId="229816CE" w14:textId="21ACF7F5" w:rsidR="00144CDF" w:rsidRPr="000B345E" w:rsidRDefault="00144CDF" w:rsidP="0034704E">
      <w:pPr>
        <w:pStyle w:val="ListParagraph"/>
        <w:numPr>
          <w:ilvl w:val="0"/>
          <w:numId w:val="3"/>
        </w:numPr>
        <w:rPr>
          <w:rFonts w:ascii="Arial" w:hAnsi="Arial" w:cs="Arial"/>
          <w:sz w:val="20"/>
          <w:szCs w:val="20"/>
        </w:rPr>
      </w:pPr>
      <w:r w:rsidRPr="000B345E">
        <w:rPr>
          <w:rFonts w:ascii="Arial" w:hAnsi="Arial" w:cs="Arial"/>
          <w:sz w:val="20"/>
          <w:szCs w:val="20"/>
        </w:rPr>
        <w:t xml:space="preserve">Civil action by borrower, </w:t>
      </w:r>
      <w:proofErr w:type="spellStart"/>
      <w:r w:rsidR="00CA3A0D" w:rsidRPr="00CA3A0D">
        <w:rPr>
          <w:rFonts w:ascii="Arial" w:hAnsi="Arial" w:cs="Arial"/>
          <w:sz w:val="20"/>
          <w:szCs w:val="20"/>
        </w:rPr>
        <w:t>Agyrtis</w:t>
      </w:r>
      <w:proofErr w:type="spellEnd"/>
      <w:r w:rsidR="00CA3A0D" w:rsidRPr="00CA3A0D">
        <w:rPr>
          <w:rFonts w:ascii="Arial" w:hAnsi="Arial" w:cs="Arial"/>
          <w:sz w:val="20"/>
          <w:szCs w:val="20"/>
        </w:rPr>
        <w:t xml:space="preserve">, LLC </w:t>
      </w:r>
      <w:r w:rsidRPr="000B345E">
        <w:rPr>
          <w:rFonts w:ascii="Arial" w:hAnsi="Arial" w:cs="Arial"/>
          <w:sz w:val="20"/>
          <w:szCs w:val="20"/>
        </w:rPr>
        <w:t>and/or other parties involved in the transaction.</w:t>
      </w:r>
    </w:p>
    <w:p w14:paraId="3FAFAA76" w14:textId="07797B48" w:rsidR="00144CDF" w:rsidRPr="000B345E" w:rsidRDefault="00144CDF" w:rsidP="0034704E">
      <w:pPr>
        <w:pStyle w:val="ListParagraph"/>
        <w:numPr>
          <w:ilvl w:val="0"/>
          <w:numId w:val="3"/>
        </w:numPr>
        <w:rPr>
          <w:rFonts w:ascii="Arial" w:hAnsi="Arial" w:cs="Arial"/>
          <w:sz w:val="20"/>
          <w:szCs w:val="20"/>
        </w:rPr>
      </w:pPr>
      <w:r w:rsidRPr="000B345E">
        <w:rPr>
          <w:rFonts w:ascii="Arial" w:hAnsi="Arial" w:cs="Arial"/>
          <w:sz w:val="20"/>
          <w:szCs w:val="20"/>
        </w:rPr>
        <w:t>Loss of approval status with</w:t>
      </w:r>
      <w:r w:rsidR="00CA3A0D" w:rsidRPr="00CA3A0D">
        <w:t xml:space="preserve"> </w:t>
      </w:r>
      <w:proofErr w:type="spellStart"/>
      <w:r w:rsidR="00CA3A0D" w:rsidRPr="00CA3A0D">
        <w:rPr>
          <w:rFonts w:ascii="Arial" w:hAnsi="Arial" w:cs="Arial"/>
          <w:sz w:val="20"/>
          <w:szCs w:val="20"/>
        </w:rPr>
        <w:t>Agyrtis</w:t>
      </w:r>
      <w:proofErr w:type="spellEnd"/>
      <w:r w:rsidR="00CA3A0D" w:rsidRPr="00CA3A0D">
        <w:rPr>
          <w:rFonts w:ascii="Arial" w:hAnsi="Arial" w:cs="Arial"/>
          <w:sz w:val="20"/>
          <w:szCs w:val="20"/>
        </w:rPr>
        <w:t>, LLC</w:t>
      </w:r>
      <w:r w:rsidRPr="000B345E">
        <w:rPr>
          <w:rFonts w:ascii="Arial" w:hAnsi="Arial" w:cs="Arial"/>
          <w:sz w:val="20"/>
          <w:szCs w:val="20"/>
        </w:rPr>
        <w:t xml:space="preserve"> </w:t>
      </w:r>
    </w:p>
    <w:p w14:paraId="05E64788" w14:textId="6939CB32" w:rsidR="00144CDF" w:rsidRPr="000B345E" w:rsidRDefault="00144CDF" w:rsidP="0034704E">
      <w:pPr>
        <w:rPr>
          <w:rFonts w:ascii="Arial" w:hAnsi="Arial" w:cs="Arial"/>
          <w:sz w:val="20"/>
          <w:szCs w:val="20"/>
        </w:rPr>
      </w:pPr>
      <w:r w:rsidRPr="000B345E">
        <w:rPr>
          <w:rFonts w:ascii="Arial" w:hAnsi="Arial" w:cs="Arial"/>
          <w:b/>
          <w:sz w:val="20"/>
          <w:szCs w:val="20"/>
        </w:rPr>
        <w:t xml:space="preserve">The undersigned does hereby acknowledge receipt of this notice and agrees to comply with conditions set forth herein this   </w:t>
      </w:r>
      <w:r w:rsidRPr="000B345E">
        <w:rPr>
          <w:rFonts w:ascii="Arial" w:hAnsi="Arial" w:cs="Arial"/>
          <w:b/>
          <w:sz w:val="20"/>
          <w:szCs w:val="20"/>
        </w:rPr>
        <w:fldChar w:fldCharType="begin"/>
      </w:r>
      <w:r w:rsidRPr="000B345E">
        <w:rPr>
          <w:rFonts w:ascii="Arial" w:hAnsi="Arial" w:cs="Arial"/>
          <w:b/>
          <w:sz w:val="20"/>
          <w:szCs w:val="20"/>
        </w:rPr>
        <w:instrText xml:space="preserve"> DATE  \@ "dd"  \* MERGEFORMAT </w:instrText>
      </w:r>
      <w:r w:rsidRPr="000B345E">
        <w:rPr>
          <w:rFonts w:ascii="Arial" w:hAnsi="Arial" w:cs="Arial"/>
          <w:b/>
          <w:sz w:val="20"/>
          <w:szCs w:val="20"/>
        </w:rPr>
        <w:fldChar w:fldCharType="separate"/>
      </w:r>
      <w:r w:rsidR="00623E73" w:rsidRPr="000B345E">
        <w:rPr>
          <w:rFonts w:ascii="Arial" w:hAnsi="Arial" w:cs="Arial"/>
          <w:b/>
          <w:noProof/>
          <w:sz w:val="20"/>
          <w:szCs w:val="20"/>
        </w:rPr>
        <w:t>26</w:t>
      </w:r>
      <w:r w:rsidRPr="000B345E">
        <w:rPr>
          <w:rFonts w:ascii="Arial" w:hAnsi="Arial" w:cs="Arial"/>
          <w:b/>
          <w:sz w:val="20"/>
          <w:szCs w:val="20"/>
        </w:rPr>
        <w:fldChar w:fldCharType="end"/>
      </w:r>
      <w:r w:rsidR="00A433E7">
        <w:rPr>
          <w:rFonts w:ascii="Arial" w:hAnsi="Arial" w:cs="Arial"/>
          <w:b/>
          <w:sz w:val="20"/>
          <w:szCs w:val="20"/>
        </w:rPr>
        <w:t>th</w:t>
      </w:r>
      <w:r w:rsidRPr="000B345E">
        <w:rPr>
          <w:rFonts w:ascii="Arial" w:hAnsi="Arial" w:cs="Arial"/>
          <w:b/>
          <w:sz w:val="20"/>
          <w:szCs w:val="20"/>
        </w:rPr>
        <w:t xml:space="preserve">  day of </w:t>
      </w:r>
      <w:r w:rsidRPr="000B345E">
        <w:rPr>
          <w:rFonts w:ascii="Arial" w:hAnsi="Arial" w:cs="Arial"/>
          <w:b/>
          <w:sz w:val="20"/>
          <w:szCs w:val="20"/>
        </w:rPr>
        <w:fldChar w:fldCharType="begin"/>
      </w:r>
      <w:r w:rsidRPr="000B345E">
        <w:rPr>
          <w:rFonts w:ascii="Arial" w:hAnsi="Arial" w:cs="Arial"/>
          <w:b/>
          <w:sz w:val="20"/>
          <w:szCs w:val="20"/>
        </w:rPr>
        <w:instrText xml:space="preserve"> Date  \@ "MMMM yyyy"  \* MERGEFORMAT </w:instrText>
      </w:r>
      <w:r w:rsidRPr="000B345E">
        <w:rPr>
          <w:rFonts w:ascii="Arial" w:hAnsi="Arial" w:cs="Arial"/>
          <w:b/>
          <w:sz w:val="20"/>
          <w:szCs w:val="20"/>
        </w:rPr>
        <w:fldChar w:fldCharType="separate"/>
      </w:r>
      <w:r w:rsidR="00623E73" w:rsidRPr="000B345E">
        <w:rPr>
          <w:rFonts w:ascii="Arial" w:hAnsi="Arial" w:cs="Arial"/>
          <w:b/>
          <w:bCs/>
          <w:noProof/>
          <w:sz w:val="20"/>
          <w:szCs w:val="20"/>
        </w:rPr>
        <w:t>August 2020</w:t>
      </w:r>
      <w:r w:rsidRPr="000B345E">
        <w:rPr>
          <w:rFonts w:ascii="Arial" w:hAnsi="Arial" w:cs="Arial"/>
          <w:b/>
          <w:sz w:val="20"/>
          <w:szCs w:val="20"/>
        </w:rPr>
        <w:fldChar w:fldCharType="end"/>
      </w:r>
    </w:p>
    <w:p w14:paraId="7CFEEBC9" w14:textId="77777777" w:rsidR="00144CDF" w:rsidRPr="00B74691" w:rsidRDefault="00144CDF" w:rsidP="0034704E">
      <w:pPr>
        <w:pStyle w:val="NoSpacing"/>
        <w:rPr>
          <w:rFonts w:ascii="Arial" w:hAnsi="Arial" w:cs="Arial"/>
          <w:sz w:val="18"/>
          <w:szCs w:val="18"/>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4590"/>
      </w:tblGrid>
      <w:tr w:rsidR="00144CDF" w:rsidRPr="00B74691" w14:paraId="0E13160B" w14:textId="77777777" w:rsidTr="00E40522">
        <w:tc>
          <w:tcPr>
            <w:tcW w:w="4590" w:type="dxa"/>
            <w:shd w:val="clear" w:color="auto" w:fill="auto"/>
          </w:tcPr>
          <w:p w14:paraId="5AA8856A" w14:textId="77777777" w:rsidR="00144CDF" w:rsidRPr="00B74691" w:rsidRDefault="00144CDF" w:rsidP="0034704E">
            <w:pPr>
              <w:pStyle w:val="NoSpacing"/>
              <w:rPr>
                <w:rFonts w:ascii="Arial" w:hAnsi="Arial" w:cs="Arial"/>
                <w:sz w:val="18"/>
                <w:szCs w:val="18"/>
              </w:rPr>
            </w:pPr>
          </w:p>
        </w:tc>
      </w:tr>
    </w:tbl>
    <w:p w14:paraId="0D415201" w14:textId="77777777" w:rsidR="00144CDF" w:rsidRPr="00B74691" w:rsidRDefault="00144CDF" w:rsidP="0034704E">
      <w:pPr>
        <w:pStyle w:val="NoSpacing"/>
        <w:rPr>
          <w:rFonts w:ascii="Arial" w:hAnsi="Arial" w:cs="Arial"/>
          <w:sz w:val="18"/>
          <w:szCs w:val="18"/>
        </w:rPr>
      </w:pPr>
      <w:r w:rsidRPr="00B74691">
        <w:rPr>
          <w:rFonts w:ascii="Arial" w:hAnsi="Arial" w:cs="Arial"/>
          <w:sz w:val="18"/>
          <w:szCs w:val="18"/>
        </w:rPr>
        <w:t>Business Entity (Borrower)</w:t>
      </w:r>
    </w:p>
    <w:p w14:paraId="1DF3B812" w14:textId="77777777" w:rsidR="00144CDF" w:rsidRPr="00B74691" w:rsidRDefault="00144CDF" w:rsidP="0034704E">
      <w:pPr>
        <w:pStyle w:val="NoSpacing"/>
        <w:rPr>
          <w:rFonts w:ascii="Arial" w:hAnsi="Arial" w:cs="Arial"/>
          <w:sz w:val="18"/>
          <w:szCs w:val="18"/>
        </w:rPr>
      </w:pPr>
    </w:p>
    <w:p w14:paraId="29E95DDC" w14:textId="77777777" w:rsidR="00144CDF" w:rsidRPr="00B74691" w:rsidRDefault="00144CDF" w:rsidP="0034704E">
      <w:pPr>
        <w:pStyle w:val="NoSpacing"/>
        <w:rPr>
          <w:rFonts w:ascii="Arial" w:hAnsi="Arial" w:cs="Arial"/>
          <w:sz w:val="18"/>
          <w:szCs w:val="18"/>
        </w:rPr>
      </w:pPr>
      <w:r w:rsidRPr="00B74691">
        <w:rPr>
          <w:rFonts w:ascii="Arial" w:hAnsi="Arial" w:cs="Arial"/>
          <w:sz w:val="18"/>
          <w:szCs w:val="18"/>
        </w:rPr>
        <w:t>_________________________________________</w:t>
      </w:r>
    </w:p>
    <w:p w14:paraId="78C29A29" w14:textId="77777777" w:rsidR="00144CDF" w:rsidRPr="00B74691" w:rsidRDefault="00144CDF" w:rsidP="0034704E">
      <w:pPr>
        <w:pStyle w:val="NoSpacing"/>
        <w:rPr>
          <w:rFonts w:ascii="Arial" w:hAnsi="Arial" w:cs="Arial"/>
          <w:sz w:val="18"/>
          <w:szCs w:val="18"/>
        </w:rPr>
      </w:pPr>
      <w:r w:rsidRPr="00B74691">
        <w:rPr>
          <w:rFonts w:ascii="Arial" w:hAnsi="Arial" w:cs="Arial"/>
          <w:sz w:val="18"/>
          <w:szCs w:val="18"/>
        </w:rPr>
        <w:t>Officer/Member Signature</w:t>
      </w:r>
    </w:p>
    <w:p w14:paraId="5CA0FD8B" w14:textId="77777777" w:rsidR="00144CDF" w:rsidRPr="00B74691" w:rsidRDefault="00144CDF" w:rsidP="0034704E">
      <w:pPr>
        <w:pStyle w:val="NoSpacing"/>
        <w:rPr>
          <w:rFonts w:ascii="Arial" w:hAnsi="Arial" w:cs="Arial"/>
          <w:sz w:val="18"/>
          <w:szCs w:val="18"/>
        </w:rPr>
      </w:pPr>
    </w:p>
    <w:p w14:paraId="272BB801" w14:textId="77777777" w:rsidR="00144CDF" w:rsidRPr="00B74691" w:rsidRDefault="00144CDF" w:rsidP="0034704E">
      <w:pPr>
        <w:pStyle w:val="NoSpacing"/>
        <w:rPr>
          <w:rFonts w:ascii="Arial" w:hAnsi="Arial" w:cs="Arial"/>
          <w:sz w:val="18"/>
          <w:szCs w:val="18"/>
        </w:rPr>
      </w:pPr>
      <w:r w:rsidRPr="00B74691">
        <w:rPr>
          <w:rFonts w:ascii="Arial" w:hAnsi="Arial" w:cs="Arial"/>
          <w:sz w:val="18"/>
          <w:szCs w:val="18"/>
        </w:rPr>
        <w:t>_________________________________________</w:t>
      </w:r>
    </w:p>
    <w:p w14:paraId="533ED787" w14:textId="77777777" w:rsidR="00144CDF" w:rsidRPr="00B74691" w:rsidRDefault="00144CDF" w:rsidP="0034704E">
      <w:pPr>
        <w:pStyle w:val="NoSpacing"/>
        <w:rPr>
          <w:rFonts w:ascii="Arial" w:hAnsi="Arial" w:cs="Arial"/>
          <w:sz w:val="18"/>
          <w:szCs w:val="18"/>
        </w:rPr>
      </w:pPr>
      <w:r w:rsidRPr="00B74691">
        <w:rPr>
          <w:rFonts w:ascii="Arial" w:hAnsi="Arial" w:cs="Arial"/>
          <w:sz w:val="18"/>
          <w:szCs w:val="18"/>
        </w:rPr>
        <w:t>Guarantor 1 Signature</w:t>
      </w:r>
    </w:p>
    <w:p w14:paraId="2CDF35BA" w14:textId="77777777" w:rsidR="00144CDF" w:rsidRPr="00B74691" w:rsidRDefault="00144CDF" w:rsidP="0034704E">
      <w:pPr>
        <w:pStyle w:val="NoSpacing"/>
        <w:rPr>
          <w:rFonts w:ascii="Arial" w:hAnsi="Arial" w:cs="Arial"/>
          <w:sz w:val="18"/>
          <w:szCs w:val="18"/>
        </w:rPr>
      </w:pPr>
    </w:p>
    <w:p w14:paraId="0A1CF8B1" w14:textId="77777777" w:rsidR="00144CDF" w:rsidRPr="00B74691" w:rsidRDefault="00144CDF" w:rsidP="0034704E">
      <w:pPr>
        <w:pStyle w:val="NoSpacing"/>
        <w:rPr>
          <w:rFonts w:ascii="Arial" w:hAnsi="Arial" w:cs="Arial"/>
          <w:sz w:val="18"/>
          <w:szCs w:val="18"/>
        </w:rPr>
      </w:pPr>
      <w:r w:rsidRPr="00B74691">
        <w:rPr>
          <w:rFonts w:ascii="Arial" w:hAnsi="Arial" w:cs="Arial"/>
          <w:sz w:val="18"/>
          <w:szCs w:val="18"/>
        </w:rPr>
        <w:t>_________________________________________</w:t>
      </w:r>
    </w:p>
    <w:p w14:paraId="147D42CB" w14:textId="77777777" w:rsidR="00144CDF" w:rsidRPr="00B74691" w:rsidRDefault="00144CDF" w:rsidP="0034704E">
      <w:pPr>
        <w:rPr>
          <w:rFonts w:ascii="Arial" w:hAnsi="Arial" w:cs="Arial"/>
          <w:sz w:val="18"/>
          <w:szCs w:val="18"/>
        </w:rPr>
      </w:pPr>
      <w:r w:rsidRPr="00B74691">
        <w:rPr>
          <w:rFonts w:ascii="Arial" w:hAnsi="Arial" w:cs="Arial"/>
          <w:sz w:val="18"/>
          <w:szCs w:val="18"/>
        </w:rPr>
        <w:t>Guarantor 2 Signature</w:t>
      </w:r>
    </w:p>
    <w:p w14:paraId="4BE9A3EF" w14:textId="77777777" w:rsidR="00144CDF" w:rsidRPr="000B345E" w:rsidRDefault="00144CDF">
      <w:pPr>
        <w:rPr>
          <w:rFonts w:ascii="Arial" w:hAnsi="Arial" w:cs="Arial"/>
          <w:sz w:val="20"/>
          <w:szCs w:val="20"/>
        </w:rPr>
      </w:pPr>
    </w:p>
    <w:sectPr w:rsidR="00144CDF" w:rsidRPr="000B345E" w:rsidSect="00144CDF">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95F9B" w14:textId="77777777" w:rsidR="00730AFC" w:rsidRDefault="00730AFC">
      <w:pPr>
        <w:spacing w:after="0" w:line="240" w:lineRule="auto"/>
      </w:pPr>
      <w:r>
        <w:separator/>
      </w:r>
    </w:p>
  </w:endnote>
  <w:endnote w:type="continuationSeparator" w:id="0">
    <w:p w14:paraId="21FD99C1" w14:textId="77777777" w:rsidR="00730AFC" w:rsidRDefault="0073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0BBBC" w14:textId="77777777" w:rsidR="00113172" w:rsidRDefault="00113172" w:rsidP="00113172">
    <w:pPr>
      <w:pStyle w:val="Footer"/>
      <w:jc w:val="right"/>
    </w:pPr>
  </w:p>
  <w:p w14:paraId="03AEEACD" w14:textId="77777777" w:rsidR="00113172" w:rsidRDefault="0034704E" w:rsidP="00113172">
    <w:pPr>
      <w:pStyle w:val="Footer"/>
    </w:pPr>
    <w:r>
      <w:t>Initial _______</w:t>
    </w:r>
  </w:p>
  <w:p w14:paraId="6872633B" w14:textId="77777777" w:rsidR="00113172" w:rsidRDefault="0034704E" w:rsidP="00113172">
    <w:pPr>
      <w:pStyle w:val="Footer"/>
      <w:jc w:val="right"/>
    </w:pPr>
    <w:r>
      <w:t xml:space="preserve">Page | </w:t>
    </w:r>
    <w:r>
      <w:fldChar w:fldCharType="begin"/>
    </w:r>
    <w:r>
      <w:instrText xml:space="preserve"> PAGE   \* MERGEFORMAT </w:instrText>
    </w:r>
    <w:r>
      <w:fldChar w:fldCharType="separate"/>
    </w:r>
    <w:r w:rsidR="000D5EE2">
      <w:rPr>
        <w:noProof/>
      </w:rPr>
      <w:t>3</w:t>
    </w:r>
    <w:r>
      <w:rPr>
        <w:noProof/>
      </w:rPr>
      <w:fldChar w:fldCharType="end"/>
    </w:r>
  </w:p>
  <w:p w14:paraId="0755C772" w14:textId="77777777" w:rsidR="00113172" w:rsidRDefault="00113172" w:rsidP="001131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447F3" w14:textId="77777777" w:rsidR="00730AFC" w:rsidRDefault="00730AFC">
      <w:pPr>
        <w:spacing w:after="0" w:line="240" w:lineRule="auto"/>
      </w:pPr>
      <w:r>
        <w:separator/>
      </w:r>
    </w:p>
  </w:footnote>
  <w:footnote w:type="continuationSeparator" w:id="0">
    <w:p w14:paraId="4C5F1139" w14:textId="77777777" w:rsidR="00730AFC" w:rsidRDefault="0073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0F71" w14:textId="61964AD3" w:rsidR="00113172" w:rsidRDefault="00B74691">
    <w:pPr>
      <w:pStyle w:val="Header"/>
    </w:pPr>
    <w:r>
      <w:rPr>
        <w:noProof/>
      </w:rPr>
      <mc:AlternateContent>
        <mc:Choice Requires="wps">
          <w:drawing>
            <wp:anchor distT="0" distB="0" distL="114300" distR="114300" simplePos="0" relativeHeight="251659264" behindDoc="0" locked="0" layoutInCell="1" allowOverlap="1" wp14:anchorId="770D9437" wp14:editId="27DD1B0F">
              <wp:simplePos x="0" y="0"/>
              <wp:positionH relativeFrom="column">
                <wp:posOffset>2933700</wp:posOffset>
              </wp:positionH>
              <wp:positionV relativeFrom="paragraph">
                <wp:posOffset>-28574</wp:posOffset>
              </wp:positionV>
              <wp:extent cx="2914650" cy="723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723900"/>
                      </a:xfrm>
                      <a:prstGeom prst="rect">
                        <a:avLst/>
                      </a:prstGeom>
                      <a:solidFill>
                        <a:sysClr val="window" lastClr="FFFFFF"/>
                      </a:solidFill>
                      <a:ln w="6350">
                        <a:solidFill>
                          <a:prstClr val="black"/>
                        </a:solidFill>
                      </a:ln>
                      <a:effectLst/>
                    </wps:spPr>
                    <wps:txbx>
                      <w:txbxContent>
                        <w:p w14:paraId="3037A4C5" w14:textId="77777777" w:rsidR="00113172" w:rsidRPr="00BC40AB" w:rsidRDefault="0034704E" w:rsidP="00113172">
                          <w:pPr>
                            <w:jc w:val="center"/>
                            <w:rPr>
                              <w:b/>
                              <w:sz w:val="32"/>
                              <w:szCs w:val="32"/>
                              <w:u w:val="single"/>
                            </w:rPr>
                          </w:pPr>
                          <w:r w:rsidRPr="00BC40AB">
                            <w:rPr>
                              <w:b/>
                              <w:sz w:val="32"/>
                              <w:szCs w:val="32"/>
                              <w:u w:val="single"/>
                            </w:rPr>
                            <w:t>Zero Tolerance Loan Fraud Policy</w:t>
                          </w:r>
                        </w:p>
                        <w:p w14:paraId="61B8DEE0" w14:textId="77777777" w:rsidR="00113172" w:rsidRDefault="00113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0D9437" id="_x0000_t202" coordsize="21600,21600" o:spt="202" path="m,l,21600r21600,l21600,xe">
              <v:stroke joinstyle="miter"/>
              <v:path gradientshapeok="t" o:connecttype="rect"/>
            </v:shapetype>
            <v:shape id="Text Box 4" o:spid="_x0000_s1026" type="#_x0000_t202" style="position:absolute;margin-left:231pt;margin-top:-2.25pt;width:22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" fillcolor="window" strokeweight=".5pt">
              <v:path arrowok="t"/>
              <v:textbox>
                <w:txbxContent>
                  <w:p w14:paraId="3037A4C5" w14:textId="77777777" w:rsidR="00113172" w:rsidRPr="00BC40AB" w:rsidRDefault="0034704E" w:rsidP="00113172">
                    <w:pPr>
                      <w:jc w:val="center"/>
                      <w:rPr>
                        <w:b/>
                        <w:sz w:val="32"/>
                        <w:szCs w:val="32"/>
                        <w:u w:val="single"/>
                      </w:rPr>
                    </w:pPr>
                    <w:r w:rsidRPr="00BC40AB">
                      <w:rPr>
                        <w:b/>
                        <w:sz w:val="32"/>
                        <w:szCs w:val="32"/>
                        <w:u w:val="single"/>
                      </w:rPr>
                      <w:t>Zero Tolerance Loan Fraud Policy</w:t>
                    </w:r>
                  </w:p>
                  <w:p w14:paraId="61B8DEE0" w14:textId="77777777" w:rsidR="00113172" w:rsidRDefault="00113172"/>
                </w:txbxContent>
              </v:textbox>
            </v:shape>
          </w:pict>
        </mc:Fallback>
      </mc:AlternateContent>
    </w:r>
    <w:r w:rsidR="00144CDF" w:rsidRPr="00E40522">
      <w:rPr>
        <w:noProof/>
        <w:color w:val="1F497D"/>
        <w:sz w:val="18"/>
        <w:szCs w:val="18"/>
      </w:rPr>
      <w:drawing>
        <wp:inline distT="0" distB="0" distL="0" distR="0" wp14:anchorId="3145D463" wp14:editId="411AAB07">
          <wp:extent cx="787544" cy="1019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787544" cy="1019175"/>
                  </a:xfrm>
                  <a:prstGeom prst="rect">
                    <a:avLst/>
                  </a:prstGeom>
                  <a:noFill/>
                  <a:ln>
                    <a:noFill/>
                  </a:ln>
                </pic:spPr>
              </pic:pic>
            </a:graphicData>
          </a:graphic>
        </wp:inline>
      </w:drawing>
    </w:r>
  </w:p>
  <w:p w14:paraId="51895AD6" w14:textId="77777777" w:rsidR="00113172" w:rsidRDefault="00113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313"/>
    <w:multiLevelType w:val="hybridMultilevel"/>
    <w:tmpl w:val="2CF0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2767"/>
    <w:multiLevelType w:val="hybridMultilevel"/>
    <w:tmpl w:val="B870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A132C"/>
    <w:multiLevelType w:val="hybridMultilevel"/>
    <w:tmpl w:val="491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1E"/>
    <w:rsid w:val="000B345E"/>
    <w:rsid w:val="000D5EE2"/>
    <w:rsid w:val="000E215A"/>
    <w:rsid w:val="00113172"/>
    <w:rsid w:val="00144CDF"/>
    <w:rsid w:val="001943BF"/>
    <w:rsid w:val="00293163"/>
    <w:rsid w:val="003450CD"/>
    <w:rsid w:val="0034704E"/>
    <w:rsid w:val="0044731E"/>
    <w:rsid w:val="004D5FFF"/>
    <w:rsid w:val="005D7D87"/>
    <w:rsid w:val="00623E73"/>
    <w:rsid w:val="006C6961"/>
    <w:rsid w:val="00730AFC"/>
    <w:rsid w:val="00762647"/>
    <w:rsid w:val="00823A74"/>
    <w:rsid w:val="0088206E"/>
    <w:rsid w:val="00A433E7"/>
    <w:rsid w:val="00A6730E"/>
    <w:rsid w:val="00AA7A93"/>
    <w:rsid w:val="00B74691"/>
    <w:rsid w:val="00C36C84"/>
    <w:rsid w:val="00CA3A0D"/>
    <w:rsid w:val="00D00A5F"/>
    <w:rsid w:val="00E4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B5B80"/>
  <w15:docId w15:val="{65545E09-3710-4B81-8D6D-B540AD4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4E"/>
    <w:pPr>
      <w:ind w:left="720"/>
      <w:contextualSpacing/>
    </w:pPr>
  </w:style>
  <w:style w:type="paragraph" w:styleId="Header">
    <w:name w:val="header"/>
    <w:basedOn w:val="Normal"/>
    <w:link w:val="HeaderChar"/>
    <w:uiPriority w:val="99"/>
    <w:unhideWhenUsed/>
    <w:rsid w:val="00347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04E"/>
  </w:style>
  <w:style w:type="paragraph" w:styleId="Footer">
    <w:name w:val="footer"/>
    <w:basedOn w:val="Normal"/>
    <w:link w:val="FooterChar"/>
    <w:uiPriority w:val="99"/>
    <w:unhideWhenUsed/>
    <w:rsid w:val="00347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04E"/>
  </w:style>
  <w:style w:type="paragraph" w:styleId="NoSpacing">
    <w:name w:val="No Spacing"/>
    <w:uiPriority w:val="1"/>
    <w:qFormat/>
    <w:rsid w:val="0034704E"/>
    <w:rPr>
      <w:sz w:val="22"/>
      <w:szCs w:val="22"/>
    </w:rPr>
  </w:style>
  <w:style w:type="paragraph" w:styleId="BalloonText">
    <w:name w:val="Balloon Text"/>
    <w:basedOn w:val="Normal"/>
    <w:link w:val="BalloonTextChar"/>
    <w:uiPriority w:val="99"/>
    <w:semiHidden/>
    <w:unhideWhenUsed/>
    <w:rsid w:val="003470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04E"/>
    <w:rPr>
      <w:rFonts w:ascii="Tahoma" w:hAnsi="Tahoma" w:cs="Tahoma"/>
      <w:sz w:val="16"/>
      <w:szCs w:val="16"/>
    </w:rPr>
  </w:style>
  <w:style w:type="table" w:styleId="TableGrid">
    <w:name w:val="Table Grid"/>
    <w:basedOn w:val="TableNormal"/>
    <w:uiPriority w:val="59"/>
    <w:rsid w:val="00D0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C735-86FB-5742-A013-F0FA9D19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Draper</dc:creator>
  <cp:keywords/>
  <cp:lastModifiedBy>Tracy Horn</cp:lastModifiedBy>
  <cp:revision>3</cp:revision>
  <dcterms:created xsi:type="dcterms:W3CDTF">2020-08-26T14:59:00Z</dcterms:created>
  <dcterms:modified xsi:type="dcterms:W3CDTF">2020-08-26T15:01:00Z</dcterms:modified>
</cp:coreProperties>
</file>