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00"/>
        <w:jc w:val="center"/>
      </w:pPr>
      <w:r>
        <w:rPr>
          <w:rFonts w:ascii="Calibri" w:hAnsi="Calibri"/>
          <w:b/>
          <w:color w:val="B8860B"/>
          <w:sz w:val="24"/>
        </w:rPr>
        <w:t>MOUNTAIN WEST LEADERSHIP GROUP</w:t>
      </w:r>
    </w:p>
    <w:p>
      <w:pPr>
        <w:spacing w:before="280"/>
        <w:jc w:val="center"/>
      </w:pPr>
      <w:r>
        <w:rPr>
          <w:rFonts w:ascii="Calibri" w:hAnsi="Calibri"/>
          <w:b/>
          <w:color w:val="1F2937"/>
          <w:sz w:val="56"/>
        </w:rPr>
        <w:t>Leadership Transformation Roadmap</w:t>
      </w:r>
    </w:p>
    <w:p>
      <w:pPr>
        <w:spacing w:before="40"/>
        <w:jc w:val="center"/>
      </w:pPr>
      <w:r>
        <w:rPr>
          <w:rFonts w:ascii="Calibri" w:hAnsi="Calibri"/>
          <w:color w:val="4B5563"/>
          <w:sz w:val="34"/>
        </w:rPr>
        <w:t>Executive Overview &amp; Implementation Strategy</w:t>
      </w:r>
    </w:p>
    <w:p>
      <w:pPr>
        <w:spacing w:before="440"/>
        <w:jc w:val="center"/>
      </w:pPr>
      <w:r>
        <w:rPr>
          <w:rFonts w:ascii="Calibri" w:hAnsi="Calibri"/>
          <w:i/>
          <w:color w:val="374151"/>
          <w:sz w:val="23"/>
        </w:rPr>
        <w:t>A practical roadmap for building leadership accountability, operational discipline, and sustainable organizational performance.</w:t>
      </w:r>
    </w:p>
    <w:p>
      <w:pPr>
        <w:spacing w:before="800"/>
        <w:jc w:val="center"/>
        <w:pBdr>
          <w:bottom w:val="single" w:sz="12" w:space="1" w:color="B8860B"/>
        </w:pBdr>
      </w:pPr>
    </w:p>
    <w:p>
      <w:pPr>
        <w:jc w:val="center"/>
      </w:pPr>
      <w:r>
        <w:rPr>
          <w:rFonts w:ascii="Calibri" w:hAnsi="Calibri"/>
          <w:color w:val="4B5563"/>
          <w:sz w:val="20"/>
        </w:rPr>
        <w:t>Public Resource | Version 1.0 | August 2026</w:t>
      </w:r>
    </w:p>
    <w:p>
      <w:pPr>
        <w:jc w:val="center"/>
      </w:pPr>
      <w:r>
        <w:rPr>
          <w:rFonts w:ascii="Calibri" w:hAnsi="Calibri"/>
          <w:color w:val="4B5563"/>
          <w:sz w:val="20"/>
        </w:rPr>
        <w:t>Prepared by Mountain West Leadership Group</w:t>
      </w:r>
    </w:p>
    <w:p>
      <w:r>
        <w:br w:type="page"/>
      </w:r>
    </w:p>
    <w:p>
      <w:pPr>
        <w:pStyle w:val="Heading1"/>
        <w:spacing w:before="160" w:after="80"/>
      </w:pPr>
      <w:r>
        <w:rPr>
          <w:rFonts w:ascii="Calibri" w:hAnsi="Calibri"/>
          <w:color w:val="1F2937"/>
          <w:sz w:val="36"/>
        </w:rPr>
        <w:t>How to Use This Roadmap</w:t>
      </w:r>
    </w:p>
    <w:p>
      <w:pPr>
        <w:spacing w:before="0" w:after="100" w:line="252" w:lineRule="auto"/>
      </w:pPr>
      <w:r>
        <w:rPr>
          <w:rFonts w:ascii="Calibri" w:hAnsi="Calibri"/>
          <w:color w:val="212529"/>
          <w:sz w:val="21"/>
        </w:rPr>
        <w:t>This roadmap is designed for executives, owners, general managers, department heads, HR leaders, and operational leaders who need a practical path for improving leadership culture and execution. It is not a motivational handout. It is a decision document and implementation guide.</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F2937"/>
            <w:tcMar>
              <w:top w:w="55" w:type="dxa"/>
              <w:start w:w="70" w:type="dxa"/>
              <w:bottom w:w="55" w:type="dxa"/>
              <w:end w:w="70" w:type="dxa"/>
            </w:tcMar>
          </w:tcPr>
          <w:p>
            <w:pPr>
              <w:spacing w:after="0" w:line="240" w:lineRule="auto"/>
            </w:pPr>
            <w:r/>
            <w:r>
              <w:rPr>
                <w:rFonts w:ascii="Calibri" w:hAnsi="Calibri"/>
                <w:b/>
                <w:i w:val="0"/>
                <w:color w:val="FFFFFF"/>
                <w:sz w:val="18"/>
              </w:rPr>
              <w:t>Element</w:t>
            </w:r>
          </w:p>
        </w:tc>
        <w:tc>
          <w:tcPr>
            <w:tcW w:type="dxa" w:w="5083"/>
            <w:shd w:fill="1F2937"/>
            <w:tcMar>
              <w:top w:w="55" w:type="dxa"/>
              <w:start w:w="70" w:type="dxa"/>
              <w:bottom w:w="55" w:type="dxa"/>
              <w:end w:w="70" w:type="dxa"/>
            </w:tcMar>
          </w:tcPr>
          <w:p>
            <w:pPr>
              <w:spacing w:after="0" w:line="240" w:lineRule="auto"/>
            </w:pPr>
            <w:r/>
            <w:r>
              <w:rPr>
                <w:rFonts w:ascii="Calibri" w:hAnsi="Calibri"/>
                <w:b/>
                <w:i w:val="0"/>
                <w:color w:val="FFFFFF"/>
                <w:sz w:val="18"/>
              </w:rPr>
              <w:t>Guidance</w:t>
            </w:r>
          </w:p>
        </w:tc>
      </w:tr>
      <w:tr>
        <w:trPr>
          <w:cantSplit/>
        </w:trPr>
        <w:tc>
          <w:tcPr>
            <w:tcW w:type="dxa" w:w="5083"/>
            <w:tcMar>
              <w:top w:w="65" w:type="dxa"/>
              <w:start w:w="70" w:type="dxa"/>
              <w:bottom w:w="65" w:type="dxa"/>
              <w:end w:w="70" w:type="dxa"/>
            </w:tcMar>
            <w:vAlign w:val="top"/>
          </w:tcPr>
          <w:p>
            <w:pPr>
              <w:spacing w:after="0" w:line="240" w:lineRule="auto"/>
            </w:pPr>
            <w:r/>
            <w:r>
              <w:rPr>
                <w:rFonts w:ascii="Calibri" w:hAnsi="Calibri"/>
                <w:b/>
                <w:i w:val="0"/>
                <w:color w:val="1F2937"/>
                <w:sz w:val="18"/>
              </w:rPr>
              <w:t>Best used when</w:t>
            </w:r>
          </w:p>
        </w:tc>
        <w:tc>
          <w:tcPr>
            <w:tcW w:type="dxa" w:w="5083"/>
            <w:tcMar>
              <w:top w:w="65" w:type="dxa"/>
              <w:start w:w="70" w:type="dxa"/>
              <w:bottom w:w="65" w:type="dxa"/>
              <w:end w:w="70" w:type="dxa"/>
            </w:tcMar>
            <w:vAlign w:val="top"/>
          </w:tcPr>
          <w:p>
            <w:pPr>
              <w:spacing w:after="0" w:line="240" w:lineRule="auto"/>
            </w:pPr>
            <w:r/>
            <w:r>
              <w:rPr>
                <w:rFonts w:ascii="Calibri" w:hAnsi="Calibri"/>
                <w:b w:val="0"/>
                <w:i w:val="0"/>
                <w:color w:val="212529"/>
                <w:sz w:val="18"/>
              </w:rPr>
              <w:t>Turnover, inconsistent accountability, slow decisions, poor communication, supervisor burnout, rework, service failures, or operational firefighting are limiting performance.</w:t>
            </w:r>
          </w:p>
        </w:tc>
      </w:tr>
      <w:tr>
        <w:trPr>
          <w:cantSplit/>
        </w:trPr>
        <w:tc>
          <w:tcPr>
            <w:tcW w:type="dxa" w:w="5083"/>
            <w:tcMar>
              <w:top w:w="65" w:type="dxa"/>
              <w:start w:w="70" w:type="dxa"/>
              <w:bottom w:w="65" w:type="dxa"/>
              <w:end w:w="70" w:type="dxa"/>
            </w:tcMar>
            <w:vAlign w:val="top"/>
            <w:shd w:fill="F3F4F6"/>
          </w:tcPr>
          <w:p>
            <w:pPr>
              <w:spacing w:after="0" w:line="240" w:lineRule="auto"/>
            </w:pPr>
            <w:r/>
            <w:r>
              <w:rPr>
                <w:rFonts w:ascii="Calibri" w:hAnsi="Calibri"/>
                <w:b/>
                <w:i w:val="0"/>
                <w:color w:val="1F2937"/>
                <w:sz w:val="18"/>
              </w:rPr>
              <w:t>Primary output</w:t>
            </w:r>
          </w:p>
        </w:tc>
        <w:tc>
          <w:tcPr>
            <w:tcW w:type="dxa" w:w="5083"/>
            <w:tcMar>
              <w:top w:w="65" w:type="dxa"/>
              <w:start w:w="70" w:type="dxa"/>
              <w:bottom w:w="65" w:type="dxa"/>
              <w:end w:w="70" w:type="dxa"/>
            </w:tcMar>
            <w:vAlign w:val="top"/>
            <w:shd w:fill="F3F4F6"/>
          </w:tcPr>
          <w:p>
            <w:pPr>
              <w:spacing w:after="0" w:line="240" w:lineRule="auto"/>
            </w:pPr>
            <w:r/>
            <w:r>
              <w:rPr>
                <w:rFonts w:ascii="Calibri" w:hAnsi="Calibri"/>
                <w:b w:val="0"/>
                <w:i w:val="0"/>
                <w:color w:val="212529"/>
                <w:sz w:val="18"/>
              </w:rPr>
              <w:t>A defined 12-month leadership destination, a clear maturity baseline, and a phased implementation sequence.</w:t>
            </w:r>
          </w:p>
        </w:tc>
      </w:tr>
      <w:tr>
        <w:trPr>
          <w:cantSplit/>
        </w:trPr>
        <w:tc>
          <w:tcPr>
            <w:tcW w:type="dxa" w:w="5083"/>
            <w:tcMar>
              <w:top w:w="65" w:type="dxa"/>
              <w:start w:w="70" w:type="dxa"/>
              <w:bottom w:w="65" w:type="dxa"/>
              <w:end w:w="70" w:type="dxa"/>
            </w:tcMar>
            <w:vAlign w:val="top"/>
          </w:tcPr>
          <w:p>
            <w:pPr>
              <w:spacing w:after="0" w:line="240" w:lineRule="auto"/>
            </w:pPr>
            <w:r/>
            <w:r>
              <w:rPr>
                <w:rFonts w:ascii="Calibri" w:hAnsi="Calibri"/>
                <w:b/>
                <w:i w:val="0"/>
                <w:color w:val="1F2937"/>
                <w:sz w:val="18"/>
              </w:rPr>
              <w:t>Executive role</w:t>
            </w:r>
          </w:p>
        </w:tc>
        <w:tc>
          <w:tcPr>
            <w:tcW w:type="dxa" w:w="5083"/>
            <w:tcMar>
              <w:top w:w="65" w:type="dxa"/>
              <w:start w:w="70" w:type="dxa"/>
              <w:bottom w:w="65" w:type="dxa"/>
              <w:end w:w="70" w:type="dxa"/>
            </w:tcMar>
            <w:vAlign w:val="top"/>
          </w:tcPr>
          <w:p>
            <w:pPr>
              <w:spacing w:after="0" w:line="240" w:lineRule="auto"/>
            </w:pPr>
            <w:r/>
            <w:r>
              <w:rPr>
                <w:rFonts w:ascii="Calibri" w:hAnsi="Calibri"/>
                <w:b w:val="0"/>
                <w:i w:val="0"/>
                <w:color w:val="212529"/>
                <w:sz w:val="18"/>
              </w:rPr>
              <w:t>Senior leaders must sponsor the work, model the standards, remove barriers, and reinforce accountability.</w:t>
            </w:r>
          </w:p>
        </w:tc>
      </w:tr>
      <w:tr>
        <w:trPr>
          <w:cantSplit/>
        </w:trPr>
        <w:tc>
          <w:tcPr>
            <w:tcW w:type="dxa" w:w="5083"/>
            <w:tcMar>
              <w:top w:w="65" w:type="dxa"/>
              <w:start w:w="70" w:type="dxa"/>
              <w:bottom w:w="65" w:type="dxa"/>
              <w:end w:w="70" w:type="dxa"/>
            </w:tcMar>
            <w:vAlign w:val="top"/>
            <w:shd w:fill="F3F4F6"/>
          </w:tcPr>
          <w:p>
            <w:pPr>
              <w:spacing w:after="0" w:line="240" w:lineRule="auto"/>
            </w:pPr>
            <w:r/>
            <w:r>
              <w:rPr>
                <w:rFonts w:ascii="Calibri" w:hAnsi="Calibri"/>
                <w:b/>
                <w:i w:val="0"/>
                <w:color w:val="1F2937"/>
                <w:sz w:val="18"/>
              </w:rPr>
              <w:t>Recommended use</w:t>
            </w:r>
          </w:p>
        </w:tc>
        <w:tc>
          <w:tcPr>
            <w:tcW w:type="dxa" w:w="5083"/>
            <w:tcMar>
              <w:top w:w="65" w:type="dxa"/>
              <w:start w:w="70" w:type="dxa"/>
              <w:bottom w:w="65" w:type="dxa"/>
              <w:end w:w="70" w:type="dxa"/>
            </w:tcMar>
            <w:vAlign w:val="top"/>
            <w:shd w:fill="F3F4F6"/>
          </w:tcPr>
          <w:p>
            <w:pPr>
              <w:spacing w:after="0" w:line="240" w:lineRule="auto"/>
            </w:pPr>
            <w:r/>
            <w:r>
              <w:rPr>
                <w:rFonts w:ascii="Calibri" w:hAnsi="Calibri"/>
                <w:b w:val="0"/>
                <w:i w:val="0"/>
                <w:color w:val="212529"/>
                <w:sz w:val="18"/>
              </w:rPr>
              <w:t>Review this document with the leadership team, define what must be true 12 months from now, then select the first 90-day implementation priorities.</w:t>
            </w:r>
          </w:p>
        </w:tc>
      </w:tr>
    </w:tbl>
    <w:p>
      <w:pPr>
        <w:spacing w:after="40"/>
      </w:pPr>
    </w:p>
    <w:tbl>
      <w:tblPr>
        <w:tblW w:type="auto" w:w="0"/>
        <w:jc w:val="center"/>
        <w:tblLook w:firstColumn="1" w:firstRow="1" w:lastColumn="0" w:lastRow="0" w:noHBand="0" w:noVBand="1" w:val="04A0"/>
      </w:tblPr>
      <w:tblGrid>
        <w:gridCol w:w="10166"/>
      </w:tblGrid>
      <w:tr>
        <w:tc>
          <w:tcPr>
            <w:tcW w:type="dxa" w:w="10166"/>
            <w:shd w:fill="FFF7E0"/>
            <w:tcMar>
              <w:top w:w="110" w:type="dxa"/>
              <w:start w:w="120" w:type="dxa"/>
              <w:bottom w:w="110" w:type="dxa"/>
              <w:end w:w="120" w:type="dxa"/>
            </w:tcMar>
          </w:tcPr>
          <w:p>
            <w:pPr>
              <w:spacing w:after="40"/>
            </w:pPr>
            <w:r>
              <w:rPr>
                <w:rFonts w:ascii="Calibri" w:hAnsi="Calibri"/>
                <w:b/>
                <w:color w:val="1F2937"/>
                <w:sz w:val="21"/>
              </w:rPr>
              <w:t>Core Operating Belief</w:t>
            </w:r>
          </w:p>
          <w:p>
            <w:pPr>
              <w:spacing w:after="0" w:line="252" w:lineRule="auto"/>
            </w:pPr>
            <w:r>
              <w:rPr>
                <w:rFonts w:ascii="Calibri" w:hAnsi="Calibri"/>
                <w:color w:val="212529"/>
                <w:sz w:val="20"/>
              </w:rPr>
              <w:t>Leadership problems are rarely just leadership problems. They become operational problems. Operational problems eventually become financial problems.</w:t>
            </w:r>
          </w:p>
        </w:tc>
      </w:tr>
    </w:tbl>
    <w:p>
      <w:pPr>
        <w:spacing w:after="20"/>
      </w:pPr>
    </w:p>
    <w:p>
      <w:pPr>
        <w:pStyle w:val="Heading1"/>
        <w:spacing w:before="160" w:after="80"/>
      </w:pPr>
      <w:r>
        <w:rPr>
          <w:rFonts w:ascii="Calibri" w:hAnsi="Calibri"/>
          <w:color w:val="1F2937"/>
          <w:sz w:val="36"/>
        </w:rPr>
        <w:t>Executive Premise</w:t>
      </w:r>
    </w:p>
    <w:p>
      <w:pPr>
        <w:spacing w:before="0" w:after="100" w:line="252" w:lineRule="auto"/>
      </w:pPr>
      <w:r>
        <w:rPr>
          <w:rFonts w:ascii="Calibri" w:hAnsi="Calibri"/>
          <w:color w:val="212529"/>
          <w:sz w:val="21"/>
        </w:rPr>
        <w:t>When leadership systems are weak, the organization pays for it through turnover, inconsistency, missed handoffs, rework, slow decisions, employee disengagement, and leadership burnout. These issues may appear disconnected, but they often share the same root cause: the organization lacks a reliable leadership operating system.</w:t>
      </w:r>
    </w:p>
    <w:p>
      <w:pPr>
        <w:spacing w:before="0" w:after="100" w:line="252" w:lineRule="auto"/>
      </w:pPr>
      <w:r>
        <w:rPr>
          <w:rFonts w:ascii="Calibri" w:hAnsi="Calibri"/>
          <w:color w:val="212529"/>
          <w:sz w:val="21"/>
        </w:rPr>
        <w:t>The purpose of this roadmap is not simply to train leaders. The purpose is to build a leadership system that improves operational performance, strengthens accountability, develops future leaders, and creates a culture capable of sustaining long-term growth.</w:t>
      </w:r>
    </w:p>
    <w:p>
      <w:pPr>
        <w:spacing w:before="0" w:after="100" w:line="252" w:lineRule="auto"/>
      </w:pPr>
      <w:r>
        <w:rPr>
          <w:rFonts w:ascii="Calibri" w:hAnsi="Calibri"/>
          <w:color w:val="212529"/>
          <w:sz w:val="21"/>
        </w:rPr>
        <w:t>A leadership system must make expectations visible, decisions clear, communication routine, problems actionable, and ownership measurable. Without those conditions, leadership development becomes activity instead of progress.</w:t>
      </w:r>
    </w:p>
    <w:p>
      <w:pPr>
        <w:pStyle w:val="Heading1"/>
        <w:spacing w:before="160" w:after="80"/>
      </w:pPr>
      <w:r>
        <w:rPr>
          <w:rFonts w:ascii="Calibri" w:hAnsi="Calibri"/>
          <w:color w:val="1F2937"/>
          <w:sz w:val="36"/>
        </w:rPr>
        <w:t>Common Current-State Signals</w:t>
      </w:r>
    </w:p>
    <w:p>
      <w:pPr>
        <w:spacing w:before="0" w:after="100" w:line="252" w:lineRule="auto"/>
      </w:pPr>
      <w:r>
        <w:rPr>
          <w:rFonts w:ascii="Calibri" w:hAnsi="Calibri"/>
          <w:color w:val="212529"/>
          <w:sz w:val="21"/>
        </w:rPr>
        <w:t>Most organizations do not need a perfect diagnostic to know that leadership and communication systems require attention. The signals are usually visible in daily operations.</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F2937"/>
            <w:tcMar>
              <w:top w:w="55" w:type="dxa"/>
              <w:start w:w="70" w:type="dxa"/>
              <w:bottom w:w="55" w:type="dxa"/>
              <w:end w:w="70" w:type="dxa"/>
            </w:tcMar>
          </w:tcPr>
          <w:p>
            <w:pPr>
              <w:spacing w:after="0" w:line="240" w:lineRule="auto"/>
            </w:pPr>
            <w:r/>
            <w:r>
              <w:rPr>
                <w:rFonts w:ascii="Calibri" w:hAnsi="Calibri"/>
                <w:b/>
                <w:i w:val="0"/>
                <w:color w:val="FFFFFF"/>
                <w:sz w:val="18"/>
              </w:rPr>
              <w:t>Signal Area</w:t>
            </w:r>
          </w:p>
        </w:tc>
        <w:tc>
          <w:tcPr>
            <w:tcW w:type="dxa" w:w="5083"/>
            <w:shd w:fill="1F2937"/>
            <w:tcMar>
              <w:top w:w="55" w:type="dxa"/>
              <w:start w:w="70" w:type="dxa"/>
              <w:bottom w:w="55" w:type="dxa"/>
              <w:end w:w="70" w:type="dxa"/>
            </w:tcMar>
          </w:tcPr>
          <w:p>
            <w:pPr>
              <w:spacing w:after="0" w:line="240" w:lineRule="auto"/>
            </w:pPr>
            <w:r/>
            <w:r>
              <w:rPr>
                <w:rFonts w:ascii="Calibri" w:hAnsi="Calibri"/>
                <w:b/>
                <w:i w:val="0"/>
                <w:color w:val="FFFFFF"/>
                <w:sz w:val="18"/>
              </w:rPr>
              <w:t>What It Often Looks Like</w:t>
            </w:r>
          </w:p>
        </w:tc>
      </w:tr>
      <w:tr>
        <w:trPr>
          <w:cantSplit/>
        </w:trPr>
        <w:tc>
          <w:tcPr>
            <w:tcW w:type="dxa" w:w="5083"/>
            <w:tcMar>
              <w:top w:w="65" w:type="dxa"/>
              <w:start w:w="70" w:type="dxa"/>
              <w:bottom w:w="65" w:type="dxa"/>
              <w:end w:w="70" w:type="dxa"/>
            </w:tcMar>
            <w:vAlign w:val="top"/>
          </w:tcPr>
          <w:p>
            <w:pPr>
              <w:spacing w:after="0" w:line="240" w:lineRule="auto"/>
            </w:pPr>
            <w:r/>
            <w:r>
              <w:rPr>
                <w:rFonts w:ascii="Calibri" w:hAnsi="Calibri"/>
                <w:b/>
                <w:i w:val="0"/>
                <w:color w:val="1F2937"/>
                <w:sz w:val="18"/>
              </w:rPr>
              <w:t>Communication</w:t>
            </w:r>
          </w:p>
        </w:tc>
        <w:tc>
          <w:tcPr>
            <w:tcW w:type="dxa" w:w="5083"/>
            <w:tcMar>
              <w:top w:w="65" w:type="dxa"/>
              <w:start w:w="70" w:type="dxa"/>
              <w:bottom w:w="65" w:type="dxa"/>
              <w:end w:w="70" w:type="dxa"/>
            </w:tcMar>
            <w:vAlign w:val="top"/>
          </w:tcPr>
          <w:p>
            <w:pPr>
              <w:spacing w:after="0" w:line="240" w:lineRule="auto"/>
            </w:pPr>
            <w:r/>
            <w:r>
              <w:rPr>
                <w:rFonts w:ascii="Calibri" w:hAnsi="Calibri"/>
                <w:b w:val="0"/>
                <w:i w:val="0"/>
                <w:color w:val="212529"/>
                <w:sz w:val="18"/>
              </w:rPr>
              <w:t>Information moves inconsistently. Leaders and employees receive updates late. Operational challenges surface only after they become urgent.</w:t>
            </w:r>
          </w:p>
        </w:tc>
      </w:tr>
      <w:tr>
        <w:trPr>
          <w:cantSplit/>
        </w:trPr>
        <w:tc>
          <w:tcPr>
            <w:tcW w:type="dxa" w:w="5083"/>
            <w:tcMar>
              <w:top w:w="65" w:type="dxa"/>
              <w:start w:w="70" w:type="dxa"/>
              <w:bottom w:w="65" w:type="dxa"/>
              <w:end w:w="70" w:type="dxa"/>
            </w:tcMar>
            <w:vAlign w:val="top"/>
            <w:shd w:fill="F3F4F6"/>
          </w:tcPr>
          <w:p>
            <w:pPr>
              <w:spacing w:after="0" w:line="240" w:lineRule="auto"/>
            </w:pPr>
            <w:r/>
            <w:r>
              <w:rPr>
                <w:rFonts w:ascii="Calibri" w:hAnsi="Calibri"/>
                <w:b/>
                <w:i w:val="0"/>
                <w:color w:val="1F2937"/>
                <w:sz w:val="18"/>
              </w:rPr>
              <w:t>Accountability</w:t>
            </w:r>
          </w:p>
        </w:tc>
        <w:tc>
          <w:tcPr>
            <w:tcW w:type="dxa" w:w="5083"/>
            <w:tcMar>
              <w:top w:w="65" w:type="dxa"/>
              <w:start w:w="70" w:type="dxa"/>
              <w:bottom w:w="65" w:type="dxa"/>
              <w:end w:w="70" w:type="dxa"/>
            </w:tcMar>
            <w:vAlign w:val="top"/>
            <w:shd w:fill="F3F4F6"/>
          </w:tcPr>
          <w:p>
            <w:pPr>
              <w:spacing w:after="0" w:line="240" w:lineRule="auto"/>
            </w:pPr>
            <w:r/>
            <w:r>
              <w:rPr>
                <w:rFonts w:ascii="Calibri" w:hAnsi="Calibri"/>
                <w:b w:val="0"/>
                <w:i w:val="0"/>
                <w:color w:val="212529"/>
                <w:sz w:val="18"/>
              </w:rPr>
              <w:t>Expectations vary by team or department. Leadership responses are inconsistent. Problems are addressed at the symptom level instead of the system level.</w:t>
            </w:r>
          </w:p>
        </w:tc>
      </w:tr>
      <w:tr>
        <w:trPr>
          <w:cantSplit/>
        </w:trPr>
        <w:tc>
          <w:tcPr>
            <w:tcW w:type="dxa" w:w="5083"/>
            <w:tcMar>
              <w:top w:w="65" w:type="dxa"/>
              <w:start w:w="70" w:type="dxa"/>
              <w:bottom w:w="65" w:type="dxa"/>
              <w:end w:w="70" w:type="dxa"/>
            </w:tcMar>
            <w:vAlign w:val="top"/>
          </w:tcPr>
          <w:p>
            <w:pPr>
              <w:spacing w:after="0" w:line="240" w:lineRule="auto"/>
            </w:pPr>
            <w:r/>
            <w:r>
              <w:rPr>
                <w:rFonts w:ascii="Calibri" w:hAnsi="Calibri"/>
                <w:b/>
                <w:i w:val="0"/>
                <w:color w:val="1F2937"/>
                <w:sz w:val="18"/>
              </w:rPr>
              <w:t>Leadership Development</w:t>
            </w:r>
          </w:p>
        </w:tc>
        <w:tc>
          <w:tcPr>
            <w:tcW w:type="dxa" w:w="5083"/>
            <w:tcMar>
              <w:top w:w="65" w:type="dxa"/>
              <w:start w:w="70" w:type="dxa"/>
              <w:bottom w:w="65" w:type="dxa"/>
              <w:end w:w="70" w:type="dxa"/>
            </w:tcMar>
            <w:vAlign w:val="top"/>
          </w:tcPr>
          <w:p>
            <w:pPr>
              <w:spacing w:after="0" w:line="240" w:lineRule="auto"/>
            </w:pPr>
            <w:r/>
            <w:r>
              <w:rPr>
                <w:rFonts w:ascii="Calibri" w:hAnsi="Calibri"/>
                <w:b w:val="0"/>
                <w:i w:val="0"/>
                <w:color w:val="212529"/>
                <w:sz w:val="18"/>
              </w:rPr>
              <w:t>Leadership practices depend heavily on individual personalities. Few standardized leadership expectations exist. Development occurs informally, if at all.</w:t>
            </w:r>
          </w:p>
        </w:tc>
      </w:tr>
      <w:tr>
        <w:trPr>
          <w:cantSplit/>
        </w:trPr>
        <w:tc>
          <w:tcPr>
            <w:tcW w:type="dxa" w:w="5083"/>
            <w:tcMar>
              <w:top w:w="65" w:type="dxa"/>
              <w:start w:w="70" w:type="dxa"/>
              <w:bottom w:w="65" w:type="dxa"/>
              <w:end w:w="70" w:type="dxa"/>
            </w:tcMar>
            <w:vAlign w:val="top"/>
            <w:shd w:fill="F3F4F6"/>
          </w:tcPr>
          <w:p>
            <w:pPr>
              <w:spacing w:after="0" w:line="240" w:lineRule="auto"/>
            </w:pPr>
            <w:r/>
            <w:r>
              <w:rPr>
                <w:rFonts w:ascii="Calibri" w:hAnsi="Calibri"/>
                <w:b/>
                <w:i w:val="0"/>
                <w:color w:val="1F2937"/>
                <w:sz w:val="18"/>
              </w:rPr>
              <w:t>Culture</w:t>
            </w:r>
          </w:p>
        </w:tc>
        <w:tc>
          <w:tcPr>
            <w:tcW w:type="dxa" w:w="5083"/>
            <w:tcMar>
              <w:top w:w="65" w:type="dxa"/>
              <w:start w:w="70" w:type="dxa"/>
              <w:bottom w:w="65" w:type="dxa"/>
              <w:end w:w="70" w:type="dxa"/>
            </w:tcMar>
            <w:vAlign w:val="top"/>
            <w:shd w:fill="F3F4F6"/>
          </w:tcPr>
          <w:p>
            <w:pPr>
              <w:spacing w:after="0" w:line="240" w:lineRule="auto"/>
            </w:pPr>
            <w:r/>
            <w:r>
              <w:rPr>
                <w:rFonts w:ascii="Calibri" w:hAnsi="Calibri"/>
                <w:b w:val="0"/>
                <w:i w:val="0"/>
                <w:color w:val="212529"/>
                <w:sz w:val="18"/>
              </w:rPr>
              <w:t>Turnover becomes accepted as normal. Employees depend on specific individuals rather than repeatable systems. Morale varies significantly by area.</w:t>
            </w:r>
          </w:p>
        </w:tc>
      </w:tr>
      <w:tr>
        <w:trPr>
          <w:cantSplit/>
        </w:trPr>
        <w:tc>
          <w:tcPr>
            <w:tcW w:type="dxa" w:w="5083"/>
            <w:tcMar>
              <w:top w:w="65" w:type="dxa"/>
              <w:start w:w="70" w:type="dxa"/>
              <w:bottom w:w="65" w:type="dxa"/>
              <w:end w:w="70" w:type="dxa"/>
            </w:tcMar>
            <w:vAlign w:val="top"/>
          </w:tcPr>
          <w:p>
            <w:pPr>
              <w:spacing w:after="0" w:line="240" w:lineRule="auto"/>
            </w:pPr>
            <w:r/>
            <w:r>
              <w:rPr>
                <w:rFonts w:ascii="Calibri" w:hAnsi="Calibri"/>
                <w:b/>
                <w:i w:val="0"/>
                <w:color w:val="1F2937"/>
                <w:sz w:val="18"/>
              </w:rPr>
              <w:t>Operations</w:t>
            </w:r>
          </w:p>
        </w:tc>
        <w:tc>
          <w:tcPr>
            <w:tcW w:type="dxa" w:w="5083"/>
            <w:tcMar>
              <w:top w:w="65" w:type="dxa"/>
              <w:start w:w="70" w:type="dxa"/>
              <w:bottom w:w="65" w:type="dxa"/>
              <w:end w:w="70" w:type="dxa"/>
            </w:tcMar>
            <w:vAlign w:val="top"/>
          </w:tcPr>
          <w:p>
            <w:pPr>
              <w:spacing w:after="0" w:line="240" w:lineRule="auto"/>
            </w:pPr>
            <w:r/>
            <w:r>
              <w:rPr>
                <w:rFonts w:ascii="Calibri" w:hAnsi="Calibri"/>
                <w:b w:val="0"/>
                <w:i w:val="0"/>
                <w:color w:val="212529"/>
                <w:sz w:val="18"/>
              </w:rPr>
              <w:t>Leaders spend excessive time firefighting. Meetings do not reliably drive decisions. Metrics are unclear, late, or disconnected from action.</w:t>
            </w:r>
          </w:p>
        </w:tc>
      </w:tr>
    </w:tbl>
    <w:p>
      <w:pPr>
        <w:spacing w:before="80" w:after="100" w:line="252" w:lineRule="auto"/>
      </w:pPr>
      <w:r>
        <w:rPr>
          <w:rFonts w:ascii="Calibri" w:hAnsi="Calibri"/>
          <w:color w:val="212529"/>
          <w:sz w:val="21"/>
        </w:rPr>
        <w:t>These conditions are common in growing, changing, or operationally strained organizations. They often indicate a culture operating between Level 1 and Level 2 of organizational maturity.</w:t>
      </w:r>
    </w:p>
    <w:p>
      <w:pPr>
        <w:pStyle w:val="Heading1"/>
        <w:spacing w:before="160" w:after="80"/>
      </w:pPr>
      <w:r>
        <w:rPr>
          <w:rFonts w:ascii="Calibri" w:hAnsi="Calibri"/>
          <w:color w:val="1F2937"/>
          <w:sz w:val="36"/>
        </w:rPr>
        <w:t>The Defining Question</w:t>
      </w:r>
    </w:p>
    <w:p>
      <w:pPr>
        <w:spacing w:before="0" w:after="100" w:line="252" w:lineRule="auto"/>
      </w:pPr>
      <w:r>
        <w:rPr>
          <w:rFonts w:ascii="Calibri" w:hAnsi="Calibri"/>
          <w:color w:val="212529"/>
          <w:sz w:val="21"/>
        </w:rPr>
        <w:t>Before discussing training, meetings, scoreboards, coaching, or culture programs, the leadership team must answer one question:</w:t>
      </w:r>
    </w:p>
    <w:tbl>
      <w:tblPr>
        <w:tblW w:type="auto" w:w="0"/>
        <w:jc w:val="center"/>
        <w:tblLook w:firstColumn="1" w:firstRow="1" w:lastColumn="0" w:lastRow="0" w:noHBand="0" w:noVBand="1" w:val="04A0"/>
      </w:tblPr>
      <w:tblGrid>
        <w:gridCol w:w="10166"/>
      </w:tblGrid>
      <w:tr>
        <w:tc>
          <w:tcPr>
            <w:tcW w:type="dxa" w:w="10166"/>
            <w:shd w:fill="E8F0FE"/>
            <w:tcMar>
              <w:top w:w="110" w:type="dxa"/>
              <w:start w:w="120" w:type="dxa"/>
              <w:bottom w:w="110" w:type="dxa"/>
              <w:end w:w="120" w:type="dxa"/>
            </w:tcMar>
          </w:tcPr>
          <w:p>
            <w:pPr>
              <w:spacing w:after="40"/>
            </w:pPr>
            <w:r>
              <w:rPr>
                <w:rFonts w:ascii="Calibri" w:hAnsi="Calibri"/>
                <w:b/>
                <w:color w:val="1F2937"/>
                <w:sz w:val="21"/>
              </w:rPr>
              <w:t>Strategic Question</w:t>
            </w:r>
          </w:p>
          <w:p>
            <w:pPr>
              <w:spacing w:after="0" w:line="252" w:lineRule="auto"/>
            </w:pPr>
            <w:r>
              <w:rPr>
                <w:rFonts w:ascii="Calibri" w:hAnsi="Calibri"/>
                <w:color w:val="212529"/>
                <w:sz w:val="20"/>
              </w:rPr>
              <w:t>What must be true 12 months from now for us to confidently say leadership has improved?</w:t>
            </w:r>
          </w:p>
        </w:tc>
      </w:tr>
    </w:tbl>
    <w:p>
      <w:pPr>
        <w:spacing w:after="20"/>
      </w:pPr>
    </w:p>
    <w:p>
      <w:pPr>
        <w:spacing w:before="0" w:after="100" w:line="252" w:lineRule="auto"/>
      </w:pPr>
      <w:r>
        <w:rPr>
          <w:rFonts w:ascii="Calibri" w:hAnsi="Calibri"/>
          <w:color w:val="212529"/>
          <w:sz w:val="21"/>
        </w:rPr>
        <w:t>Possible answers may include:</w:t>
      </w:r>
    </w:p>
    <w:p>
      <w:pPr>
        <w:pStyle w:val="ListBullet"/>
        <w:spacing w:after="30" w:line="240" w:lineRule="auto"/>
      </w:pPr>
      <w:r>
        <w:rPr>
          <w:rFonts w:ascii="Calibri" w:hAnsi="Calibri"/>
          <w:color w:val="212529"/>
          <w:sz w:val="20"/>
        </w:rPr>
        <w:t>Turnover decreases and retention improves.</w:t>
      </w:r>
    </w:p>
    <w:p>
      <w:pPr>
        <w:pStyle w:val="ListBullet"/>
        <w:spacing w:after="30" w:line="240" w:lineRule="auto"/>
      </w:pPr>
      <w:r>
        <w:rPr>
          <w:rFonts w:ascii="Calibri" w:hAnsi="Calibri"/>
          <w:color w:val="212529"/>
          <w:sz w:val="20"/>
        </w:rPr>
        <w:t>Communication becomes faster, clearer, and more reliable.</w:t>
      </w:r>
    </w:p>
    <w:p>
      <w:pPr>
        <w:pStyle w:val="ListBullet"/>
        <w:spacing w:after="30" w:line="240" w:lineRule="auto"/>
      </w:pPr>
      <w:r>
        <w:rPr>
          <w:rFonts w:ascii="Calibri" w:hAnsi="Calibri"/>
          <w:color w:val="212529"/>
          <w:sz w:val="20"/>
        </w:rPr>
        <w:t>Decisions are made closer to the work and with less delay.</w:t>
      </w:r>
    </w:p>
    <w:p>
      <w:pPr>
        <w:pStyle w:val="ListBullet"/>
        <w:spacing w:after="30" w:line="240" w:lineRule="auto"/>
      </w:pPr>
      <w:r>
        <w:rPr>
          <w:rFonts w:ascii="Calibri" w:hAnsi="Calibri"/>
          <w:color w:val="212529"/>
          <w:sz w:val="20"/>
        </w:rPr>
        <w:t>Accountability becomes consistent across teams, shifts, and departments.</w:t>
      </w:r>
    </w:p>
    <w:p>
      <w:pPr>
        <w:pStyle w:val="ListBullet"/>
        <w:spacing w:after="30" w:line="240" w:lineRule="auto"/>
      </w:pPr>
      <w:r>
        <w:rPr>
          <w:rFonts w:ascii="Calibri" w:hAnsi="Calibri"/>
          <w:color w:val="212529"/>
          <w:sz w:val="20"/>
        </w:rPr>
        <w:t>Employees take greater ownership of outcomes, not just tasks.</w:t>
      </w:r>
    </w:p>
    <w:p>
      <w:pPr>
        <w:pStyle w:val="ListBullet"/>
        <w:spacing w:after="30" w:line="240" w:lineRule="auto"/>
      </w:pPr>
      <w:r>
        <w:rPr>
          <w:rFonts w:ascii="Calibri" w:hAnsi="Calibri"/>
          <w:color w:val="212529"/>
          <w:sz w:val="20"/>
        </w:rPr>
        <w:t>Internal promotions increase because future leaders are being developed.</w:t>
      </w:r>
    </w:p>
    <w:p>
      <w:pPr>
        <w:pStyle w:val="ListBullet"/>
        <w:spacing w:after="30" w:line="240" w:lineRule="auto"/>
      </w:pPr>
      <w:r>
        <w:rPr>
          <w:rFonts w:ascii="Calibri" w:hAnsi="Calibri"/>
          <w:color w:val="212529"/>
          <w:sz w:val="20"/>
        </w:rPr>
        <w:t>Leaders spend less time firefighting and more time improving systems.</w:t>
      </w:r>
    </w:p>
    <w:p>
      <w:pPr>
        <w:pStyle w:val="ListBullet"/>
        <w:spacing w:after="30" w:line="240" w:lineRule="auto"/>
      </w:pPr>
      <w:r>
        <w:rPr>
          <w:rFonts w:ascii="Calibri" w:hAnsi="Calibri"/>
          <w:color w:val="212529"/>
          <w:sz w:val="20"/>
        </w:rPr>
        <w:t>Productivity, quality, customer experience, or service reliability improves.</w:t>
      </w:r>
    </w:p>
    <w:p>
      <w:pPr>
        <w:pStyle w:val="ListBullet"/>
        <w:spacing w:after="30" w:line="240" w:lineRule="auto"/>
      </w:pPr>
      <w:r>
        <w:rPr>
          <w:rFonts w:ascii="Calibri" w:hAnsi="Calibri"/>
          <w:color w:val="212529"/>
          <w:sz w:val="20"/>
        </w:rPr>
        <w:t>Morale improves because standards are clearer and leadership is more predictable.</w:t>
      </w:r>
    </w:p>
    <w:p>
      <w:pPr>
        <w:spacing w:before="0" w:after="100" w:line="252" w:lineRule="auto"/>
      </w:pPr>
      <w:r>
        <w:rPr>
          <w:rFonts w:ascii="Calibri" w:hAnsi="Calibri"/>
          <w:color w:val="212529"/>
          <w:sz w:val="21"/>
        </w:rPr>
        <w:t>These answers become the measures of success. Without defining success first, leadership development becomes activity instead of progress.</w:t>
      </w:r>
    </w:p>
    <w:p>
      <w:r>
        <w:br w:type="page"/>
      </w:r>
    </w:p>
    <w:p>
      <w:pPr>
        <w:pStyle w:val="Heading1"/>
        <w:spacing w:before="160" w:after="80"/>
      </w:pPr>
      <w:r>
        <w:rPr>
          <w:rFonts w:ascii="Calibri" w:hAnsi="Calibri"/>
          <w:color w:val="1F2937"/>
          <w:sz w:val="36"/>
        </w:rPr>
        <w:t>The Leadership Maturity Model</w:t>
      </w:r>
    </w:p>
    <w:p>
      <w:pPr>
        <w:spacing w:before="0" w:after="100" w:line="252" w:lineRule="auto"/>
      </w:pPr>
      <w:r>
        <w:rPr>
          <w:rFonts w:ascii="Calibri" w:hAnsi="Calibri"/>
          <w:color w:val="212529"/>
          <w:sz w:val="21"/>
        </w:rPr>
        <w:t>This roadmap uses a seven-level culture framework, from Level 0 through Level 6. The goal is not to jump immediately to Level 6. The goal is to progress deliberately and sustainably.</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cantSplit/>
        </w:trPr>
        <w:tc>
          <w:tcPr>
            <w:tcW w:type="dxa" w:w="2541"/>
            <w:shd w:fill="1F2937"/>
            <w:tcMar>
              <w:top w:w="45" w:type="dxa"/>
              <w:start w:w="55" w:type="dxa"/>
              <w:bottom w:w="45" w:type="dxa"/>
              <w:end w:w="55" w:type="dxa"/>
            </w:tcMar>
          </w:tcPr>
          <w:p>
            <w:pPr>
              <w:spacing w:after="0" w:line="240" w:lineRule="auto"/>
            </w:pPr>
            <w:r/>
            <w:r>
              <w:rPr>
                <w:rFonts w:ascii="Calibri" w:hAnsi="Calibri"/>
                <w:b/>
                <w:i w:val="0"/>
                <w:color w:val="FFFFFF"/>
                <w:sz w:val="17"/>
              </w:rPr>
              <w:t>Level</w:t>
            </w:r>
          </w:p>
        </w:tc>
        <w:tc>
          <w:tcPr>
            <w:tcW w:type="dxa" w:w="2541"/>
            <w:shd w:fill="1F2937"/>
            <w:tcMar>
              <w:top w:w="45" w:type="dxa"/>
              <w:start w:w="55" w:type="dxa"/>
              <w:bottom w:w="45" w:type="dxa"/>
              <w:end w:w="55" w:type="dxa"/>
            </w:tcMar>
          </w:tcPr>
          <w:p>
            <w:pPr>
              <w:spacing w:after="0" w:line="240" w:lineRule="auto"/>
            </w:pPr>
            <w:r/>
            <w:r>
              <w:rPr>
                <w:rFonts w:ascii="Calibri" w:hAnsi="Calibri"/>
                <w:b/>
                <w:i w:val="0"/>
                <w:color w:val="FFFFFF"/>
                <w:sz w:val="17"/>
              </w:rPr>
              <w:t>Culture Type</w:t>
            </w:r>
          </w:p>
        </w:tc>
        <w:tc>
          <w:tcPr>
            <w:tcW w:type="dxa" w:w="2541"/>
            <w:shd w:fill="1F2937"/>
            <w:tcMar>
              <w:top w:w="45" w:type="dxa"/>
              <w:start w:w="55" w:type="dxa"/>
              <w:bottom w:w="45" w:type="dxa"/>
              <w:end w:w="55" w:type="dxa"/>
            </w:tcMar>
          </w:tcPr>
          <w:p>
            <w:pPr>
              <w:spacing w:after="0" w:line="240" w:lineRule="auto"/>
            </w:pPr>
            <w:r/>
            <w:r>
              <w:rPr>
                <w:rFonts w:ascii="Calibri" w:hAnsi="Calibri"/>
                <w:b/>
                <w:i w:val="0"/>
                <w:color w:val="FFFFFF"/>
                <w:sz w:val="17"/>
              </w:rPr>
              <w:t>Common Characteristics</w:t>
            </w:r>
          </w:p>
        </w:tc>
        <w:tc>
          <w:tcPr>
            <w:tcW w:type="dxa" w:w="2541"/>
            <w:shd w:fill="1F2937"/>
            <w:tcMar>
              <w:top w:w="45" w:type="dxa"/>
              <w:start w:w="55" w:type="dxa"/>
              <w:bottom w:w="45" w:type="dxa"/>
              <w:end w:w="55" w:type="dxa"/>
            </w:tcMar>
          </w:tcPr>
          <w:p>
            <w:pPr>
              <w:spacing w:after="0" w:line="240" w:lineRule="auto"/>
            </w:pPr>
            <w:r/>
            <w:r>
              <w:rPr>
                <w:rFonts w:ascii="Calibri" w:hAnsi="Calibri"/>
                <w:b/>
                <w:i w:val="0"/>
                <w:color w:val="FFFFFF"/>
                <w:sz w:val="17"/>
              </w:rPr>
              <w:t>Leadership Requirement</w:t>
            </w:r>
          </w:p>
        </w:tc>
      </w:tr>
      <w:tr>
        <w:trPr>
          <w:cantSplit/>
        </w:trPr>
        <w:tc>
          <w:tcPr>
            <w:tcW w:type="dxa" w:w="2541"/>
            <w:tcMar>
              <w:top w:w="55" w:type="dxa"/>
              <w:start w:w="55" w:type="dxa"/>
              <w:bottom w:w="55" w:type="dxa"/>
              <w:end w:w="55" w:type="dxa"/>
            </w:tcMar>
            <w:vAlign w:val="top"/>
          </w:tcPr>
          <w:p>
            <w:pPr>
              <w:spacing w:after="0" w:line="240" w:lineRule="auto"/>
            </w:pPr>
            <w:r/>
            <w:r>
              <w:rPr>
                <w:rFonts w:ascii="Calibri" w:hAnsi="Calibri"/>
                <w:b/>
                <w:i w:val="0"/>
                <w:color w:val="1F2937"/>
                <w:sz w:val="17"/>
              </w:rPr>
              <w:t>0</w:t>
            </w:r>
          </w:p>
        </w:tc>
        <w:tc>
          <w:tcPr>
            <w:tcW w:type="dxa" w:w="2541"/>
            <w:tcMar>
              <w:top w:w="55" w:type="dxa"/>
              <w:start w:w="55" w:type="dxa"/>
              <w:bottom w:w="55" w:type="dxa"/>
              <w:end w:w="55" w:type="dxa"/>
            </w:tcMar>
            <w:vAlign w:val="top"/>
          </w:tcPr>
          <w:p>
            <w:pPr>
              <w:spacing w:after="0" w:line="240" w:lineRule="auto"/>
            </w:pPr>
            <w:r/>
            <w:r>
              <w:rPr>
                <w:rFonts w:ascii="Calibri" w:hAnsi="Calibri"/>
                <w:b/>
                <w:i w:val="0"/>
                <w:color w:val="1F2937"/>
                <w:sz w:val="17"/>
              </w:rPr>
              <w:t>Toxic / No Culture</w:t>
            </w:r>
          </w:p>
        </w:tc>
        <w:tc>
          <w:tcPr>
            <w:tcW w:type="dxa" w:w="2541"/>
            <w:tcMar>
              <w:top w:w="55" w:type="dxa"/>
              <w:start w:w="55" w:type="dxa"/>
              <w:bottom w:w="55" w:type="dxa"/>
              <w:end w:w="55" w:type="dxa"/>
            </w:tcMar>
            <w:vAlign w:val="top"/>
          </w:tcPr>
          <w:p>
            <w:pPr>
              <w:spacing w:after="0" w:line="240" w:lineRule="auto"/>
            </w:pPr>
            <w:r/>
            <w:r>
              <w:rPr>
                <w:rFonts w:ascii="Calibri" w:hAnsi="Calibri"/>
                <w:b w:val="0"/>
                <w:i w:val="0"/>
                <w:color w:val="212529"/>
                <w:sz w:val="17"/>
              </w:rPr>
              <w:t>Avoidance, blame, fear, high turnover, poor communication.</w:t>
            </w:r>
          </w:p>
        </w:tc>
        <w:tc>
          <w:tcPr>
            <w:tcW w:type="dxa" w:w="2541"/>
            <w:tcMar>
              <w:top w:w="55" w:type="dxa"/>
              <w:start w:w="55" w:type="dxa"/>
              <w:bottom w:w="55" w:type="dxa"/>
              <w:end w:w="55" w:type="dxa"/>
            </w:tcMar>
            <w:vAlign w:val="top"/>
          </w:tcPr>
          <w:p>
            <w:pPr>
              <w:spacing w:after="0" w:line="240" w:lineRule="auto"/>
            </w:pPr>
            <w:r/>
            <w:r>
              <w:rPr>
                <w:rFonts w:ascii="Calibri" w:hAnsi="Calibri"/>
                <w:b w:val="0"/>
                <w:i w:val="0"/>
                <w:color w:val="212529"/>
                <w:sz w:val="17"/>
              </w:rPr>
              <w:t>Stabilization. Establish trust, safety, and basic consistency before improvement can occur.</w:t>
            </w:r>
          </w:p>
        </w:tc>
      </w:tr>
      <w:tr>
        <w:trPr>
          <w:cantSplit/>
        </w:trPr>
        <w:tc>
          <w:tcPr>
            <w:tcW w:type="dxa" w:w="2541"/>
            <w:tcMar>
              <w:top w:w="55" w:type="dxa"/>
              <w:start w:w="55" w:type="dxa"/>
              <w:bottom w:w="55" w:type="dxa"/>
              <w:end w:w="55" w:type="dxa"/>
            </w:tcMar>
            <w:vAlign w:val="top"/>
            <w:shd w:fill="F3F4F6"/>
          </w:tcPr>
          <w:p>
            <w:pPr>
              <w:spacing w:after="0" w:line="240" w:lineRule="auto"/>
            </w:pPr>
            <w:r/>
            <w:r>
              <w:rPr>
                <w:rFonts w:ascii="Calibri" w:hAnsi="Calibri"/>
                <w:b/>
                <w:i w:val="0"/>
                <w:color w:val="1F2937"/>
                <w:sz w:val="17"/>
              </w:rPr>
              <w:t>1</w:t>
            </w:r>
          </w:p>
        </w:tc>
        <w:tc>
          <w:tcPr>
            <w:tcW w:type="dxa" w:w="2541"/>
            <w:tcMar>
              <w:top w:w="55" w:type="dxa"/>
              <w:start w:w="55" w:type="dxa"/>
              <w:bottom w:w="55" w:type="dxa"/>
              <w:end w:w="55" w:type="dxa"/>
            </w:tcMar>
            <w:vAlign w:val="top"/>
            <w:shd w:fill="F3F4F6"/>
          </w:tcPr>
          <w:p>
            <w:pPr>
              <w:spacing w:after="0" w:line="240" w:lineRule="auto"/>
            </w:pPr>
            <w:r/>
            <w:r>
              <w:rPr>
                <w:rFonts w:ascii="Calibri" w:hAnsi="Calibri"/>
                <w:b/>
                <w:i w:val="0"/>
                <w:color w:val="1F2937"/>
                <w:sz w:val="17"/>
              </w:rPr>
              <w:t>Hierarchy / Compliance Culture</w:t>
            </w:r>
          </w:p>
        </w:tc>
        <w:tc>
          <w:tcPr>
            <w:tcW w:type="dxa" w:w="2541"/>
            <w:tcMar>
              <w:top w:w="55" w:type="dxa"/>
              <w:start w:w="55" w:type="dxa"/>
              <w:bottom w:w="55" w:type="dxa"/>
              <w:end w:w="55" w:type="dxa"/>
            </w:tcMar>
            <w:vAlign w:val="top"/>
            <w:shd w:fill="F3F4F6"/>
          </w:tcPr>
          <w:p>
            <w:pPr>
              <w:spacing w:after="0" w:line="240" w:lineRule="auto"/>
            </w:pPr>
            <w:r/>
            <w:r>
              <w:rPr>
                <w:rFonts w:ascii="Calibri" w:hAnsi="Calibri"/>
                <w:b w:val="0"/>
                <w:i w:val="0"/>
                <w:color w:val="212529"/>
                <w:sz w:val="17"/>
              </w:rPr>
              <w:t>Rules drive behavior. Decision making is centralized. Employees wait for permission. Initiative is limited.</w:t>
            </w:r>
          </w:p>
        </w:tc>
        <w:tc>
          <w:tcPr>
            <w:tcW w:type="dxa" w:w="2541"/>
            <w:tcMar>
              <w:top w:w="55" w:type="dxa"/>
              <w:start w:w="55" w:type="dxa"/>
              <w:bottom w:w="55" w:type="dxa"/>
              <w:end w:w="55" w:type="dxa"/>
            </w:tcMar>
            <w:vAlign w:val="top"/>
            <w:shd w:fill="F3F4F6"/>
          </w:tcPr>
          <w:p>
            <w:pPr>
              <w:spacing w:after="0" w:line="240" w:lineRule="auto"/>
            </w:pPr>
            <w:r/>
            <w:r>
              <w:rPr>
                <w:rFonts w:ascii="Calibri" w:hAnsi="Calibri"/>
                <w:b w:val="0"/>
                <w:i w:val="0"/>
                <w:color w:val="212529"/>
                <w:sz w:val="17"/>
              </w:rPr>
              <w:t>Move beyond compliance. Begin building accountability instead of relying only on authority.</w:t>
            </w:r>
          </w:p>
        </w:tc>
      </w:tr>
      <w:tr>
        <w:trPr>
          <w:cantSplit/>
        </w:trPr>
        <w:tc>
          <w:tcPr>
            <w:tcW w:type="dxa" w:w="2541"/>
            <w:tcMar>
              <w:top w:w="55" w:type="dxa"/>
              <w:start w:w="55" w:type="dxa"/>
              <w:bottom w:w="55" w:type="dxa"/>
              <w:end w:w="55" w:type="dxa"/>
            </w:tcMar>
            <w:vAlign w:val="top"/>
          </w:tcPr>
          <w:p>
            <w:pPr>
              <w:spacing w:after="0" w:line="240" w:lineRule="auto"/>
            </w:pPr>
            <w:r/>
            <w:r>
              <w:rPr>
                <w:rFonts w:ascii="Calibri" w:hAnsi="Calibri"/>
                <w:b/>
                <w:i w:val="0"/>
                <w:color w:val="1F2937"/>
                <w:sz w:val="17"/>
              </w:rPr>
              <w:t>2</w:t>
            </w:r>
          </w:p>
        </w:tc>
        <w:tc>
          <w:tcPr>
            <w:tcW w:type="dxa" w:w="2541"/>
            <w:tcMar>
              <w:top w:w="55" w:type="dxa"/>
              <w:start w:w="55" w:type="dxa"/>
              <w:bottom w:w="55" w:type="dxa"/>
              <w:end w:w="55" w:type="dxa"/>
            </w:tcMar>
            <w:vAlign w:val="top"/>
          </w:tcPr>
          <w:p>
            <w:pPr>
              <w:spacing w:after="0" w:line="240" w:lineRule="auto"/>
            </w:pPr>
            <w:r/>
            <w:r>
              <w:rPr>
                <w:rFonts w:ascii="Calibri" w:hAnsi="Calibri"/>
                <w:b/>
                <w:i w:val="0"/>
                <w:color w:val="1F2937"/>
                <w:sz w:val="17"/>
              </w:rPr>
              <w:t>Accountability Culture</w:t>
            </w:r>
          </w:p>
        </w:tc>
        <w:tc>
          <w:tcPr>
            <w:tcW w:type="dxa" w:w="2541"/>
            <w:tcMar>
              <w:top w:w="55" w:type="dxa"/>
              <w:start w:w="55" w:type="dxa"/>
              <w:bottom w:w="55" w:type="dxa"/>
              <w:end w:w="55" w:type="dxa"/>
            </w:tcMar>
            <w:vAlign w:val="top"/>
          </w:tcPr>
          <w:p>
            <w:pPr>
              <w:spacing w:after="0" w:line="240" w:lineRule="auto"/>
            </w:pPr>
            <w:r/>
            <w:r>
              <w:rPr>
                <w:rFonts w:ascii="Calibri" w:hAnsi="Calibri"/>
                <w:b w:val="0"/>
                <w:i w:val="0"/>
                <w:color w:val="212529"/>
                <w:sz w:val="17"/>
              </w:rPr>
              <w:t>Expectations are clear. Standards are communicated. Performance issues are addressed. Metrics become visible.</w:t>
            </w:r>
          </w:p>
        </w:tc>
        <w:tc>
          <w:tcPr>
            <w:tcW w:type="dxa" w:w="2541"/>
            <w:tcMar>
              <w:top w:w="55" w:type="dxa"/>
              <w:start w:w="55" w:type="dxa"/>
              <w:bottom w:w="55" w:type="dxa"/>
              <w:end w:w="55" w:type="dxa"/>
            </w:tcMar>
            <w:vAlign w:val="top"/>
          </w:tcPr>
          <w:p>
            <w:pPr>
              <w:spacing w:after="0" w:line="240" w:lineRule="auto"/>
            </w:pPr>
            <w:r/>
            <w:r>
              <w:rPr>
                <w:rFonts w:ascii="Calibri" w:hAnsi="Calibri"/>
                <w:b w:val="0"/>
                <w:i w:val="0"/>
                <w:color w:val="212529"/>
                <w:sz w:val="17"/>
              </w:rPr>
              <w:t>Consistency. Define success, decision ownership, measures, and consequences.</w:t>
            </w:r>
          </w:p>
        </w:tc>
      </w:tr>
      <w:tr>
        <w:trPr>
          <w:cantSplit/>
        </w:trPr>
        <w:tc>
          <w:tcPr>
            <w:tcW w:type="dxa" w:w="2541"/>
            <w:tcMar>
              <w:top w:w="55" w:type="dxa"/>
              <w:start w:w="55" w:type="dxa"/>
              <w:bottom w:w="55" w:type="dxa"/>
              <w:end w:w="55" w:type="dxa"/>
            </w:tcMar>
            <w:vAlign w:val="top"/>
            <w:shd w:fill="F3F4F6"/>
          </w:tcPr>
          <w:p>
            <w:pPr>
              <w:spacing w:after="0" w:line="240" w:lineRule="auto"/>
            </w:pPr>
            <w:r/>
            <w:r>
              <w:rPr>
                <w:rFonts w:ascii="Calibri" w:hAnsi="Calibri"/>
                <w:b/>
                <w:i w:val="0"/>
                <w:color w:val="1F2937"/>
                <w:sz w:val="17"/>
              </w:rPr>
              <w:t>3</w:t>
            </w:r>
          </w:p>
        </w:tc>
        <w:tc>
          <w:tcPr>
            <w:tcW w:type="dxa" w:w="2541"/>
            <w:tcMar>
              <w:top w:w="55" w:type="dxa"/>
              <w:start w:w="55" w:type="dxa"/>
              <w:bottom w:w="55" w:type="dxa"/>
              <w:end w:w="55" w:type="dxa"/>
            </w:tcMar>
            <w:vAlign w:val="top"/>
            <w:shd w:fill="F3F4F6"/>
          </w:tcPr>
          <w:p>
            <w:pPr>
              <w:spacing w:after="0" w:line="240" w:lineRule="auto"/>
            </w:pPr>
            <w:r/>
            <w:r>
              <w:rPr>
                <w:rFonts w:ascii="Calibri" w:hAnsi="Calibri"/>
                <w:b/>
                <w:i w:val="0"/>
                <w:color w:val="1F2937"/>
                <w:sz w:val="17"/>
              </w:rPr>
              <w:t>Ownership Culture</w:t>
            </w:r>
          </w:p>
        </w:tc>
        <w:tc>
          <w:tcPr>
            <w:tcW w:type="dxa" w:w="2541"/>
            <w:tcMar>
              <w:top w:w="55" w:type="dxa"/>
              <w:start w:w="55" w:type="dxa"/>
              <w:bottom w:w="55" w:type="dxa"/>
              <w:end w:w="55" w:type="dxa"/>
            </w:tcMar>
            <w:vAlign w:val="top"/>
            <w:shd w:fill="F3F4F6"/>
          </w:tcPr>
          <w:p>
            <w:pPr>
              <w:spacing w:after="0" w:line="240" w:lineRule="auto"/>
            </w:pPr>
            <w:r/>
            <w:r>
              <w:rPr>
                <w:rFonts w:ascii="Calibri" w:hAnsi="Calibri"/>
                <w:b w:val="0"/>
                <w:i w:val="0"/>
                <w:color w:val="212529"/>
                <w:sz w:val="17"/>
              </w:rPr>
              <w:t>Individuals own outcomes. Leaders solve root causes. Decisions move closer to the work. Results drive conversations.</w:t>
            </w:r>
          </w:p>
        </w:tc>
        <w:tc>
          <w:tcPr>
            <w:tcW w:type="dxa" w:w="2541"/>
            <w:tcMar>
              <w:top w:w="55" w:type="dxa"/>
              <w:start w:w="55" w:type="dxa"/>
              <w:bottom w:w="55" w:type="dxa"/>
              <w:end w:w="55" w:type="dxa"/>
            </w:tcMar>
            <w:vAlign w:val="top"/>
            <w:shd w:fill="F3F4F6"/>
          </w:tcPr>
          <w:p>
            <w:pPr>
              <w:spacing w:after="0" w:line="240" w:lineRule="auto"/>
            </w:pPr>
            <w:r/>
            <w:r>
              <w:rPr>
                <w:rFonts w:ascii="Calibri" w:hAnsi="Calibri"/>
                <w:b w:val="0"/>
                <w:i w:val="0"/>
                <w:color w:val="212529"/>
                <w:sz w:val="17"/>
              </w:rPr>
              <w:t>Empowerment. Leaders stop being bottlenecks and teams solve routine problems independently.</w:t>
            </w:r>
          </w:p>
        </w:tc>
      </w:tr>
    </w:tbl>
    <w:p>
      <w:pPr>
        <w:spacing w:after="20"/>
      </w:pP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cantSplit/>
        </w:trPr>
        <w:tc>
          <w:tcPr>
            <w:tcW w:type="dxa" w:w="2541"/>
            <w:shd w:fill="1F2937"/>
            <w:tcMar>
              <w:top w:w="45" w:type="dxa"/>
              <w:start w:w="55" w:type="dxa"/>
              <w:bottom w:w="45" w:type="dxa"/>
              <w:end w:w="55" w:type="dxa"/>
            </w:tcMar>
          </w:tcPr>
          <w:p>
            <w:pPr>
              <w:spacing w:after="0" w:line="240" w:lineRule="auto"/>
            </w:pPr>
            <w:r/>
            <w:r>
              <w:rPr>
                <w:rFonts w:ascii="Calibri" w:hAnsi="Calibri"/>
                <w:b/>
                <w:i w:val="0"/>
                <w:color w:val="FFFFFF"/>
                <w:sz w:val="17"/>
              </w:rPr>
              <w:t>Level</w:t>
            </w:r>
          </w:p>
        </w:tc>
        <w:tc>
          <w:tcPr>
            <w:tcW w:type="dxa" w:w="2541"/>
            <w:shd w:fill="1F2937"/>
            <w:tcMar>
              <w:top w:w="45" w:type="dxa"/>
              <w:start w:w="55" w:type="dxa"/>
              <w:bottom w:w="45" w:type="dxa"/>
              <w:end w:w="55" w:type="dxa"/>
            </w:tcMar>
          </w:tcPr>
          <w:p>
            <w:pPr>
              <w:spacing w:after="0" w:line="240" w:lineRule="auto"/>
            </w:pPr>
            <w:r/>
            <w:r>
              <w:rPr>
                <w:rFonts w:ascii="Calibri" w:hAnsi="Calibri"/>
                <w:b/>
                <w:i w:val="0"/>
                <w:color w:val="FFFFFF"/>
                <w:sz w:val="17"/>
              </w:rPr>
              <w:t>Culture Type</w:t>
            </w:r>
          </w:p>
        </w:tc>
        <w:tc>
          <w:tcPr>
            <w:tcW w:type="dxa" w:w="2541"/>
            <w:shd w:fill="1F2937"/>
            <w:tcMar>
              <w:top w:w="45" w:type="dxa"/>
              <w:start w:w="55" w:type="dxa"/>
              <w:bottom w:w="45" w:type="dxa"/>
              <w:end w:w="55" w:type="dxa"/>
            </w:tcMar>
          </w:tcPr>
          <w:p>
            <w:pPr>
              <w:spacing w:after="0" w:line="240" w:lineRule="auto"/>
            </w:pPr>
            <w:r/>
            <w:r>
              <w:rPr>
                <w:rFonts w:ascii="Calibri" w:hAnsi="Calibri"/>
                <w:b/>
                <w:i w:val="0"/>
                <w:color w:val="FFFFFF"/>
                <w:sz w:val="17"/>
              </w:rPr>
              <w:t>Common Characteristics</w:t>
            </w:r>
          </w:p>
        </w:tc>
        <w:tc>
          <w:tcPr>
            <w:tcW w:type="dxa" w:w="2541"/>
            <w:shd w:fill="1F2937"/>
            <w:tcMar>
              <w:top w:w="45" w:type="dxa"/>
              <w:start w:w="55" w:type="dxa"/>
              <w:bottom w:w="45" w:type="dxa"/>
              <w:end w:w="55" w:type="dxa"/>
            </w:tcMar>
          </w:tcPr>
          <w:p>
            <w:pPr>
              <w:spacing w:after="0" w:line="240" w:lineRule="auto"/>
            </w:pPr>
            <w:r/>
            <w:r>
              <w:rPr>
                <w:rFonts w:ascii="Calibri" w:hAnsi="Calibri"/>
                <w:b/>
                <w:i w:val="0"/>
                <w:color w:val="FFFFFF"/>
                <w:sz w:val="17"/>
              </w:rPr>
              <w:t>Leadership Requirement</w:t>
            </w:r>
          </w:p>
        </w:tc>
      </w:tr>
      <w:tr>
        <w:trPr>
          <w:cantSplit/>
        </w:trPr>
        <w:tc>
          <w:tcPr>
            <w:tcW w:type="dxa" w:w="2541"/>
            <w:tcMar>
              <w:top w:w="55" w:type="dxa"/>
              <w:start w:w="55" w:type="dxa"/>
              <w:bottom w:w="55" w:type="dxa"/>
              <w:end w:w="55" w:type="dxa"/>
            </w:tcMar>
            <w:vAlign w:val="top"/>
          </w:tcPr>
          <w:p>
            <w:pPr>
              <w:spacing w:after="0" w:line="240" w:lineRule="auto"/>
            </w:pPr>
            <w:r/>
            <w:r>
              <w:rPr>
                <w:rFonts w:ascii="Calibri" w:hAnsi="Calibri"/>
                <w:b/>
                <w:i w:val="0"/>
                <w:color w:val="1F2937"/>
                <w:sz w:val="17"/>
              </w:rPr>
              <w:t>4</w:t>
            </w:r>
          </w:p>
        </w:tc>
        <w:tc>
          <w:tcPr>
            <w:tcW w:type="dxa" w:w="2541"/>
            <w:tcMar>
              <w:top w:w="55" w:type="dxa"/>
              <w:start w:w="55" w:type="dxa"/>
              <w:bottom w:w="55" w:type="dxa"/>
              <w:end w:w="55" w:type="dxa"/>
            </w:tcMar>
            <w:vAlign w:val="top"/>
          </w:tcPr>
          <w:p>
            <w:pPr>
              <w:spacing w:after="0" w:line="240" w:lineRule="auto"/>
            </w:pPr>
            <w:r/>
            <w:r>
              <w:rPr>
                <w:rFonts w:ascii="Calibri" w:hAnsi="Calibri"/>
                <w:b/>
                <w:i w:val="0"/>
                <w:color w:val="1F2937"/>
                <w:sz w:val="17"/>
              </w:rPr>
              <w:t>Team Culture</w:t>
            </w:r>
          </w:p>
        </w:tc>
        <w:tc>
          <w:tcPr>
            <w:tcW w:type="dxa" w:w="2541"/>
            <w:tcMar>
              <w:top w:w="55" w:type="dxa"/>
              <w:start w:w="55" w:type="dxa"/>
              <w:bottom w:w="55" w:type="dxa"/>
              <w:end w:w="55" w:type="dxa"/>
            </w:tcMar>
            <w:vAlign w:val="top"/>
          </w:tcPr>
          <w:p>
            <w:pPr>
              <w:spacing w:after="0" w:line="240" w:lineRule="auto"/>
            </w:pPr>
            <w:r/>
            <w:r>
              <w:rPr>
                <w:rFonts w:ascii="Calibri" w:hAnsi="Calibri"/>
                <w:b w:val="0"/>
                <w:i w:val="0"/>
                <w:color w:val="212529"/>
                <w:sz w:val="17"/>
              </w:rPr>
              <w:t>Trust increases. Collaboration improves. Peer accountability develops. Leaders focus on development.</w:t>
            </w:r>
          </w:p>
        </w:tc>
        <w:tc>
          <w:tcPr>
            <w:tcW w:type="dxa" w:w="2541"/>
            <w:tcMar>
              <w:top w:w="55" w:type="dxa"/>
              <w:start w:w="55" w:type="dxa"/>
              <w:bottom w:w="55" w:type="dxa"/>
              <w:end w:w="55" w:type="dxa"/>
            </w:tcMar>
            <w:vAlign w:val="top"/>
          </w:tcPr>
          <w:p>
            <w:pPr>
              <w:spacing w:after="0" w:line="240" w:lineRule="auto"/>
            </w:pPr>
            <w:r/>
            <w:r>
              <w:rPr>
                <w:rFonts w:ascii="Calibri" w:hAnsi="Calibri"/>
                <w:b w:val="0"/>
                <w:i w:val="0"/>
                <w:color w:val="212529"/>
                <w:sz w:val="17"/>
              </w:rPr>
              <w:t>Develop people, not just processes.</w:t>
            </w:r>
          </w:p>
        </w:tc>
      </w:tr>
      <w:tr>
        <w:trPr>
          <w:cantSplit/>
        </w:trPr>
        <w:tc>
          <w:tcPr>
            <w:tcW w:type="dxa" w:w="2541"/>
            <w:tcMar>
              <w:top w:w="55" w:type="dxa"/>
              <w:start w:w="55" w:type="dxa"/>
              <w:bottom w:w="55" w:type="dxa"/>
              <w:end w:w="55" w:type="dxa"/>
            </w:tcMar>
            <w:vAlign w:val="top"/>
            <w:shd w:fill="F3F4F6"/>
          </w:tcPr>
          <w:p>
            <w:pPr>
              <w:spacing w:after="0" w:line="240" w:lineRule="auto"/>
            </w:pPr>
            <w:r/>
            <w:r>
              <w:rPr>
                <w:rFonts w:ascii="Calibri" w:hAnsi="Calibri"/>
                <w:b/>
                <w:i w:val="0"/>
                <w:color w:val="1F2937"/>
                <w:sz w:val="17"/>
              </w:rPr>
              <w:t>5</w:t>
            </w:r>
          </w:p>
        </w:tc>
        <w:tc>
          <w:tcPr>
            <w:tcW w:type="dxa" w:w="2541"/>
            <w:tcMar>
              <w:top w:w="55" w:type="dxa"/>
              <w:start w:w="55" w:type="dxa"/>
              <w:bottom w:w="55" w:type="dxa"/>
              <w:end w:w="55" w:type="dxa"/>
            </w:tcMar>
            <w:vAlign w:val="top"/>
            <w:shd w:fill="F3F4F6"/>
          </w:tcPr>
          <w:p>
            <w:pPr>
              <w:spacing w:after="0" w:line="240" w:lineRule="auto"/>
            </w:pPr>
            <w:r/>
            <w:r>
              <w:rPr>
                <w:rFonts w:ascii="Calibri" w:hAnsi="Calibri"/>
                <w:b/>
                <w:i w:val="0"/>
                <w:color w:val="1F2937"/>
                <w:sz w:val="17"/>
              </w:rPr>
              <w:t>Advocacy Culture</w:t>
            </w:r>
          </w:p>
        </w:tc>
        <w:tc>
          <w:tcPr>
            <w:tcW w:type="dxa" w:w="2541"/>
            <w:tcMar>
              <w:top w:w="55" w:type="dxa"/>
              <w:start w:w="55" w:type="dxa"/>
              <w:bottom w:w="55" w:type="dxa"/>
              <w:end w:w="55" w:type="dxa"/>
            </w:tcMar>
            <w:vAlign w:val="top"/>
            <w:shd w:fill="F3F4F6"/>
          </w:tcPr>
          <w:p>
            <w:pPr>
              <w:spacing w:after="0" w:line="240" w:lineRule="auto"/>
            </w:pPr>
            <w:r/>
            <w:r>
              <w:rPr>
                <w:rFonts w:ascii="Calibri" w:hAnsi="Calibri"/>
                <w:b w:val="0"/>
                <w:i w:val="0"/>
                <w:color w:val="212529"/>
                <w:sz w:val="17"/>
              </w:rPr>
              <w:t>Mission drives behavior. Values guide decisions. Innovation increases. Employees become ambassadors.</w:t>
            </w:r>
          </w:p>
        </w:tc>
        <w:tc>
          <w:tcPr>
            <w:tcW w:type="dxa" w:w="2541"/>
            <w:tcMar>
              <w:top w:w="55" w:type="dxa"/>
              <w:start w:w="55" w:type="dxa"/>
              <w:bottom w:w="55" w:type="dxa"/>
              <w:end w:w="55" w:type="dxa"/>
            </w:tcMar>
            <w:vAlign w:val="top"/>
            <w:shd w:fill="F3F4F6"/>
          </w:tcPr>
          <w:p>
            <w:pPr>
              <w:spacing w:after="0" w:line="240" w:lineRule="auto"/>
            </w:pPr>
            <w:r/>
            <w:r>
              <w:rPr>
                <w:rFonts w:ascii="Calibri" w:hAnsi="Calibri"/>
                <w:b w:val="0"/>
                <w:i w:val="0"/>
                <w:color w:val="212529"/>
                <w:sz w:val="17"/>
              </w:rPr>
              <w:t>Purpose-driven leadership.</w:t>
            </w:r>
          </w:p>
        </w:tc>
      </w:tr>
      <w:tr>
        <w:trPr>
          <w:cantSplit/>
        </w:trPr>
        <w:tc>
          <w:tcPr>
            <w:tcW w:type="dxa" w:w="2541"/>
            <w:tcMar>
              <w:top w:w="55" w:type="dxa"/>
              <w:start w:w="55" w:type="dxa"/>
              <w:bottom w:w="55" w:type="dxa"/>
              <w:end w:w="55" w:type="dxa"/>
            </w:tcMar>
            <w:vAlign w:val="top"/>
          </w:tcPr>
          <w:p>
            <w:pPr>
              <w:spacing w:after="0" w:line="240" w:lineRule="auto"/>
            </w:pPr>
            <w:r/>
            <w:r>
              <w:rPr>
                <w:rFonts w:ascii="Calibri" w:hAnsi="Calibri"/>
                <w:b/>
                <w:i w:val="0"/>
                <w:color w:val="1F2937"/>
                <w:sz w:val="17"/>
              </w:rPr>
              <w:t>6</w:t>
            </w:r>
          </w:p>
        </w:tc>
        <w:tc>
          <w:tcPr>
            <w:tcW w:type="dxa" w:w="2541"/>
            <w:tcMar>
              <w:top w:w="55" w:type="dxa"/>
              <w:start w:w="55" w:type="dxa"/>
              <w:bottom w:w="55" w:type="dxa"/>
              <w:end w:w="55" w:type="dxa"/>
            </w:tcMar>
            <w:vAlign w:val="top"/>
          </w:tcPr>
          <w:p>
            <w:pPr>
              <w:spacing w:after="0" w:line="240" w:lineRule="auto"/>
            </w:pPr>
            <w:r/>
            <w:r>
              <w:rPr>
                <w:rFonts w:ascii="Calibri" w:hAnsi="Calibri"/>
                <w:b/>
                <w:i w:val="0"/>
                <w:color w:val="1F2937"/>
                <w:sz w:val="17"/>
              </w:rPr>
              <w:t>Excellence &amp; Legacy Culture</w:t>
            </w:r>
          </w:p>
        </w:tc>
        <w:tc>
          <w:tcPr>
            <w:tcW w:type="dxa" w:w="2541"/>
            <w:tcMar>
              <w:top w:w="55" w:type="dxa"/>
              <w:start w:w="55" w:type="dxa"/>
              <w:bottom w:w="55" w:type="dxa"/>
              <w:end w:w="55" w:type="dxa"/>
            </w:tcMar>
            <w:vAlign w:val="top"/>
          </w:tcPr>
          <w:p>
            <w:pPr>
              <w:spacing w:after="0" w:line="240" w:lineRule="auto"/>
            </w:pPr>
            <w:r/>
            <w:r>
              <w:rPr>
                <w:rFonts w:ascii="Calibri" w:hAnsi="Calibri"/>
                <w:b w:val="0"/>
                <w:i w:val="0"/>
                <w:color w:val="212529"/>
                <w:sz w:val="17"/>
              </w:rPr>
              <w:t>Leadership transitions smoothly. Systems sustain themselves. Future leaders are continuously developed. The organization becomes a benchmark.</w:t>
            </w:r>
          </w:p>
        </w:tc>
        <w:tc>
          <w:tcPr>
            <w:tcW w:type="dxa" w:w="2541"/>
            <w:tcMar>
              <w:top w:w="55" w:type="dxa"/>
              <w:start w:w="55" w:type="dxa"/>
              <w:bottom w:w="55" w:type="dxa"/>
              <w:end w:w="55" w:type="dxa"/>
            </w:tcMar>
            <w:vAlign w:val="top"/>
          </w:tcPr>
          <w:p>
            <w:pPr>
              <w:spacing w:after="0" w:line="240" w:lineRule="auto"/>
            </w:pPr>
            <w:r/>
            <w:r>
              <w:rPr>
                <w:rFonts w:ascii="Calibri" w:hAnsi="Calibri"/>
                <w:b w:val="0"/>
                <w:i w:val="0"/>
                <w:color w:val="212529"/>
                <w:sz w:val="17"/>
              </w:rPr>
              <w:t>Stewardship. Leaders build future leaders and durable systems.</w:t>
            </w:r>
          </w:p>
        </w:tc>
      </w:tr>
    </w:tbl>
    <w:p>
      <w:pPr>
        <w:spacing w:after="20"/>
      </w:pPr>
    </w:p>
    <w:p>
      <w:pPr>
        <w:pStyle w:val="Heading1"/>
        <w:spacing w:before="160" w:after="80"/>
      </w:pPr>
      <w:r>
        <w:rPr>
          <w:rFonts w:ascii="Calibri" w:hAnsi="Calibri"/>
          <w:color w:val="1F2937"/>
          <w:sz w:val="36"/>
        </w:rPr>
        <w:t>Recommended 12-Month Destination: Stable Level 3 Ownership Culture</w:t>
      </w:r>
    </w:p>
    <w:p>
      <w:pPr>
        <w:spacing w:before="0" w:after="100" w:line="252" w:lineRule="auto"/>
      </w:pPr>
      <w:r>
        <w:rPr>
          <w:rFonts w:ascii="Calibri" w:hAnsi="Calibri"/>
          <w:color w:val="212529"/>
          <w:sz w:val="21"/>
        </w:rPr>
        <w:t>For most organizations, the next 12-month objective should not be Level 6. The most practical objective is to build a stable Level 3 Ownership Culture.</w:t>
      </w:r>
    </w:p>
    <w:p>
      <w:pPr>
        <w:spacing w:before="0" w:after="100" w:line="252" w:lineRule="auto"/>
      </w:pPr>
      <w:r>
        <w:rPr>
          <w:rFonts w:ascii="Calibri" w:hAnsi="Calibri"/>
          <w:color w:val="212529"/>
          <w:sz w:val="21"/>
        </w:rPr>
        <w:t>Level 3 delivers the highest near-term operational return because it strengthens the fundamentals that most directly affect performance:</w:t>
      </w:r>
    </w:p>
    <w:p>
      <w:pPr>
        <w:pStyle w:val="ListBullet"/>
        <w:spacing w:after="30" w:line="240" w:lineRule="auto"/>
      </w:pPr>
      <w:r>
        <w:rPr>
          <w:rFonts w:ascii="Calibri" w:hAnsi="Calibri"/>
          <w:color w:val="212529"/>
          <w:sz w:val="20"/>
        </w:rPr>
        <w:t>Reduced turnover and leadership burnout.</w:t>
      </w:r>
    </w:p>
    <w:p>
      <w:pPr>
        <w:pStyle w:val="ListBullet"/>
        <w:spacing w:after="30" w:line="240" w:lineRule="auto"/>
      </w:pPr>
      <w:r>
        <w:rPr>
          <w:rFonts w:ascii="Calibri" w:hAnsi="Calibri"/>
          <w:color w:val="212529"/>
          <w:sz w:val="20"/>
        </w:rPr>
        <w:t>Clearer accountability and fewer excuses.</w:t>
      </w:r>
    </w:p>
    <w:p>
      <w:pPr>
        <w:pStyle w:val="ListBullet"/>
        <w:spacing w:after="30" w:line="240" w:lineRule="auto"/>
      </w:pPr>
      <w:r>
        <w:rPr>
          <w:rFonts w:ascii="Calibri" w:hAnsi="Calibri"/>
          <w:color w:val="212529"/>
          <w:sz w:val="20"/>
        </w:rPr>
        <w:t>Faster decisions and earlier problem identification.</w:t>
      </w:r>
    </w:p>
    <w:p>
      <w:pPr>
        <w:pStyle w:val="ListBullet"/>
        <w:spacing w:after="30" w:line="240" w:lineRule="auto"/>
      </w:pPr>
      <w:r>
        <w:rPr>
          <w:rFonts w:ascii="Calibri" w:hAnsi="Calibri"/>
          <w:color w:val="212529"/>
          <w:sz w:val="20"/>
        </w:rPr>
        <w:t>Improved communication, execution, and follow-through.</w:t>
      </w:r>
    </w:p>
    <w:p>
      <w:pPr>
        <w:pStyle w:val="ListBullet"/>
        <w:spacing w:after="30" w:line="240" w:lineRule="auto"/>
      </w:pPr>
      <w:r>
        <w:rPr>
          <w:rFonts w:ascii="Calibri" w:hAnsi="Calibri"/>
          <w:color w:val="212529"/>
          <w:sz w:val="20"/>
        </w:rPr>
        <w:t>Better use of metrics and root-cause problem solving.</w:t>
      </w:r>
    </w:p>
    <w:p>
      <w:pPr>
        <w:pStyle w:val="ListBullet"/>
        <w:spacing w:after="30" w:line="240" w:lineRule="auto"/>
      </w:pPr>
      <w:r>
        <w:rPr>
          <w:rFonts w:ascii="Calibri" w:hAnsi="Calibri"/>
          <w:color w:val="212529"/>
          <w:sz w:val="20"/>
        </w:rPr>
        <w:t>Higher productivity, quality, service reliability, or operational capacity.</w:t>
      </w:r>
    </w:p>
    <w:p>
      <w:pPr>
        <w:spacing w:before="0" w:after="100" w:line="252" w:lineRule="auto"/>
      </w:pPr>
      <w:r>
        <w:rPr>
          <w:rFonts w:ascii="Calibri" w:hAnsi="Calibri"/>
          <w:color w:val="212529"/>
          <w:sz w:val="21"/>
        </w:rPr>
        <w:t>Without first achieving Level 3, higher levels of culture are difficult to sustain. Team culture, advocacy, and legacy require a foundation of consistency, accountability, and ownership.</w:t>
      </w:r>
    </w:p>
    <w:p>
      <w:pPr>
        <w:pStyle w:val="Heading1"/>
        <w:spacing w:before="160" w:after="80"/>
      </w:pPr>
      <w:r>
        <w:rPr>
          <w:rFonts w:ascii="Calibri" w:hAnsi="Calibri"/>
          <w:color w:val="1F2937"/>
          <w:sz w:val="36"/>
        </w:rPr>
        <w:t>Transformation Strategy</w:t>
      </w:r>
    </w:p>
    <w:p>
      <w:pPr>
        <w:spacing w:before="0" w:after="100" w:line="252" w:lineRule="auto"/>
      </w:pPr>
      <w:r>
        <w:rPr>
          <w:rFonts w:ascii="Calibri" w:hAnsi="Calibri"/>
          <w:color w:val="212529"/>
          <w:sz w:val="21"/>
        </w:rPr>
        <w:t>The roadmap is executed through four phases. Each phase builds the foundation for the next. Skipping phases creates instability, resistance, and initiative fatigue.</w:t>
      </w:r>
    </w:p>
    <w:tbl>
      <w:tblPr>
        <w:tblStyle w:val="TableGrid"/>
        <w:tblW w:type="auto" w:w="0"/>
        <w:jc w:val="center"/>
        <w:tblLook w:firstColumn="1" w:firstRow="1" w:lastColumn="0" w:lastRow="0" w:noHBand="0" w:noVBand="1" w:val="04A0"/>
      </w:tblPr>
      <w:tblGrid>
        <w:gridCol w:w="10166"/>
      </w:tblGrid>
      <w:tr>
        <w:tc>
          <w:tcPr>
            <w:tcW w:type="dxa" w:w="10166"/>
            <w:tcMar>
              <w:top w:w="95" w:type="dxa"/>
              <w:start w:w="100" w:type="dxa"/>
              <w:bottom w:w="95" w:type="dxa"/>
              <w:end w:w="100" w:type="dxa"/>
            </w:tcMar>
          </w:tcPr>
          <w:p>
            <w:pPr>
              <w:spacing w:after="60"/>
            </w:pPr>
            <w:r>
              <w:rPr>
                <w:rFonts w:ascii="Calibri" w:hAnsi="Calibri"/>
                <w:b/>
                <w:color w:val="1F2937"/>
                <w:sz w:val="22"/>
              </w:rPr>
              <w:t>Phase 1: Stabilization</w:t>
            </w:r>
          </w:p>
          <w:p>
            <w:pPr>
              <w:spacing w:after="40"/>
            </w:pPr>
            <w:r>
              <w:rPr>
                <w:rFonts w:ascii="Calibri" w:hAnsi="Calibri"/>
                <w:b/>
                <w:color w:val="1F2937"/>
                <w:sz w:val="19"/>
              </w:rPr>
              <w:t xml:space="preserve">Objective: </w:t>
            </w:r>
            <w:r>
              <w:rPr>
                <w:rFonts w:ascii="Calibri" w:hAnsi="Calibri"/>
                <w:color w:val="212529"/>
                <w:sz w:val="19"/>
              </w:rPr>
              <w:t>Create consistency.</w:t>
            </w:r>
          </w:p>
          <w:p>
            <w:pPr>
              <w:spacing w:after="40"/>
            </w:pPr>
            <w:r>
              <w:rPr>
                <w:rFonts w:ascii="Calibri" w:hAnsi="Calibri"/>
                <w:b/>
                <w:color w:val="1F2937"/>
                <w:sz w:val="19"/>
              </w:rPr>
              <w:t xml:space="preserve">Leadership questions: </w:t>
            </w:r>
            <w:r>
              <w:rPr>
                <w:rFonts w:ascii="Calibri" w:hAnsi="Calibri"/>
                <w:color w:val="212529"/>
                <w:sz w:val="19"/>
              </w:rPr>
              <w:t>How do leaders communicate? How do teams share information? What expectations exist? What standards are non-negotiable?</w:t>
            </w:r>
          </w:p>
          <w:p>
            <w:pPr>
              <w:spacing w:after="40"/>
            </w:pPr>
            <w:r>
              <w:rPr>
                <w:rFonts w:ascii="Calibri" w:hAnsi="Calibri"/>
                <w:b/>
                <w:color w:val="1F2937"/>
                <w:sz w:val="19"/>
              </w:rPr>
              <w:t xml:space="preserve">Success indicators: </w:t>
            </w:r>
            <w:r>
              <w:rPr>
                <w:rFonts w:ascii="Calibri" w:hAnsi="Calibri"/>
                <w:color w:val="212529"/>
                <w:sz w:val="19"/>
              </w:rPr>
              <w:t>Daily huddles function. Leadership expectations are defined. Communication improves. Problems are identified earlier.</w:t>
            </w:r>
          </w:p>
          <w:p>
            <w:pPr>
              <w:spacing w:after="0"/>
            </w:pPr>
            <w:r>
              <w:rPr>
                <w:rFonts w:ascii="Calibri" w:hAnsi="Calibri"/>
                <w:b/>
                <w:color w:val="1F2937"/>
                <w:sz w:val="19"/>
              </w:rPr>
              <w:t xml:space="preserve">Suggested tools: </w:t>
            </w:r>
            <w:r>
              <w:rPr>
                <w:rFonts w:ascii="Calibri" w:hAnsi="Calibri"/>
                <w:color w:val="212529"/>
                <w:sz w:val="19"/>
              </w:rPr>
              <w:t>Daily huddle guide; leadership expectations; issue tracker; communication cadence.</w:t>
            </w:r>
          </w:p>
        </w:tc>
      </w:tr>
    </w:tbl>
    <w:p>
      <w:pPr>
        <w:spacing w:after="40"/>
      </w:pPr>
    </w:p>
    <w:tbl>
      <w:tblPr>
        <w:tblStyle w:val="TableGrid"/>
        <w:tblW w:type="auto" w:w="0"/>
        <w:jc w:val="center"/>
        <w:tblLook w:firstColumn="1" w:firstRow="1" w:lastColumn="0" w:lastRow="0" w:noHBand="0" w:noVBand="1" w:val="04A0"/>
      </w:tblPr>
      <w:tblGrid>
        <w:gridCol w:w="10166"/>
      </w:tblGrid>
      <w:tr>
        <w:tc>
          <w:tcPr>
            <w:tcW w:type="dxa" w:w="10166"/>
            <w:tcMar>
              <w:top w:w="95" w:type="dxa"/>
              <w:start w:w="100" w:type="dxa"/>
              <w:bottom w:w="95" w:type="dxa"/>
              <w:end w:w="100" w:type="dxa"/>
            </w:tcMar>
          </w:tcPr>
          <w:p>
            <w:pPr>
              <w:spacing w:after="60"/>
            </w:pPr>
            <w:r>
              <w:rPr>
                <w:rFonts w:ascii="Calibri" w:hAnsi="Calibri"/>
                <w:b/>
                <w:color w:val="1F2937"/>
                <w:sz w:val="22"/>
              </w:rPr>
              <w:t>Phase 2: Accountability</w:t>
            </w:r>
          </w:p>
          <w:p>
            <w:pPr>
              <w:spacing w:after="40"/>
            </w:pPr>
            <w:r>
              <w:rPr>
                <w:rFonts w:ascii="Calibri" w:hAnsi="Calibri"/>
                <w:b/>
                <w:color w:val="1F2937"/>
                <w:sz w:val="19"/>
              </w:rPr>
              <w:t xml:space="preserve">Objective: </w:t>
            </w:r>
            <w:r>
              <w:rPr>
                <w:rFonts w:ascii="Calibri" w:hAnsi="Calibri"/>
                <w:color w:val="212529"/>
                <w:sz w:val="19"/>
              </w:rPr>
              <w:t>Create ownership.</w:t>
            </w:r>
          </w:p>
          <w:p>
            <w:pPr>
              <w:spacing w:after="40"/>
            </w:pPr>
            <w:r>
              <w:rPr>
                <w:rFonts w:ascii="Calibri" w:hAnsi="Calibri"/>
                <w:b/>
                <w:color w:val="1F2937"/>
                <w:sz w:val="19"/>
              </w:rPr>
              <w:t xml:space="preserve">Leadership questions: </w:t>
            </w:r>
            <w:r>
              <w:rPr>
                <w:rFonts w:ascii="Calibri" w:hAnsi="Calibri"/>
                <w:color w:val="212529"/>
                <w:sz w:val="19"/>
              </w:rPr>
              <w:t>Who owns what? What metrics matter? How quickly are issues addressed? How are decisions made?</w:t>
            </w:r>
          </w:p>
          <w:p>
            <w:pPr>
              <w:spacing w:after="40"/>
            </w:pPr>
            <w:r>
              <w:rPr>
                <w:rFonts w:ascii="Calibri" w:hAnsi="Calibri"/>
                <w:b/>
                <w:color w:val="1F2937"/>
                <w:sz w:val="19"/>
              </w:rPr>
              <w:t xml:space="preserve">Success indicators: </w:t>
            </w:r>
            <w:r>
              <w:rPr>
                <w:rFonts w:ascii="Calibri" w:hAnsi="Calibri"/>
                <w:color w:val="212529"/>
                <w:sz w:val="19"/>
              </w:rPr>
              <w:t>Excuses decrease. Ownership increases. Problem resolution accelerates. Metrics are visible and acted on.</w:t>
            </w:r>
          </w:p>
          <w:p>
            <w:pPr>
              <w:spacing w:after="0"/>
            </w:pPr>
            <w:r>
              <w:rPr>
                <w:rFonts w:ascii="Calibri" w:hAnsi="Calibri"/>
                <w:b/>
                <w:color w:val="1F2937"/>
                <w:sz w:val="19"/>
              </w:rPr>
              <w:t xml:space="preserve">Suggested tools: </w:t>
            </w:r>
            <w:r>
              <w:rPr>
                <w:rFonts w:ascii="Calibri" w:hAnsi="Calibri"/>
                <w:color w:val="212529"/>
                <w:sz w:val="19"/>
              </w:rPr>
              <w:t>Role clarity matrix; decision-rights map; accountability scorecard; escalation rules.</w:t>
            </w:r>
          </w:p>
        </w:tc>
      </w:tr>
    </w:tbl>
    <w:p>
      <w:pPr>
        <w:spacing w:after="40"/>
      </w:pPr>
    </w:p>
    <w:tbl>
      <w:tblPr>
        <w:tblStyle w:val="TableGrid"/>
        <w:tblW w:type="auto" w:w="0"/>
        <w:jc w:val="center"/>
        <w:tblLook w:firstColumn="1" w:firstRow="1" w:lastColumn="0" w:lastRow="0" w:noHBand="0" w:noVBand="1" w:val="04A0"/>
      </w:tblPr>
      <w:tblGrid>
        <w:gridCol w:w="10166"/>
      </w:tblGrid>
      <w:tr>
        <w:tc>
          <w:tcPr>
            <w:tcW w:type="dxa" w:w="10166"/>
            <w:tcMar>
              <w:top w:w="95" w:type="dxa"/>
              <w:start w:w="100" w:type="dxa"/>
              <w:bottom w:w="95" w:type="dxa"/>
              <w:end w:w="100" w:type="dxa"/>
            </w:tcMar>
          </w:tcPr>
          <w:p>
            <w:pPr>
              <w:spacing w:after="60"/>
            </w:pPr>
            <w:r>
              <w:rPr>
                <w:rFonts w:ascii="Calibri" w:hAnsi="Calibri"/>
                <w:b/>
                <w:color w:val="1F2937"/>
                <w:sz w:val="22"/>
              </w:rPr>
              <w:t>Phase 3: Ownership</w:t>
            </w:r>
          </w:p>
          <w:p>
            <w:pPr>
              <w:spacing w:after="40"/>
            </w:pPr>
            <w:r>
              <w:rPr>
                <w:rFonts w:ascii="Calibri" w:hAnsi="Calibri"/>
                <w:b/>
                <w:color w:val="1F2937"/>
                <w:sz w:val="19"/>
              </w:rPr>
              <w:t xml:space="preserve">Objective: </w:t>
            </w:r>
            <w:r>
              <w:rPr>
                <w:rFonts w:ascii="Calibri" w:hAnsi="Calibri"/>
                <w:color w:val="212529"/>
                <w:sz w:val="19"/>
              </w:rPr>
              <w:t>Develop independent leaders.</w:t>
            </w:r>
          </w:p>
          <w:p>
            <w:pPr>
              <w:spacing w:after="40"/>
            </w:pPr>
            <w:r>
              <w:rPr>
                <w:rFonts w:ascii="Calibri" w:hAnsi="Calibri"/>
                <w:b/>
                <w:color w:val="1F2937"/>
                <w:sz w:val="19"/>
              </w:rPr>
              <w:t xml:space="preserve">Leadership questions: </w:t>
            </w:r>
            <w:r>
              <w:rPr>
                <w:rFonts w:ascii="Calibri" w:hAnsi="Calibri"/>
                <w:color w:val="212529"/>
                <w:sz w:val="19"/>
              </w:rPr>
              <w:t>Can leaders solve problems without escalation? Can teams manage routine issues independently? Are root causes being addressed?</w:t>
            </w:r>
          </w:p>
          <w:p>
            <w:pPr>
              <w:spacing w:after="40"/>
            </w:pPr>
            <w:r>
              <w:rPr>
                <w:rFonts w:ascii="Calibri" w:hAnsi="Calibri"/>
                <w:b/>
                <w:color w:val="1F2937"/>
                <w:sz w:val="19"/>
              </w:rPr>
              <w:t xml:space="preserve">Success indicators: </w:t>
            </w:r>
            <w:r>
              <w:rPr>
                <w:rFonts w:ascii="Calibri" w:hAnsi="Calibri"/>
                <w:color w:val="212529"/>
                <w:sz w:val="19"/>
              </w:rPr>
              <w:t>Less firefighting. Better decisions. Improved execution. Greater initiative.</w:t>
            </w:r>
          </w:p>
          <w:p>
            <w:pPr>
              <w:spacing w:after="0"/>
            </w:pPr>
            <w:r>
              <w:rPr>
                <w:rFonts w:ascii="Calibri" w:hAnsi="Calibri"/>
                <w:b/>
                <w:color w:val="1F2937"/>
                <w:sz w:val="19"/>
              </w:rPr>
              <w:t xml:space="preserve">Suggested tools: </w:t>
            </w:r>
            <w:r>
              <w:rPr>
                <w:rFonts w:ascii="Calibri" w:hAnsi="Calibri"/>
                <w:color w:val="212529"/>
                <w:sz w:val="19"/>
              </w:rPr>
              <w:t>Root-cause worksheet; coaching rhythm; leader standard work; problem-solving board.</w:t>
            </w:r>
          </w:p>
        </w:tc>
      </w:tr>
    </w:tbl>
    <w:p>
      <w:pPr>
        <w:spacing w:after="40"/>
      </w:pPr>
    </w:p>
    <w:tbl>
      <w:tblPr>
        <w:tblStyle w:val="TableGrid"/>
        <w:tblW w:type="auto" w:w="0"/>
        <w:jc w:val="center"/>
        <w:tblLook w:firstColumn="1" w:firstRow="1" w:lastColumn="0" w:lastRow="0" w:noHBand="0" w:noVBand="1" w:val="04A0"/>
      </w:tblPr>
      <w:tblGrid>
        <w:gridCol w:w="10166"/>
      </w:tblGrid>
      <w:tr>
        <w:tc>
          <w:tcPr>
            <w:tcW w:type="dxa" w:w="10166"/>
            <w:tcMar>
              <w:top w:w="95" w:type="dxa"/>
              <w:start w:w="100" w:type="dxa"/>
              <w:bottom w:w="95" w:type="dxa"/>
              <w:end w:w="100" w:type="dxa"/>
            </w:tcMar>
          </w:tcPr>
          <w:p>
            <w:pPr>
              <w:spacing w:after="60"/>
            </w:pPr>
            <w:r>
              <w:rPr>
                <w:rFonts w:ascii="Calibri" w:hAnsi="Calibri"/>
                <w:b/>
                <w:color w:val="1F2937"/>
                <w:sz w:val="22"/>
              </w:rPr>
              <w:t>Phase 4: Sustainability</w:t>
            </w:r>
          </w:p>
          <w:p>
            <w:pPr>
              <w:spacing w:after="40"/>
            </w:pPr>
            <w:r>
              <w:rPr>
                <w:rFonts w:ascii="Calibri" w:hAnsi="Calibri"/>
                <w:b/>
                <w:color w:val="1F2937"/>
                <w:sz w:val="19"/>
              </w:rPr>
              <w:t xml:space="preserve">Objective: </w:t>
            </w:r>
            <w:r>
              <w:rPr>
                <w:rFonts w:ascii="Calibri" w:hAnsi="Calibri"/>
                <w:color w:val="212529"/>
                <w:sz w:val="19"/>
              </w:rPr>
              <w:t>Ensure the system survives leadership changes.</w:t>
            </w:r>
          </w:p>
          <w:p>
            <w:pPr>
              <w:spacing w:after="40"/>
            </w:pPr>
            <w:r>
              <w:rPr>
                <w:rFonts w:ascii="Calibri" w:hAnsi="Calibri"/>
                <w:b/>
                <w:color w:val="1F2937"/>
                <w:sz w:val="19"/>
              </w:rPr>
              <w:t xml:space="preserve">Leadership questions: </w:t>
            </w:r>
            <w:r>
              <w:rPr>
                <w:rFonts w:ascii="Calibri" w:hAnsi="Calibri"/>
                <w:color w:val="212529"/>
                <w:sz w:val="19"/>
              </w:rPr>
              <w:t>What breaks if a leader leaves? Is development occurring? Are future leaders being prepared?</w:t>
            </w:r>
          </w:p>
          <w:p>
            <w:pPr>
              <w:spacing w:after="40"/>
            </w:pPr>
            <w:r>
              <w:rPr>
                <w:rFonts w:ascii="Calibri" w:hAnsi="Calibri"/>
                <w:b/>
                <w:color w:val="1F2937"/>
                <w:sz w:val="19"/>
              </w:rPr>
              <w:t xml:space="preserve">Success indicators: </w:t>
            </w:r>
            <w:r>
              <w:rPr>
                <w:rFonts w:ascii="Calibri" w:hAnsi="Calibri"/>
                <w:color w:val="212529"/>
                <w:sz w:val="19"/>
              </w:rPr>
              <w:t>Internal promotions increase. Leadership bench strength improves. Performance remains stable. Culture becomes more consistent.</w:t>
            </w:r>
          </w:p>
          <w:p>
            <w:pPr>
              <w:spacing w:after="0"/>
            </w:pPr>
            <w:r>
              <w:rPr>
                <w:rFonts w:ascii="Calibri" w:hAnsi="Calibri"/>
                <w:b/>
                <w:color w:val="1F2937"/>
                <w:sz w:val="19"/>
              </w:rPr>
              <w:t xml:space="preserve">Suggested tools: </w:t>
            </w:r>
            <w:r>
              <w:rPr>
                <w:rFonts w:ascii="Calibri" w:hAnsi="Calibri"/>
                <w:color w:val="212529"/>
                <w:sz w:val="19"/>
              </w:rPr>
              <w:t>Supervisor development roadmap; succession map; quarterly maturity review; leadership evaluation system.</w:t>
            </w:r>
          </w:p>
        </w:tc>
      </w:tr>
    </w:tbl>
    <w:p>
      <w:pPr>
        <w:spacing w:after="40"/>
      </w:pPr>
    </w:p>
    <w:p>
      <w:r>
        <w:br w:type="page"/>
      </w:r>
    </w:p>
    <w:p>
      <w:pPr>
        <w:pStyle w:val="Heading1"/>
        <w:spacing w:before="160" w:after="80"/>
      </w:pPr>
      <w:r>
        <w:rPr>
          <w:rFonts w:ascii="Calibri" w:hAnsi="Calibri"/>
          <w:color w:val="1F2937"/>
          <w:sz w:val="36"/>
        </w:rPr>
        <w:t>Executive Commitment Required</w:t>
      </w:r>
    </w:p>
    <w:p>
      <w:pPr>
        <w:spacing w:before="0" w:after="100" w:line="252" w:lineRule="auto"/>
      </w:pPr>
      <w:r>
        <w:rPr>
          <w:rFonts w:ascii="Calibri" w:hAnsi="Calibri"/>
          <w:color w:val="212529"/>
          <w:sz w:val="21"/>
        </w:rPr>
        <w:t>This effort cannot be delegated solely to supervisors, team leads, trainers, or HR. Leadership culture always reflects executive behavior. Employees ultimately believe what leaders consistently do, not what leaders say.</w:t>
      </w:r>
    </w:p>
    <w:p>
      <w:pPr>
        <w:spacing w:before="0" w:after="100" w:line="252" w:lineRule="auto"/>
      </w:pPr>
      <w:r>
        <w:rPr>
          <w:rFonts w:ascii="Calibri" w:hAnsi="Calibri"/>
          <w:color w:val="212529"/>
          <w:sz w:val="21"/>
        </w:rPr>
        <w:t>Successful execution requires active participation from executive leadership in:</w:t>
      </w:r>
    </w:p>
    <w:p>
      <w:pPr>
        <w:pStyle w:val="ListBullet"/>
        <w:spacing w:after="30" w:line="240" w:lineRule="auto"/>
      </w:pPr>
      <w:r>
        <w:rPr>
          <w:rFonts w:ascii="Calibri" w:hAnsi="Calibri"/>
          <w:color w:val="212529"/>
          <w:sz w:val="20"/>
        </w:rPr>
        <w:t>Communication: visibly reinforcing the message, priorities, and standards.</w:t>
      </w:r>
    </w:p>
    <w:p>
      <w:pPr>
        <w:pStyle w:val="ListBullet"/>
        <w:spacing w:after="30" w:line="240" w:lineRule="auto"/>
      </w:pPr>
      <w:r>
        <w:rPr>
          <w:rFonts w:ascii="Calibri" w:hAnsi="Calibri"/>
          <w:color w:val="212529"/>
          <w:sz w:val="20"/>
        </w:rPr>
        <w:t>Accountability: holding leaders to the same expectations they require from employees.</w:t>
      </w:r>
    </w:p>
    <w:p>
      <w:pPr>
        <w:pStyle w:val="ListBullet"/>
        <w:spacing w:after="30" w:line="240" w:lineRule="auto"/>
      </w:pPr>
      <w:r>
        <w:rPr>
          <w:rFonts w:ascii="Calibri" w:hAnsi="Calibri"/>
          <w:color w:val="212529"/>
          <w:sz w:val="20"/>
        </w:rPr>
        <w:t>Decision making: clarifying authority, escalation points, and non-negotiables.</w:t>
      </w:r>
    </w:p>
    <w:p>
      <w:pPr>
        <w:pStyle w:val="ListBullet"/>
        <w:spacing w:after="30" w:line="240" w:lineRule="auto"/>
      </w:pPr>
      <w:r>
        <w:rPr>
          <w:rFonts w:ascii="Calibri" w:hAnsi="Calibri"/>
          <w:color w:val="212529"/>
          <w:sz w:val="20"/>
        </w:rPr>
        <w:t>Leadership development: investing time in coaching, feedback, and future-leader preparation.</w:t>
      </w:r>
    </w:p>
    <w:p>
      <w:pPr>
        <w:pStyle w:val="ListBullet"/>
        <w:spacing w:after="30" w:line="240" w:lineRule="auto"/>
      </w:pPr>
      <w:r>
        <w:rPr>
          <w:rFonts w:ascii="Calibri" w:hAnsi="Calibri"/>
          <w:color w:val="212529"/>
          <w:sz w:val="20"/>
        </w:rPr>
        <w:t>Culture reinforcement: rewarding the behavior the organization says it values.</w:t>
      </w:r>
    </w:p>
    <w:tbl>
      <w:tblPr>
        <w:tblW w:type="auto" w:w="0"/>
        <w:jc w:val="center"/>
        <w:tblLook w:firstColumn="1" w:firstRow="1" w:lastColumn="0" w:lastRow="0" w:noHBand="0" w:noVBand="1" w:val="04A0"/>
      </w:tblPr>
      <w:tblGrid>
        <w:gridCol w:w="10166"/>
      </w:tblGrid>
      <w:tr>
        <w:tc>
          <w:tcPr>
            <w:tcW w:type="dxa" w:w="10166"/>
            <w:shd w:fill="FFF7E0"/>
            <w:tcMar>
              <w:top w:w="110" w:type="dxa"/>
              <w:start w:w="120" w:type="dxa"/>
              <w:bottom w:w="110" w:type="dxa"/>
              <w:end w:w="120" w:type="dxa"/>
            </w:tcMar>
          </w:tcPr>
          <w:p>
            <w:pPr>
              <w:spacing w:after="40"/>
            </w:pPr>
            <w:r>
              <w:rPr>
                <w:rFonts w:ascii="Calibri" w:hAnsi="Calibri"/>
                <w:b/>
                <w:color w:val="1F2937"/>
                <w:sz w:val="21"/>
              </w:rPr>
              <w:t>Non-Negotiable</w:t>
            </w:r>
          </w:p>
          <w:p>
            <w:pPr>
              <w:spacing w:after="0" w:line="252" w:lineRule="auto"/>
            </w:pPr>
            <w:r>
              <w:rPr>
                <w:rFonts w:ascii="Calibri" w:hAnsi="Calibri"/>
                <w:color w:val="212529"/>
                <w:sz w:val="20"/>
              </w:rPr>
              <w:t>Leadership problems cannot be outsourced. Outside support can diagnose, facilitate, build tools, coach leaders, and help implement the system. Ownership must remain with the leaders of the organization.</w:t>
            </w:r>
          </w:p>
        </w:tc>
      </w:tr>
    </w:tbl>
    <w:p>
      <w:pPr>
        <w:spacing w:after="20"/>
      </w:pPr>
    </w:p>
    <w:p>
      <w:pPr>
        <w:pStyle w:val="Heading1"/>
        <w:spacing w:before="160" w:after="80"/>
      </w:pPr>
      <w:r>
        <w:rPr>
          <w:rFonts w:ascii="Calibri" w:hAnsi="Calibri"/>
          <w:color w:val="1F2937"/>
          <w:sz w:val="36"/>
        </w:rPr>
        <w:t>Implementation Guide</w:t>
      </w:r>
    </w:p>
    <w:p>
      <w:pPr>
        <w:spacing w:before="0" w:after="100" w:line="252" w:lineRule="auto"/>
      </w:pPr>
      <w:r>
        <w:rPr>
          <w:rFonts w:ascii="Calibri" w:hAnsi="Calibri"/>
          <w:color w:val="212529"/>
          <w:sz w:val="21"/>
        </w:rPr>
        <w:t>Use the following implementation guidance to turn this roadmap into action. The goal is not to launch a large program. The goal is to create a disciplined operating rhythm that leaders can actually sustain.</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F2937"/>
            <w:tcMar>
              <w:top w:w="55" w:type="dxa"/>
              <w:start w:w="70" w:type="dxa"/>
              <w:bottom w:w="55" w:type="dxa"/>
              <w:end w:w="70" w:type="dxa"/>
            </w:tcMar>
          </w:tcPr>
          <w:p>
            <w:pPr>
              <w:spacing w:after="0" w:line="240" w:lineRule="auto"/>
            </w:pPr>
            <w:r/>
            <w:r>
              <w:rPr>
                <w:rFonts w:ascii="Calibri" w:hAnsi="Calibri"/>
                <w:b/>
                <w:i w:val="0"/>
                <w:color w:val="FFFFFF"/>
                <w:sz w:val="18"/>
              </w:rPr>
              <w:t>Role</w:t>
            </w:r>
          </w:p>
        </w:tc>
        <w:tc>
          <w:tcPr>
            <w:tcW w:type="dxa" w:w="5083"/>
            <w:shd w:fill="1F2937"/>
            <w:tcMar>
              <w:top w:w="55" w:type="dxa"/>
              <w:start w:w="70" w:type="dxa"/>
              <w:bottom w:w="55" w:type="dxa"/>
              <w:end w:w="70" w:type="dxa"/>
            </w:tcMar>
          </w:tcPr>
          <w:p>
            <w:pPr>
              <w:spacing w:after="0" w:line="240" w:lineRule="auto"/>
            </w:pPr>
            <w:r/>
            <w:r>
              <w:rPr>
                <w:rFonts w:ascii="Calibri" w:hAnsi="Calibri"/>
                <w:b/>
                <w:i w:val="0"/>
                <w:color w:val="FFFFFF"/>
                <w:sz w:val="18"/>
              </w:rPr>
              <w:t>Responsibility</w:t>
            </w:r>
          </w:p>
        </w:tc>
      </w:tr>
      <w:tr>
        <w:trPr>
          <w:cantSplit/>
        </w:trPr>
        <w:tc>
          <w:tcPr>
            <w:tcW w:type="dxa" w:w="5083"/>
            <w:tcMar>
              <w:top w:w="65" w:type="dxa"/>
              <w:start w:w="70" w:type="dxa"/>
              <w:bottom w:w="65" w:type="dxa"/>
              <w:end w:w="70" w:type="dxa"/>
            </w:tcMar>
            <w:vAlign w:val="top"/>
          </w:tcPr>
          <w:p>
            <w:pPr>
              <w:spacing w:after="0" w:line="240" w:lineRule="auto"/>
            </w:pPr>
            <w:r/>
            <w:r>
              <w:rPr>
                <w:rFonts w:ascii="Calibri" w:hAnsi="Calibri"/>
                <w:b/>
                <w:i w:val="0"/>
                <w:color w:val="1F2937"/>
                <w:sz w:val="18"/>
              </w:rPr>
              <w:t>Executive Sponsor</w:t>
            </w:r>
          </w:p>
        </w:tc>
        <w:tc>
          <w:tcPr>
            <w:tcW w:type="dxa" w:w="5083"/>
            <w:tcMar>
              <w:top w:w="65" w:type="dxa"/>
              <w:start w:w="70" w:type="dxa"/>
              <w:bottom w:w="65" w:type="dxa"/>
              <w:end w:w="70" w:type="dxa"/>
            </w:tcMar>
            <w:vAlign w:val="top"/>
          </w:tcPr>
          <w:p>
            <w:pPr>
              <w:spacing w:after="0" w:line="240" w:lineRule="auto"/>
            </w:pPr>
            <w:r/>
            <w:r>
              <w:rPr>
                <w:rFonts w:ascii="Calibri" w:hAnsi="Calibri"/>
                <w:b w:val="0"/>
                <w:i w:val="0"/>
                <w:color w:val="212529"/>
                <w:sz w:val="18"/>
              </w:rPr>
              <w:t>Owns the roadmap, reinforces standards, removes barriers, and protects the implementation from becoming another abandoned initiative.</w:t>
            </w:r>
          </w:p>
        </w:tc>
      </w:tr>
      <w:tr>
        <w:trPr>
          <w:cantSplit/>
        </w:trPr>
        <w:tc>
          <w:tcPr>
            <w:tcW w:type="dxa" w:w="5083"/>
            <w:tcMar>
              <w:top w:w="65" w:type="dxa"/>
              <w:start w:w="70" w:type="dxa"/>
              <w:bottom w:w="65" w:type="dxa"/>
              <w:end w:w="70" w:type="dxa"/>
            </w:tcMar>
            <w:vAlign w:val="top"/>
            <w:shd w:fill="F3F4F6"/>
          </w:tcPr>
          <w:p>
            <w:pPr>
              <w:spacing w:after="0" w:line="240" w:lineRule="auto"/>
            </w:pPr>
            <w:r/>
            <w:r>
              <w:rPr>
                <w:rFonts w:ascii="Calibri" w:hAnsi="Calibri"/>
                <w:b/>
                <w:i w:val="0"/>
                <w:color w:val="1F2937"/>
                <w:sz w:val="18"/>
              </w:rPr>
              <w:t>Implementation Owner</w:t>
            </w:r>
          </w:p>
        </w:tc>
        <w:tc>
          <w:tcPr>
            <w:tcW w:type="dxa" w:w="5083"/>
            <w:tcMar>
              <w:top w:w="65" w:type="dxa"/>
              <w:start w:w="70" w:type="dxa"/>
              <w:bottom w:w="65" w:type="dxa"/>
              <w:end w:w="70" w:type="dxa"/>
            </w:tcMar>
            <w:vAlign w:val="top"/>
            <w:shd w:fill="F3F4F6"/>
          </w:tcPr>
          <w:p>
            <w:pPr>
              <w:spacing w:after="0" w:line="240" w:lineRule="auto"/>
            </w:pPr>
            <w:r/>
            <w:r>
              <w:rPr>
                <w:rFonts w:ascii="Calibri" w:hAnsi="Calibri"/>
                <w:b w:val="0"/>
                <w:i w:val="0"/>
                <w:color w:val="212529"/>
                <w:sz w:val="18"/>
              </w:rPr>
              <w:t>Coordinates the work, prepares agendas, tracks actions, and ensures each phase produces visible outcomes.</w:t>
            </w:r>
          </w:p>
        </w:tc>
      </w:tr>
      <w:tr>
        <w:trPr>
          <w:cantSplit/>
        </w:trPr>
        <w:tc>
          <w:tcPr>
            <w:tcW w:type="dxa" w:w="5083"/>
            <w:tcMar>
              <w:top w:w="65" w:type="dxa"/>
              <w:start w:w="70" w:type="dxa"/>
              <w:bottom w:w="65" w:type="dxa"/>
              <w:end w:w="70" w:type="dxa"/>
            </w:tcMar>
            <w:vAlign w:val="top"/>
          </w:tcPr>
          <w:p>
            <w:pPr>
              <w:spacing w:after="0" w:line="240" w:lineRule="auto"/>
            </w:pPr>
            <w:r/>
            <w:r>
              <w:rPr>
                <w:rFonts w:ascii="Calibri" w:hAnsi="Calibri"/>
                <w:b/>
                <w:i w:val="0"/>
                <w:color w:val="1F2937"/>
                <w:sz w:val="18"/>
              </w:rPr>
              <w:t>Leadership Team</w:t>
            </w:r>
          </w:p>
        </w:tc>
        <w:tc>
          <w:tcPr>
            <w:tcW w:type="dxa" w:w="5083"/>
            <w:tcMar>
              <w:top w:w="65" w:type="dxa"/>
              <w:start w:w="70" w:type="dxa"/>
              <w:bottom w:w="65" w:type="dxa"/>
              <w:end w:w="70" w:type="dxa"/>
            </w:tcMar>
            <w:vAlign w:val="top"/>
          </w:tcPr>
          <w:p>
            <w:pPr>
              <w:spacing w:after="0" w:line="240" w:lineRule="auto"/>
            </w:pPr>
            <w:r/>
            <w:r>
              <w:rPr>
                <w:rFonts w:ascii="Calibri" w:hAnsi="Calibri"/>
                <w:b w:val="0"/>
                <w:i w:val="0"/>
                <w:color w:val="212529"/>
                <w:sz w:val="18"/>
              </w:rPr>
              <w:t>Participates in maturity assessment, defines success, commits to operating rhythms, and models the expected behaviors.</w:t>
            </w:r>
          </w:p>
        </w:tc>
      </w:tr>
      <w:tr>
        <w:trPr>
          <w:cantSplit/>
        </w:trPr>
        <w:tc>
          <w:tcPr>
            <w:tcW w:type="dxa" w:w="5083"/>
            <w:tcMar>
              <w:top w:w="65" w:type="dxa"/>
              <w:start w:w="70" w:type="dxa"/>
              <w:bottom w:w="65" w:type="dxa"/>
              <w:end w:w="70" w:type="dxa"/>
            </w:tcMar>
            <w:vAlign w:val="top"/>
            <w:shd w:fill="F3F4F6"/>
          </w:tcPr>
          <w:p>
            <w:pPr>
              <w:spacing w:after="0" w:line="240" w:lineRule="auto"/>
            </w:pPr>
            <w:r/>
            <w:r>
              <w:rPr>
                <w:rFonts w:ascii="Calibri" w:hAnsi="Calibri"/>
                <w:b/>
                <w:i w:val="0"/>
                <w:color w:val="1F2937"/>
                <w:sz w:val="18"/>
              </w:rPr>
              <w:t>Frontline Leaders</w:t>
            </w:r>
          </w:p>
        </w:tc>
        <w:tc>
          <w:tcPr>
            <w:tcW w:type="dxa" w:w="5083"/>
            <w:tcMar>
              <w:top w:w="65" w:type="dxa"/>
              <w:start w:w="70" w:type="dxa"/>
              <w:bottom w:w="65" w:type="dxa"/>
              <w:end w:w="70" w:type="dxa"/>
            </w:tcMar>
            <w:vAlign w:val="top"/>
            <w:shd w:fill="F3F4F6"/>
          </w:tcPr>
          <w:p>
            <w:pPr>
              <w:spacing w:after="0" w:line="240" w:lineRule="auto"/>
            </w:pPr>
            <w:r/>
            <w:r>
              <w:rPr>
                <w:rFonts w:ascii="Calibri" w:hAnsi="Calibri"/>
                <w:b w:val="0"/>
                <w:i w:val="0"/>
                <w:color w:val="212529"/>
                <w:sz w:val="18"/>
              </w:rPr>
              <w:t>Use the tools, raise issues early, coach employees, and provide feedback on what is working or breaking.</w:t>
            </w:r>
          </w:p>
        </w:tc>
      </w:tr>
      <w:tr>
        <w:trPr>
          <w:cantSplit/>
        </w:trPr>
        <w:tc>
          <w:tcPr>
            <w:tcW w:type="dxa" w:w="5083"/>
            <w:tcMar>
              <w:top w:w="65" w:type="dxa"/>
              <w:start w:w="70" w:type="dxa"/>
              <w:bottom w:w="65" w:type="dxa"/>
              <w:end w:w="70" w:type="dxa"/>
            </w:tcMar>
            <w:vAlign w:val="top"/>
          </w:tcPr>
          <w:p>
            <w:pPr>
              <w:spacing w:after="0" w:line="240" w:lineRule="auto"/>
            </w:pPr>
            <w:r/>
            <w:r>
              <w:rPr>
                <w:rFonts w:ascii="Calibri" w:hAnsi="Calibri"/>
                <w:b/>
                <w:i w:val="0"/>
                <w:color w:val="1F2937"/>
                <w:sz w:val="18"/>
              </w:rPr>
              <w:t>Employees</w:t>
            </w:r>
          </w:p>
        </w:tc>
        <w:tc>
          <w:tcPr>
            <w:tcW w:type="dxa" w:w="5083"/>
            <w:tcMar>
              <w:top w:w="65" w:type="dxa"/>
              <w:start w:w="70" w:type="dxa"/>
              <w:bottom w:w="65" w:type="dxa"/>
              <w:end w:w="70" w:type="dxa"/>
            </w:tcMar>
            <w:vAlign w:val="top"/>
          </w:tcPr>
          <w:p>
            <w:pPr>
              <w:spacing w:after="0" w:line="240" w:lineRule="auto"/>
            </w:pPr>
            <w:r/>
            <w:r>
              <w:rPr>
                <w:rFonts w:ascii="Calibri" w:hAnsi="Calibri"/>
                <w:b w:val="0"/>
                <w:i w:val="0"/>
                <w:color w:val="212529"/>
                <w:sz w:val="18"/>
              </w:rPr>
              <w:t>Provide practical feedback, surface problems, and experience the consistency or inconsistency of the system.</w:t>
            </w:r>
          </w:p>
        </w:tc>
      </w:tr>
    </w:tbl>
    <w:p>
      <w:pPr>
        <w:pStyle w:val="Heading2"/>
        <w:spacing w:before="160" w:after="80"/>
      </w:pPr>
      <w:r>
        <w:rPr>
          <w:rFonts w:ascii="Calibri" w:hAnsi="Calibri"/>
          <w:color w:val="1F2937"/>
          <w:sz w:val="28"/>
        </w:rPr>
        <w:t>Recommended Operating Cadence</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F2937"/>
            <w:tcMar>
              <w:top w:w="55" w:type="dxa"/>
              <w:start w:w="70" w:type="dxa"/>
              <w:bottom w:w="55" w:type="dxa"/>
              <w:end w:w="70" w:type="dxa"/>
            </w:tcMar>
          </w:tcPr>
          <w:p>
            <w:pPr>
              <w:spacing w:after="0" w:line="240" w:lineRule="auto"/>
            </w:pPr>
            <w:r/>
            <w:r>
              <w:rPr>
                <w:rFonts w:ascii="Calibri" w:hAnsi="Calibri"/>
                <w:b/>
                <w:i w:val="0"/>
                <w:color w:val="FFFFFF"/>
                <w:sz w:val="18"/>
              </w:rPr>
              <w:t>Cadence</w:t>
            </w:r>
          </w:p>
        </w:tc>
        <w:tc>
          <w:tcPr>
            <w:tcW w:type="dxa" w:w="5083"/>
            <w:shd w:fill="1F2937"/>
            <w:tcMar>
              <w:top w:w="55" w:type="dxa"/>
              <w:start w:w="70" w:type="dxa"/>
              <w:bottom w:w="55" w:type="dxa"/>
              <w:end w:w="70" w:type="dxa"/>
            </w:tcMar>
          </w:tcPr>
          <w:p>
            <w:pPr>
              <w:spacing w:after="0" w:line="240" w:lineRule="auto"/>
            </w:pPr>
            <w:r/>
            <w:r>
              <w:rPr>
                <w:rFonts w:ascii="Calibri" w:hAnsi="Calibri"/>
                <w:b/>
                <w:i w:val="0"/>
                <w:color w:val="FFFFFF"/>
                <w:sz w:val="18"/>
              </w:rPr>
              <w:t>Purpose</w:t>
            </w:r>
          </w:p>
        </w:tc>
      </w:tr>
      <w:tr>
        <w:trPr>
          <w:cantSplit/>
        </w:trPr>
        <w:tc>
          <w:tcPr>
            <w:tcW w:type="dxa" w:w="5083"/>
            <w:tcMar>
              <w:top w:w="65" w:type="dxa"/>
              <w:start w:w="70" w:type="dxa"/>
              <w:bottom w:w="65" w:type="dxa"/>
              <w:end w:w="70" w:type="dxa"/>
            </w:tcMar>
            <w:vAlign w:val="top"/>
          </w:tcPr>
          <w:p>
            <w:pPr>
              <w:spacing w:after="0" w:line="240" w:lineRule="auto"/>
            </w:pPr>
            <w:r/>
            <w:r>
              <w:rPr>
                <w:rFonts w:ascii="Calibri" w:hAnsi="Calibri"/>
                <w:b/>
                <w:i w:val="0"/>
                <w:color w:val="1F2937"/>
                <w:sz w:val="18"/>
              </w:rPr>
              <w:t>Weekly</w:t>
            </w:r>
          </w:p>
        </w:tc>
        <w:tc>
          <w:tcPr>
            <w:tcW w:type="dxa" w:w="5083"/>
            <w:tcMar>
              <w:top w:w="65" w:type="dxa"/>
              <w:start w:w="70" w:type="dxa"/>
              <w:bottom w:w="65" w:type="dxa"/>
              <w:end w:w="70" w:type="dxa"/>
            </w:tcMar>
            <w:vAlign w:val="top"/>
          </w:tcPr>
          <w:p>
            <w:pPr>
              <w:spacing w:after="0" w:line="240" w:lineRule="auto"/>
            </w:pPr>
            <w:r/>
            <w:r>
              <w:rPr>
                <w:rFonts w:ascii="Calibri" w:hAnsi="Calibri"/>
                <w:b w:val="0"/>
                <w:i w:val="0"/>
                <w:color w:val="212529"/>
                <w:sz w:val="18"/>
              </w:rPr>
              <w:t>Implementation working session: review phase actions, barriers, and owner follow-through.</w:t>
            </w:r>
          </w:p>
        </w:tc>
      </w:tr>
      <w:tr>
        <w:trPr>
          <w:cantSplit/>
        </w:trPr>
        <w:tc>
          <w:tcPr>
            <w:tcW w:type="dxa" w:w="5083"/>
            <w:tcMar>
              <w:top w:w="65" w:type="dxa"/>
              <w:start w:w="70" w:type="dxa"/>
              <w:bottom w:w="65" w:type="dxa"/>
              <w:end w:w="70" w:type="dxa"/>
            </w:tcMar>
            <w:vAlign w:val="top"/>
            <w:shd w:fill="F3F4F6"/>
          </w:tcPr>
          <w:p>
            <w:pPr>
              <w:spacing w:after="0" w:line="240" w:lineRule="auto"/>
            </w:pPr>
            <w:r/>
            <w:r>
              <w:rPr>
                <w:rFonts w:ascii="Calibri" w:hAnsi="Calibri"/>
                <w:b/>
                <w:i w:val="0"/>
                <w:color w:val="1F2937"/>
                <w:sz w:val="18"/>
              </w:rPr>
              <w:t>Monthly</w:t>
            </w:r>
          </w:p>
        </w:tc>
        <w:tc>
          <w:tcPr>
            <w:tcW w:type="dxa" w:w="5083"/>
            <w:tcMar>
              <w:top w:w="65" w:type="dxa"/>
              <w:start w:w="70" w:type="dxa"/>
              <w:bottom w:w="65" w:type="dxa"/>
              <w:end w:w="70" w:type="dxa"/>
            </w:tcMar>
            <w:vAlign w:val="top"/>
            <w:shd w:fill="F3F4F6"/>
          </w:tcPr>
          <w:p>
            <w:pPr>
              <w:spacing w:after="0" w:line="240" w:lineRule="auto"/>
            </w:pPr>
            <w:r/>
            <w:r>
              <w:rPr>
                <w:rFonts w:ascii="Calibri" w:hAnsi="Calibri"/>
                <w:b w:val="0"/>
                <w:i w:val="0"/>
                <w:color w:val="212529"/>
                <w:sz w:val="18"/>
              </w:rPr>
              <w:t>Executive checkpoint: assess progress against the defining 12-month question and remove obstacles.</w:t>
            </w:r>
          </w:p>
        </w:tc>
      </w:tr>
      <w:tr>
        <w:trPr>
          <w:cantSplit/>
        </w:trPr>
        <w:tc>
          <w:tcPr>
            <w:tcW w:type="dxa" w:w="5083"/>
            <w:tcMar>
              <w:top w:w="65" w:type="dxa"/>
              <w:start w:w="70" w:type="dxa"/>
              <w:bottom w:w="65" w:type="dxa"/>
              <w:end w:w="70" w:type="dxa"/>
            </w:tcMar>
            <w:vAlign w:val="top"/>
          </w:tcPr>
          <w:p>
            <w:pPr>
              <w:spacing w:after="0" w:line="240" w:lineRule="auto"/>
            </w:pPr>
            <w:r/>
            <w:r>
              <w:rPr>
                <w:rFonts w:ascii="Calibri" w:hAnsi="Calibri"/>
                <w:b/>
                <w:i w:val="0"/>
                <w:color w:val="1F2937"/>
                <w:sz w:val="18"/>
              </w:rPr>
              <w:t>Quarterly</w:t>
            </w:r>
          </w:p>
        </w:tc>
        <w:tc>
          <w:tcPr>
            <w:tcW w:type="dxa" w:w="5083"/>
            <w:tcMar>
              <w:top w:w="65" w:type="dxa"/>
              <w:start w:w="70" w:type="dxa"/>
              <w:bottom w:w="65" w:type="dxa"/>
              <w:end w:w="70" w:type="dxa"/>
            </w:tcMar>
            <w:vAlign w:val="top"/>
          </w:tcPr>
          <w:p>
            <w:pPr>
              <w:spacing w:after="0" w:line="240" w:lineRule="auto"/>
            </w:pPr>
            <w:r/>
            <w:r>
              <w:rPr>
                <w:rFonts w:ascii="Calibri" w:hAnsi="Calibri"/>
                <w:b w:val="0"/>
                <w:i w:val="0"/>
                <w:color w:val="212529"/>
                <w:sz w:val="18"/>
              </w:rPr>
              <w:t>Leadership maturity review: reassess the current level, reset priorities, and calibrate leadership expectations.</w:t>
            </w:r>
          </w:p>
        </w:tc>
      </w:tr>
      <w:tr>
        <w:trPr>
          <w:cantSplit/>
        </w:trPr>
        <w:tc>
          <w:tcPr>
            <w:tcW w:type="dxa" w:w="5083"/>
            <w:tcMar>
              <w:top w:w="65" w:type="dxa"/>
              <w:start w:w="70" w:type="dxa"/>
              <w:bottom w:w="65" w:type="dxa"/>
              <w:end w:w="70" w:type="dxa"/>
            </w:tcMar>
            <w:vAlign w:val="top"/>
            <w:shd w:fill="F3F4F6"/>
          </w:tcPr>
          <w:p>
            <w:pPr>
              <w:spacing w:after="0" w:line="240" w:lineRule="auto"/>
            </w:pPr>
            <w:r/>
            <w:r>
              <w:rPr>
                <w:rFonts w:ascii="Calibri" w:hAnsi="Calibri"/>
                <w:b/>
                <w:i w:val="0"/>
                <w:color w:val="1F2937"/>
                <w:sz w:val="18"/>
              </w:rPr>
              <w:t>Annually</w:t>
            </w:r>
          </w:p>
        </w:tc>
        <w:tc>
          <w:tcPr>
            <w:tcW w:type="dxa" w:w="5083"/>
            <w:tcMar>
              <w:top w:w="65" w:type="dxa"/>
              <w:start w:w="70" w:type="dxa"/>
              <w:bottom w:w="65" w:type="dxa"/>
              <w:end w:w="70" w:type="dxa"/>
            </w:tcMar>
            <w:vAlign w:val="top"/>
            <w:shd w:fill="F3F4F6"/>
          </w:tcPr>
          <w:p>
            <w:pPr>
              <w:spacing w:after="0" w:line="240" w:lineRule="auto"/>
            </w:pPr>
            <w:r/>
            <w:r>
              <w:rPr>
                <w:rFonts w:ascii="Calibri" w:hAnsi="Calibri"/>
                <w:b w:val="0"/>
                <w:i w:val="0"/>
                <w:color w:val="212529"/>
                <w:sz w:val="18"/>
              </w:rPr>
              <w:t>Strategy review: define the next maturity destination and update leadership development priorities.</w:t>
            </w:r>
          </w:p>
        </w:tc>
      </w:tr>
    </w:tbl>
    <w:p>
      <w:r>
        <w:br w:type="page"/>
      </w:r>
    </w:p>
    <w:p>
      <w:pPr>
        <w:pStyle w:val="Heading1"/>
        <w:spacing w:before="160" w:after="80"/>
      </w:pPr>
      <w:r>
        <w:rPr>
          <w:rFonts w:ascii="Calibri" w:hAnsi="Calibri"/>
          <w:color w:val="1F2937"/>
          <w:sz w:val="36"/>
        </w:rPr>
        <w:t>First 90 Days: Practical Starting Sequence</w:t>
      </w:r>
    </w:p>
    <w:p>
      <w:pPr>
        <w:spacing w:before="0" w:after="100" w:line="252" w:lineRule="auto"/>
      </w:pPr>
      <w:r>
        <w:rPr>
          <w:rFonts w:ascii="Calibri" w:hAnsi="Calibri"/>
          <w:color w:val="212529"/>
          <w:sz w:val="21"/>
        </w:rPr>
        <w:t>The first 90 days should create visible consistency without overwhelming the organization. Use this as a starting sequence and adjust based on organizational size, complexity, and urgency.</w:t>
      </w:r>
    </w:p>
    <w:tbl>
      <w:tblPr>
        <w:tblStyle w:val="TableGrid"/>
        <w:tblW w:type="auto" w:w="0"/>
        <w:jc w:val="center"/>
        <w:tblLook w:firstColumn="1" w:firstRow="1" w:lastColumn="0" w:lastRow="0" w:noHBand="0" w:noVBand="1" w:val="04A0"/>
      </w:tblPr>
      <w:tblGrid>
        <w:gridCol w:w="3389"/>
        <w:gridCol w:w="3389"/>
        <w:gridCol w:w="3389"/>
      </w:tblGrid>
      <w:tr>
        <w:trPr>
          <w:tblHeader w:val="true"/>
          <w:cantSplit/>
        </w:trPr>
        <w:tc>
          <w:tcPr>
            <w:tcW w:type="dxa" w:w="3389"/>
            <w:shd w:fill="1F2937"/>
            <w:tcMar>
              <w:top w:w="50" w:type="dxa"/>
              <w:start w:w="55" w:type="dxa"/>
              <w:bottom w:w="50" w:type="dxa"/>
              <w:end w:w="55" w:type="dxa"/>
            </w:tcMar>
          </w:tcPr>
          <w:p>
            <w:pPr>
              <w:spacing w:after="0" w:line="240" w:lineRule="auto"/>
            </w:pPr>
            <w:r/>
            <w:r>
              <w:rPr>
                <w:rFonts w:ascii="Calibri" w:hAnsi="Calibri"/>
                <w:b/>
                <w:i w:val="0"/>
                <w:color w:val="FFFFFF"/>
                <w:sz w:val="17"/>
              </w:rPr>
              <w:t>Timing</w:t>
            </w:r>
          </w:p>
        </w:tc>
        <w:tc>
          <w:tcPr>
            <w:tcW w:type="dxa" w:w="3389"/>
            <w:shd w:fill="1F2937"/>
            <w:tcMar>
              <w:top w:w="50" w:type="dxa"/>
              <w:start w:w="55" w:type="dxa"/>
              <w:bottom w:w="50" w:type="dxa"/>
              <w:end w:w="55" w:type="dxa"/>
            </w:tcMar>
          </w:tcPr>
          <w:p>
            <w:pPr>
              <w:spacing w:after="0" w:line="240" w:lineRule="auto"/>
            </w:pPr>
            <w:r/>
            <w:r>
              <w:rPr>
                <w:rFonts w:ascii="Calibri" w:hAnsi="Calibri"/>
                <w:b/>
                <w:i w:val="0"/>
                <w:color w:val="FFFFFF"/>
                <w:sz w:val="17"/>
              </w:rPr>
              <w:t>Focus</w:t>
            </w:r>
          </w:p>
        </w:tc>
        <w:tc>
          <w:tcPr>
            <w:tcW w:type="dxa" w:w="3389"/>
            <w:shd w:fill="1F2937"/>
            <w:tcMar>
              <w:top w:w="50" w:type="dxa"/>
              <w:start w:w="55" w:type="dxa"/>
              <w:bottom w:w="50" w:type="dxa"/>
              <w:end w:w="55" w:type="dxa"/>
            </w:tcMar>
          </w:tcPr>
          <w:p>
            <w:pPr>
              <w:spacing w:after="0" w:line="240" w:lineRule="auto"/>
            </w:pPr>
            <w:r/>
            <w:r>
              <w:rPr>
                <w:rFonts w:ascii="Calibri" w:hAnsi="Calibri"/>
                <w:b/>
                <w:i w:val="0"/>
                <w:color w:val="FFFFFF"/>
                <w:sz w:val="17"/>
              </w:rPr>
              <w:t>Action</w:t>
            </w:r>
          </w:p>
        </w:tc>
      </w:tr>
      <w:tr>
        <w:trPr>
          <w:cantSplit/>
        </w:trPr>
        <w:tc>
          <w:tcPr>
            <w:tcW w:type="dxa" w:w="3389"/>
            <w:tcMar>
              <w:top w:w="60" w:type="dxa"/>
              <w:start w:w="60" w:type="dxa"/>
              <w:bottom w:w="60" w:type="dxa"/>
              <w:end w:w="60" w:type="dxa"/>
            </w:tcMar>
            <w:vAlign w:val="top"/>
          </w:tcPr>
          <w:p>
            <w:pPr>
              <w:spacing w:after="0" w:line="240" w:lineRule="auto"/>
            </w:pPr>
            <w:r/>
            <w:r>
              <w:rPr>
                <w:rFonts w:ascii="Calibri" w:hAnsi="Calibri"/>
                <w:b/>
                <w:i w:val="0"/>
                <w:color w:val="1F2937"/>
                <w:sz w:val="17"/>
              </w:rPr>
              <w:t>Days 1-15</w:t>
            </w:r>
          </w:p>
        </w:tc>
        <w:tc>
          <w:tcPr>
            <w:tcW w:type="dxa" w:w="3389"/>
            <w:tcMar>
              <w:top w:w="60" w:type="dxa"/>
              <w:start w:w="60" w:type="dxa"/>
              <w:bottom w:w="60" w:type="dxa"/>
              <w:end w:w="60" w:type="dxa"/>
            </w:tcMar>
            <w:vAlign w:val="top"/>
          </w:tcPr>
          <w:p>
            <w:pPr>
              <w:spacing w:after="0" w:line="240" w:lineRule="auto"/>
            </w:pPr>
            <w:r/>
            <w:r>
              <w:rPr>
                <w:rFonts w:ascii="Calibri" w:hAnsi="Calibri"/>
                <w:b/>
                <w:i w:val="0"/>
                <w:color w:val="1F2937"/>
                <w:sz w:val="17"/>
              </w:rPr>
              <w:t>Define success</w:t>
            </w:r>
          </w:p>
        </w:tc>
        <w:tc>
          <w:tcPr>
            <w:tcW w:type="dxa" w:w="3389"/>
            <w:tcMar>
              <w:top w:w="60" w:type="dxa"/>
              <w:start w:w="60" w:type="dxa"/>
              <w:bottom w:w="60" w:type="dxa"/>
              <w:end w:w="60" w:type="dxa"/>
            </w:tcMar>
            <w:vAlign w:val="top"/>
          </w:tcPr>
          <w:p>
            <w:pPr>
              <w:spacing w:after="0" w:line="240" w:lineRule="auto"/>
            </w:pPr>
            <w:r/>
            <w:r>
              <w:rPr>
                <w:rFonts w:ascii="Calibri" w:hAnsi="Calibri"/>
                <w:b w:val="0"/>
                <w:i w:val="0"/>
                <w:color w:val="212529"/>
                <w:sz w:val="17"/>
              </w:rPr>
              <w:t>Answer the 12-month defining question. Identify the most visible leadership and communication failure points. Select one pilot area if the organization is large or complex.</w:t>
            </w:r>
          </w:p>
        </w:tc>
      </w:tr>
      <w:tr>
        <w:trPr>
          <w:cantSplit/>
        </w:trPr>
        <w:tc>
          <w:tcPr>
            <w:tcW w:type="dxa" w:w="3389"/>
            <w:tcMar>
              <w:top w:w="60" w:type="dxa"/>
              <w:start w:w="60" w:type="dxa"/>
              <w:bottom w:w="60" w:type="dxa"/>
              <w:end w:w="60" w:type="dxa"/>
            </w:tcMar>
            <w:vAlign w:val="top"/>
            <w:shd w:fill="F3F4F6"/>
          </w:tcPr>
          <w:p>
            <w:pPr>
              <w:spacing w:after="0" w:line="240" w:lineRule="auto"/>
            </w:pPr>
            <w:r/>
            <w:r>
              <w:rPr>
                <w:rFonts w:ascii="Calibri" w:hAnsi="Calibri"/>
                <w:b/>
                <w:i w:val="0"/>
                <w:color w:val="1F2937"/>
                <w:sz w:val="17"/>
              </w:rPr>
              <w:t>Days 16-30</w:t>
            </w:r>
          </w:p>
        </w:tc>
        <w:tc>
          <w:tcPr>
            <w:tcW w:type="dxa" w:w="3389"/>
            <w:tcMar>
              <w:top w:w="60" w:type="dxa"/>
              <w:start w:w="60" w:type="dxa"/>
              <w:bottom w:w="60" w:type="dxa"/>
              <w:end w:w="60" w:type="dxa"/>
            </w:tcMar>
            <w:vAlign w:val="top"/>
            <w:shd w:fill="F3F4F6"/>
          </w:tcPr>
          <w:p>
            <w:pPr>
              <w:spacing w:after="0" w:line="240" w:lineRule="auto"/>
            </w:pPr>
            <w:r/>
            <w:r>
              <w:rPr>
                <w:rFonts w:ascii="Calibri" w:hAnsi="Calibri"/>
                <w:b/>
                <w:i w:val="0"/>
                <w:color w:val="1F2937"/>
                <w:sz w:val="17"/>
              </w:rPr>
              <w:t>Stabilize communication</w:t>
            </w:r>
          </w:p>
        </w:tc>
        <w:tc>
          <w:tcPr>
            <w:tcW w:type="dxa" w:w="3389"/>
            <w:tcMar>
              <w:top w:w="60" w:type="dxa"/>
              <w:start w:w="60" w:type="dxa"/>
              <w:bottom w:w="60" w:type="dxa"/>
              <w:end w:w="60" w:type="dxa"/>
            </w:tcMar>
            <w:vAlign w:val="top"/>
            <w:shd w:fill="F3F4F6"/>
          </w:tcPr>
          <w:p>
            <w:pPr>
              <w:spacing w:after="0" w:line="240" w:lineRule="auto"/>
            </w:pPr>
            <w:r/>
            <w:r>
              <w:rPr>
                <w:rFonts w:ascii="Calibri" w:hAnsi="Calibri"/>
                <w:b w:val="0"/>
                <w:i w:val="0"/>
                <w:color w:val="212529"/>
                <w:sz w:val="17"/>
              </w:rPr>
              <w:t>Launch a simple daily or weekly leadership huddle. Standardize agenda, decision capture, issue escalation, and follow-through.</w:t>
            </w:r>
          </w:p>
        </w:tc>
      </w:tr>
      <w:tr>
        <w:trPr>
          <w:cantSplit/>
        </w:trPr>
        <w:tc>
          <w:tcPr>
            <w:tcW w:type="dxa" w:w="3389"/>
            <w:tcMar>
              <w:top w:w="60" w:type="dxa"/>
              <w:start w:w="60" w:type="dxa"/>
              <w:bottom w:w="60" w:type="dxa"/>
              <w:end w:w="60" w:type="dxa"/>
            </w:tcMar>
            <w:vAlign w:val="top"/>
          </w:tcPr>
          <w:p>
            <w:pPr>
              <w:spacing w:after="0" w:line="240" w:lineRule="auto"/>
            </w:pPr>
            <w:r/>
            <w:r>
              <w:rPr>
                <w:rFonts w:ascii="Calibri" w:hAnsi="Calibri"/>
                <w:b/>
                <w:i w:val="0"/>
                <w:color w:val="1F2937"/>
                <w:sz w:val="17"/>
              </w:rPr>
              <w:t>Days 31-45</w:t>
            </w:r>
          </w:p>
        </w:tc>
        <w:tc>
          <w:tcPr>
            <w:tcW w:type="dxa" w:w="3389"/>
            <w:tcMar>
              <w:top w:w="60" w:type="dxa"/>
              <w:start w:w="60" w:type="dxa"/>
              <w:bottom w:w="60" w:type="dxa"/>
              <w:end w:w="60" w:type="dxa"/>
            </w:tcMar>
            <w:vAlign w:val="top"/>
          </w:tcPr>
          <w:p>
            <w:pPr>
              <w:spacing w:after="0" w:line="240" w:lineRule="auto"/>
            </w:pPr>
            <w:r/>
            <w:r>
              <w:rPr>
                <w:rFonts w:ascii="Calibri" w:hAnsi="Calibri"/>
                <w:b/>
                <w:i w:val="0"/>
                <w:color w:val="1F2937"/>
                <w:sz w:val="17"/>
              </w:rPr>
              <w:t>Clarify expectations</w:t>
            </w:r>
          </w:p>
        </w:tc>
        <w:tc>
          <w:tcPr>
            <w:tcW w:type="dxa" w:w="3389"/>
            <w:tcMar>
              <w:top w:w="60" w:type="dxa"/>
              <w:start w:w="60" w:type="dxa"/>
              <w:bottom w:w="60" w:type="dxa"/>
              <w:end w:w="60" w:type="dxa"/>
            </w:tcMar>
            <w:vAlign w:val="top"/>
          </w:tcPr>
          <w:p>
            <w:pPr>
              <w:spacing w:after="0" w:line="240" w:lineRule="auto"/>
            </w:pPr>
            <w:r/>
            <w:r>
              <w:rPr>
                <w:rFonts w:ascii="Calibri" w:hAnsi="Calibri"/>
                <w:b w:val="0"/>
                <w:i w:val="0"/>
                <w:color w:val="212529"/>
                <w:sz w:val="17"/>
              </w:rPr>
              <w:t>Define leadership expectations, role ownership, decision rights, and non-negotiable standards.</w:t>
            </w:r>
          </w:p>
        </w:tc>
      </w:tr>
      <w:tr>
        <w:trPr>
          <w:cantSplit/>
        </w:trPr>
        <w:tc>
          <w:tcPr>
            <w:tcW w:type="dxa" w:w="3389"/>
            <w:tcMar>
              <w:top w:w="60" w:type="dxa"/>
              <w:start w:w="60" w:type="dxa"/>
              <w:bottom w:w="60" w:type="dxa"/>
              <w:end w:w="60" w:type="dxa"/>
            </w:tcMar>
            <w:vAlign w:val="top"/>
            <w:shd w:fill="F3F4F6"/>
          </w:tcPr>
          <w:p>
            <w:pPr>
              <w:spacing w:after="0" w:line="240" w:lineRule="auto"/>
            </w:pPr>
            <w:r/>
            <w:r>
              <w:rPr>
                <w:rFonts w:ascii="Calibri" w:hAnsi="Calibri"/>
                <w:b/>
                <w:i w:val="0"/>
                <w:color w:val="1F2937"/>
                <w:sz w:val="17"/>
              </w:rPr>
              <w:t>Days 46-60</w:t>
            </w:r>
          </w:p>
        </w:tc>
        <w:tc>
          <w:tcPr>
            <w:tcW w:type="dxa" w:w="3389"/>
            <w:tcMar>
              <w:top w:w="60" w:type="dxa"/>
              <w:start w:w="60" w:type="dxa"/>
              <w:bottom w:w="60" w:type="dxa"/>
              <w:end w:w="60" w:type="dxa"/>
            </w:tcMar>
            <w:vAlign w:val="top"/>
            <w:shd w:fill="F3F4F6"/>
          </w:tcPr>
          <w:p>
            <w:pPr>
              <w:spacing w:after="0" w:line="240" w:lineRule="auto"/>
            </w:pPr>
            <w:r/>
            <w:r>
              <w:rPr>
                <w:rFonts w:ascii="Calibri" w:hAnsi="Calibri"/>
                <w:b/>
                <w:i w:val="0"/>
                <w:color w:val="1F2937"/>
                <w:sz w:val="17"/>
              </w:rPr>
              <w:t>Make performance visible</w:t>
            </w:r>
          </w:p>
        </w:tc>
        <w:tc>
          <w:tcPr>
            <w:tcW w:type="dxa" w:w="3389"/>
            <w:tcMar>
              <w:top w:w="60" w:type="dxa"/>
              <w:start w:w="60" w:type="dxa"/>
              <w:bottom w:w="60" w:type="dxa"/>
              <w:end w:w="60" w:type="dxa"/>
            </w:tcMar>
            <w:vAlign w:val="top"/>
            <w:shd w:fill="F3F4F6"/>
          </w:tcPr>
          <w:p>
            <w:pPr>
              <w:spacing w:after="0" w:line="240" w:lineRule="auto"/>
            </w:pPr>
            <w:r/>
            <w:r>
              <w:rPr>
                <w:rFonts w:ascii="Calibri" w:hAnsi="Calibri"/>
                <w:b w:val="0"/>
                <w:i w:val="0"/>
                <w:color w:val="212529"/>
                <w:sz w:val="17"/>
              </w:rPr>
              <w:t>Choose a small set of practical metrics. Track issues, ownership, aging items, and missed standards.</w:t>
            </w:r>
          </w:p>
        </w:tc>
      </w:tr>
      <w:tr>
        <w:trPr>
          <w:cantSplit/>
        </w:trPr>
        <w:tc>
          <w:tcPr>
            <w:tcW w:type="dxa" w:w="3389"/>
            <w:tcMar>
              <w:top w:w="60" w:type="dxa"/>
              <w:start w:w="60" w:type="dxa"/>
              <w:bottom w:w="60" w:type="dxa"/>
              <w:end w:w="60" w:type="dxa"/>
            </w:tcMar>
            <w:vAlign w:val="top"/>
          </w:tcPr>
          <w:p>
            <w:pPr>
              <w:spacing w:after="0" w:line="240" w:lineRule="auto"/>
            </w:pPr>
            <w:r/>
            <w:r>
              <w:rPr>
                <w:rFonts w:ascii="Calibri" w:hAnsi="Calibri"/>
                <w:b/>
                <w:i w:val="0"/>
                <w:color w:val="1F2937"/>
                <w:sz w:val="17"/>
              </w:rPr>
              <w:t>Days 61-75</w:t>
            </w:r>
          </w:p>
        </w:tc>
        <w:tc>
          <w:tcPr>
            <w:tcW w:type="dxa" w:w="3389"/>
            <w:tcMar>
              <w:top w:w="60" w:type="dxa"/>
              <w:start w:w="60" w:type="dxa"/>
              <w:bottom w:w="60" w:type="dxa"/>
              <w:end w:w="60" w:type="dxa"/>
            </w:tcMar>
            <w:vAlign w:val="top"/>
          </w:tcPr>
          <w:p>
            <w:pPr>
              <w:spacing w:after="0" w:line="240" w:lineRule="auto"/>
            </w:pPr>
            <w:r/>
            <w:r>
              <w:rPr>
                <w:rFonts w:ascii="Calibri" w:hAnsi="Calibri"/>
                <w:b/>
                <w:i w:val="0"/>
                <w:color w:val="1F2937"/>
                <w:sz w:val="17"/>
              </w:rPr>
              <w:t>Coach the leaders</w:t>
            </w:r>
          </w:p>
        </w:tc>
        <w:tc>
          <w:tcPr>
            <w:tcW w:type="dxa" w:w="3389"/>
            <w:tcMar>
              <w:top w:w="60" w:type="dxa"/>
              <w:start w:w="60" w:type="dxa"/>
              <w:bottom w:w="60" w:type="dxa"/>
              <w:end w:w="60" w:type="dxa"/>
            </w:tcMar>
            <w:vAlign w:val="top"/>
          </w:tcPr>
          <w:p>
            <w:pPr>
              <w:spacing w:after="0" w:line="240" w:lineRule="auto"/>
            </w:pPr>
            <w:r/>
            <w:r>
              <w:rPr>
                <w:rFonts w:ascii="Calibri" w:hAnsi="Calibri"/>
                <w:b w:val="0"/>
                <w:i w:val="0"/>
                <w:color w:val="212529"/>
                <w:sz w:val="17"/>
              </w:rPr>
              <w:t>Use real operational issues to coach supervisors and managers on accountability, problem solving, and root-cause thinking.</w:t>
            </w:r>
          </w:p>
        </w:tc>
      </w:tr>
      <w:tr>
        <w:trPr>
          <w:cantSplit/>
        </w:trPr>
        <w:tc>
          <w:tcPr>
            <w:tcW w:type="dxa" w:w="3389"/>
            <w:tcMar>
              <w:top w:w="60" w:type="dxa"/>
              <w:start w:w="60" w:type="dxa"/>
              <w:bottom w:w="60" w:type="dxa"/>
              <w:end w:w="60" w:type="dxa"/>
            </w:tcMar>
            <w:vAlign w:val="top"/>
            <w:shd w:fill="F3F4F6"/>
          </w:tcPr>
          <w:p>
            <w:pPr>
              <w:spacing w:after="0" w:line="240" w:lineRule="auto"/>
            </w:pPr>
            <w:r/>
            <w:r>
              <w:rPr>
                <w:rFonts w:ascii="Calibri" w:hAnsi="Calibri"/>
                <w:b/>
                <w:i w:val="0"/>
                <w:color w:val="1F2937"/>
                <w:sz w:val="17"/>
              </w:rPr>
              <w:t>Days 76-90</w:t>
            </w:r>
          </w:p>
        </w:tc>
        <w:tc>
          <w:tcPr>
            <w:tcW w:type="dxa" w:w="3389"/>
            <w:tcMar>
              <w:top w:w="60" w:type="dxa"/>
              <w:start w:w="60" w:type="dxa"/>
              <w:bottom w:w="60" w:type="dxa"/>
              <w:end w:w="60" w:type="dxa"/>
            </w:tcMar>
            <w:vAlign w:val="top"/>
            <w:shd w:fill="F3F4F6"/>
          </w:tcPr>
          <w:p>
            <w:pPr>
              <w:spacing w:after="0" w:line="240" w:lineRule="auto"/>
            </w:pPr>
            <w:r/>
            <w:r>
              <w:rPr>
                <w:rFonts w:ascii="Calibri" w:hAnsi="Calibri"/>
                <w:b/>
                <w:i w:val="0"/>
                <w:color w:val="1F2937"/>
                <w:sz w:val="17"/>
              </w:rPr>
              <w:t>Review and reset</w:t>
            </w:r>
          </w:p>
        </w:tc>
        <w:tc>
          <w:tcPr>
            <w:tcW w:type="dxa" w:w="3389"/>
            <w:tcMar>
              <w:top w:w="60" w:type="dxa"/>
              <w:start w:w="60" w:type="dxa"/>
              <w:bottom w:w="60" w:type="dxa"/>
              <w:end w:w="60" w:type="dxa"/>
            </w:tcMar>
            <w:vAlign w:val="top"/>
            <w:shd w:fill="F3F4F6"/>
          </w:tcPr>
          <w:p>
            <w:pPr>
              <w:spacing w:after="0" w:line="240" w:lineRule="auto"/>
            </w:pPr>
            <w:r/>
            <w:r>
              <w:rPr>
                <w:rFonts w:ascii="Calibri" w:hAnsi="Calibri"/>
                <w:b w:val="0"/>
                <w:i w:val="0"/>
                <w:color w:val="212529"/>
                <w:sz w:val="17"/>
              </w:rPr>
              <w:t>Evaluate what improved, what resisted, and what broke. Decide whether to deepen Phase 1 or move into Phase 2 Accountability.</w:t>
            </w:r>
          </w:p>
        </w:tc>
      </w:tr>
    </w:tbl>
    <w:p>
      <w:r>
        <w:br w:type="page"/>
      </w:r>
    </w:p>
    <w:p>
      <w:pPr>
        <w:pStyle w:val="Heading1"/>
        <w:spacing w:before="160" w:after="80"/>
      </w:pPr>
      <w:r>
        <w:rPr>
          <w:rFonts w:ascii="Calibri" w:hAnsi="Calibri"/>
          <w:color w:val="1F2937"/>
          <w:sz w:val="36"/>
        </w:rPr>
        <w:t>Common Failure Points and Countermeasures</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F2937"/>
            <w:tcMar>
              <w:top w:w="55" w:type="dxa"/>
              <w:start w:w="70" w:type="dxa"/>
              <w:bottom w:w="55" w:type="dxa"/>
              <w:end w:w="70" w:type="dxa"/>
            </w:tcMar>
          </w:tcPr>
          <w:p>
            <w:pPr>
              <w:spacing w:after="0" w:line="240" w:lineRule="auto"/>
            </w:pPr>
            <w:r/>
            <w:r>
              <w:rPr>
                <w:rFonts w:ascii="Calibri" w:hAnsi="Calibri"/>
                <w:b/>
                <w:i w:val="0"/>
                <w:color w:val="FFFFFF"/>
                <w:sz w:val="18"/>
              </w:rPr>
              <w:t>Failure Point</w:t>
            </w:r>
          </w:p>
        </w:tc>
        <w:tc>
          <w:tcPr>
            <w:tcW w:type="dxa" w:w="5083"/>
            <w:shd w:fill="1F2937"/>
            <w:tcMar>
              <w:top w:w="55" w:type="dxa"/>
              <w:start w:w="70" w:type="dxa"/>
              <w:bottom w:w="55" w:type="dxa"/>
              <w:end w:w="70" w:type="dxa"/>
            </w:tcMar>
          </w:tcPr>
          <w:p>
            <w:pPr>
              <w:spacing w:after="0" w:line="240" w:lineRule="auto"/>
            </w:pPr>
            <w:r/>
            <w:r>
              <w:rPr>
                <w:rFonts w:ascii="Calibri" w:hAnsi="Calibri"/>
                <w:b/>
                <w:i w:val="0"/>
                <w:color w:val="FFFFFF"/>
                <w:sz w:val="18"/>
              </w:rPr>
              <w:t>Countermeasure</w:t>
            </w:r>
          </w:p>
        </w:tc>
      </w:tr>
      <w:tr>
        <w:trPr>
          <w:cantSplit/>
        </w:trPr>
        <w:tc>
          <w:tcPr>
            <w:tcW w:type="dxa" w:w="5083"/>
            <w:tcMar>
              <w:top w:w="65" w:type="dxa"/>
              <w:start w:w="70" w:type="dxa"/>
              <w:bottom w:w="65" w:type="dxa"/>
              <w:end w:w="70" w:type="dxa"/>
            </w:tcMar>
            <w:vAlign w:val="top"/>
          </w:tcPr>
          <w:p>
            <w:pPr>
              <w:spacing w:after="0" w:line="240" w:lineRule="auto"/>
            </w:pPr>
            <w:r/>
            <w:r>
              <w:rPr>
                <w:rFonts w:ascii="Calibri" w:hAnsi="Calibri"/>
                <w:b/>
                <w:i w:val="0"/>
                <w:color w:val="1F2937"/>
                <w:sz w:val="18"/>
              </w:rPr>
              <w:t>Treating this as training only</w:t>
            </w:r>
          </w:p>
        </w:tc>
        <w:tc>
          <w:tcPr>
            <w:tcW w:type="dxa" w:w="5083"/>
            <w:tcMar>
              <w:top w:w="65" w:type="dxa"/>
              <w:start w:w="70" w:type="dxa"/>
              <w:bottom w:w="65" w:type="dxa"/>
              <w:end w:w="70" w:type="dxa"/>
            </w:tcMar>
            <w:vAlign w:val="top"/>
          </w:tcPr>
          <w:p>
            <w:pPr>
              <w:spacing w:after="0" w:line="240" w:lineRule="auto"/>
            </w:pPr>
            <w:r/>
            <w:r>
              <w:rPr>
                <w:rFonts w:ascii="Calibri" w:hAnsi="Calibri"/>
                <w:b w:val="0"/>
                <w:i w:val="0"/>
                <w:color w:val="212529"/>
                <w:sz w:val="18"/>
              </w:rPr>
              <w:t>Training helps, but weak systems will overpower good training. Pair development with routines, expectations, metrics, and accountability.</w:t>
            </w:r>
          </w:p>
        </w:tc>
      </w:tr>
      <w:tr>
        <w:trPr>
          <w:cantSplit/>
        </w:trPr>
        <w:tc>
          <w:tcPr>
            <w:tcW w:type="dxa" w:w="5083"/>
            <w:tcMar>
              <w:top w:w="65" w:type="dxa"/>
              <w:start w:w="70" w:type="dxa"/>
              <w:bottom w:w="65" w:type="dxa"/>
              <w:end w:w="70" w:type="dxa"/>
            </w:tcMar>
            <w:vAlign w:val="top"/>
            <w:shd w:fill="F3F4F6"/>
          </w:tcPr>
          <w:p>
            <w:pPr>
              <w:spacing w:after="0" w:line="240" w:lineRule="auto"/>
            </w:pPr>
            <w:r/>
            <w:r>
              <w:rPr>
                <w:rFonts w:ascii="Calibri" w:hAnsi="Calibri"/>
                <w:b/>
                <w:i w:val="0"/>
                <w:color w:val="1F2937"/>
                <w:sz w:val="18"/>
              </w:rPr>
              <w:t>Delegating culture to HR or supervisors</w:t>
            </w:r>
          </w:p>
        </w:tc>
        <w:tc>
          <w:tcPr>
            <w:tcW w:type="dxa" w:w="5083"/>
            <w:tcMar>
              <w:top w:w="65" w:type="dxa"/>
              <w:start w:w="70" w:type="dxa"/>
              <w:bottom w:w="65" w:type="dxa"/>
              <w:end w:w="70" w:type="dxa"/>
            </w:tcMar>
            <w:vAlign w:val="top"/>
            <w:shd w:fill="F3F4F6"/>
          </w:tcPr>
          <w:p>
            <w:pPr>
              <w:spacing w:after="0" w:line="240" w:lineRule="auto"/>
            </w:pPr>
            <w:r/>
            <w:r>
              <w:rPr>
                <w:rFonts w:ascii="Calibri" w:hAnsi="Calibri"/>
                <w:b w:val="0"/>
                <w:i w:val="0"/>
                <w:color w:val="212529"/>
                <w:sz w:val="18"/>
              </w:rPr>
              <w:t>HR and supervisors are critical partners, but executives must own and model the system.</w:t>
            </w:r>
          </w:p>
        </w:tc>
      </w:tr>
      <w:tr>
        <w:trPr>
          <w:cantSplit/>
        </w:trPr>
        <w:tc>
          <w:tcPr>
            <w:tcW w:type="dxa" w:w="5083"/>
            <w:tcMar>
              <w:top w:w="65" w:type="dxa"/>
              <w:start w:w="70" w:type="dxa"/>
              <w:bottom w:w="65" w:type="dxa"/>
              <w:end w:w="70" w:type="dxa"/>
            </w:tcMar>
            <w:vAlign w:val="top"/>
          </w:tcPr>
          <w:p>
            <w:pPr>
              <w:spacing w:after="0" w:line="240" w:lineRule="auto"/>
            </w:pPr>
            <w:r/>
            <w:r>
              <w:rPr>
                <w:rFonts w:ascii="Calibri" w:hAnsi="Calibri"/>
                <w:b/>
                <w:i w:val="0"/>
                <w:color w:val="1F2937"/>
                <w:sz w:val="18"/>
              </w:rPr>
              <w:t>Launching too many tools at once</w:t>
            </w:r>
          </w:p>
        </w:tc>
        <w:tc>
          <w:tcPr>
            <w:tcW w:type="dxa" w:w="5083"/>
            <w:tcMar>
              <w:top w:w="65" w:type="dxa"/>
              <w:start w:w="70" w:type="dxa"/>
              <w:bottom w:w="65" w:type="dxa"/>
              <w:end w:w="70" w:type="dxa"/>
            </w:tcMar>
            <w:vAlign w:val="top"/>
          </w:tcPr>
          <w:p>
            <w:pPr>
              <w:spacing w:after="0" w:line="240" w:lineRule="auto"/>
            </w:pPr>
            <w:r/>
            <w:r>
              <w:rPr>
                <w:rFonts w:ascii="Calibri" w:hAnsi="Calibri"/>
                <w:b w:val="0"/>
                <w:i w:val="0"/>
                <w:color w:val="212529"/>
                <w:sz w:val="18"/>
              </w:rPr>
              <w:t>Start with the smallest set of tools that create consistency. Build the operating rhythm before adding complexity.</w:t>
            </w:r>
          </w:p>
        </w:tc>
      </w:tr>
      <w:tr>
        <w:trPr>
          <w:cantSplit/>
        </w:trPr>
        <w:tc>
          <w:tcPr>
            <w:tcW w:type="dxa" w:w="5083"/>
            <w:tcMar>
              <w:top w:w="65" w:type="dxa"/>
              <w:start w:w="70" w:type="dxa"/>
              <w:bottom w:w="65" w:type="dxa"/>
              <w:end w:w="70" w:type="dxa"/>
            </w:tcMar>
            <w:vAlign w:val="top"/>
            <w:shd w:fill="F3F4F6"/>
          </w:tcPr>
          <w:p>
            <w:pPr>
              <w:spacing w:after="0" w:line="240" w:lineRule="auto"/>
            </w:pPr>
            <w:r/>
            <w:r>
              <w:rPr>
                <w:rFonts w:ascii="Calibri" w:hAnsi="Calibri"/>
                <w:b/>
                <w:i w:val="0"/>
                <w:color w:val="1F2937"/>
                <w:sz w:val="18"/>
              </w:rPr>
              <w:t>Skipping role clarity</w:t>
            </w:r>
          </w:p>
        </w:tc>
        <w:tc>
          <w:tcPr>
            <w:tcW w:type="dxa" w:w="5083"/>
            <w:tcMar>
              <w:top w:w="65" w:type="dxa"/>
              <w:start w:w="70" w:type="dxa"/>
              <w:bottom w:w="65" w:type="dxa"/>
              <w:end w:w="70" w:type="dxa"/>
            </w:tcMar>
            <w:vAlign w:val="top"/>
            <w:shd w:fill="F3F4F6"/>
          </w:tcPr>
          <w:p>
            <w:pPr>
              <w:spacing w:after="0" w:line="240" w:lineRule="auto"/>
            </w:pPr>
            <w:r/>
            <w:r>
              <w:rPr>
                <w:rFonts w:ascii="Calibri" w:hAnsi="Calibri"/>
                <w:b w:val="0"/>
                <w:i w:val="0"/>
                <w:color w:val="212529"/>
                <w:sz w:val="18"/>
              </w:rPr>
              <w:t>Accountability fails when ownership is unclear. Define who owns decisions, standards, follow-up, and escalation.</w:t>
            </w:r>
          </w:p>
        </w:tc>
      </w:tr>
      <w:tr>
        <w:trPr>
          <w:cantSplit/>
        </w:trPr>
        <w:tc>
          <w:tcPr>
            <w:tcW w:type="dxa" w:w="5083"/>
            <w:tcMar>
              <w:top w:w="65" w:type="dxa"/>
              <w:start w:w="70" w:type="dxa"/>
              <w:bottom w:w="65" w:type="dxa"/>
              <w:end w:w="70" w:type="dxa"/>
            </w:tcMar>
            <w:vAlign w:val="top"/>
          </w:tcPr>
          <w:p>
            <w:pPr>
              <w:spacing w:after="0" w:line="240" w:lineRule="auto"/>
            </w:pPr>
            <w:r/>
            <w:r>
              <w:rPr>
                <w:rFonts w:ascii="Calibri" w:hAnsi="Calibri"/>
                <w:b/>
                <w:i w:val="0"/>
                <w:color w:val="1F2937"/>
                <w:sz w:val="18"/>
              </w:rPr>
              <w:t>Measuring activity instead of outcomes</w:t>
            </w:r>
          </w:p>
        </w:tc>
        <w:tc>
          <w:tcPr>
            <w:tcW w:type="dxa" w:w="5083"/>
            <w:tcMar>
              <w:top w:w="65" w:type="dxa"/>
              <w:start w:w="70" w:type="dxa"/>
              <w:bottom w:w="65" w:type="dxa"/>
              <w:end w:w="70" w:type="dxa"/>
            </w:tcMar>
            <w:vAlign w:val="top"/>
          </w:tcPr>
          <w:p>
            <w:pPr>
              <w:spacing w:after="0" w:line="240" w:lineRule="auto"/>
            </w:pPr>
            <w:r/>
            <w:r>
              <w:rPr>
                <w:rFonts w:ascii="Calibri" w:hAnsi="Calibri"/>
                <w:b w:val="0"/>
                <w:i w:val="0"/>
                <w:color w:val="212529"/>
                <w:sz w:val="18"/>
              </w:rPr>
              <w:t>Track whether communication improves, issues are resolved faster, turnover changes, and decisions move closer to the work.</w:t>
            </w:r>
          </w:p>
        </w:tc>
      </w:tr>
      <w:tr>
        <w:trPr>
          <w:cantSplit/>
        </w:trPr>
        <w:tc>
          <w:tcPr>
            <w:tcW w:type="dxa" w:w="5083"/>
            <w:tcMar>
              <w:top w:w="65" w:type="dxa"/>
              <w:start w:w="70" w:type="dxa"/>
              <w:bottom w:w="65" w:type="dxa"/>
              <w:end w:w="70" w:type="dxa"/>
            </w:tcMar>
            <w:vAlign w:val="top"/>
            <w:shd w:fill="F3F4F6"/>
          </w:tcPr>
          <w:p>
            <w:pPr>
              <w:spacing w:after="0" w:line="240" w:lineRule="auto"/>
            </w:pPr>
            <w:r/>
            <w:r>
              <w:rPr>
                <w:rFonts w:ascii="Calibri" w:hAnsi="Calibri"/>
                <w:b/>
                <w:i w:val="0"/>
                <w:color w:val="1F2937"/>
                <w:sz w:val="18"/>
              </w:rPr>
              <w:t>Not reinforcing standards</w:t>
            </w:r>
          </w:p>
        </w:tc>
        <w:tc>
          <w:tcPr>
            <w:tcW w:type="dxa" w:w="5083"/>
            <w:tcMar>
              <w:top w:w="65" w:type="dxa"/>
              <w:start w:w="70" w:type="dxa"/>
              <w:bottom w:w="65" w:type="dxa"/>
              <w:end w:w="70" w:type="dxa"/>
            </w:tcMar>
            <w:vAlign w:val="top"/>
            <w:shd w:fill="F3F4F6"/>
          </w:tcPr>
          <w:p>
            <w:pPr>
              <w:spacing w:after="0" w:line="240" w:lineRule="auto"/>
            </w:pPr>
            <w:r/>
            <w:r>
              <w:rPr>
                <w:rFonts w:ascii="Calibri" w:hAnsi="Calibri"/>
                <w:b w:val="0"/>
                <w:i w:val="0"/>
                <w:color w:val="212529"/>
                <w:sz w:val="18"/>
              </w:rPr>
              <w:t>Employees watch what leaders tolerate. Standards only matter when leaders consistently reinforce them.</w:t>
            </w:r>
          </w:p>
        </w:tc>
      </w:tr>
    </w:tbl>
    <w:p>
      <w:pPr>
        <w:pStyle w:val="Heading1"/>
        <w:spacing w:before="160" w:after="80"/>
      </w:pPr>
      <w:r>
        <w:rPr>
          <w:rFonts w:ascii="Calibri" w:hAnsi="Calibri"/>
          <w:color w:val="1F2937"/>
          <w:sz w:val="36"/>
        </w:rPr>
        <w:t>Expected Business Outcomes</w:t>
      </w:r>
    </w:p>
    <w:p>
      <w:pPr>
        <w:spacing w:before="0" w:after="100" w:line="252" w:lineRule="auto"/>
      </w:pPr>
      <w:r>
        <w:rPr>
          <w:rFonts w:ascii="Calibri" w:hAnsi="Calibri"/>
          <w:color w:val="212529"/>
          <w:sz w:val="21"/>
        </w:rPr>
        <w:t>If executed consistently, the organization should expect improvement across four business domains.</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F2937"/>
            <w:tcMar>
              <w:top w:w="55" w:type="dxa"/>
              <w:start w:w="70" w:type="dxa"/>
              <w:bottom w:w="55" w:type="dxa"/>
              <w:end w:w="70" w:type="dxa"/>
            </w:tcMar>
          </w:tcPr>
          <w:p>
            <w:pPr>
              <w:spacing w:after="0" w:line="240" w:lineRule="auto"/>
            </w:pPr>
            <w:r/>
            <w:r>
              <w:rPr>
                <w:rFonts w:ascii="Calibri" w:hAnsi="Calibri"/>
                <w:b/>
                <w:i w:val="0"/>
                <w:color w:val="FFFFFF"/>
                <w:sz w:val="18"/>
              </w:rPr>
              <w:t>Domain</w:t>
            </w:r>
          </w:p>
        </w:tc>
        <w:tc>
          <w:tcPr>
            <w:tcW w:type="dxa" w:w="5083"/>
            <w:shd w:fill="1F2937"/>
            <w:tcMar>
              <w:top w:w="55" w:type="dxa"/>
              <w:start w:w="70" w:type="dxa"/>
              <w:bottom w:w="55" w:type="dxa"/>
              <w:end w:w="70" w:type="dxa"/>
            </w:tcMar>
          </w:tcPr>
          <w:p>
            <w:pPr>
              <w:spacing w:after="0" w:line="240" w:lineRule="auto"/>
            </w:pPr>
            <w:r/>
            <w:r>
              <w:rPr>
                <w:rFonts w:ascii="Calibri" w:hAnsi="Calibri"/>
                <w:b/>
                <w:i w:val="0"/>
                <w:color w:val="FFFFFF"/>
                <w:sz w:val="18"/>
              </w:rPr>
              <w:t>Expected Improvement</w:t>
            </w:r>
          </w:p>
        </w:tc>
      </w:tr>
      <w:tr>
        <w:trPr>
          <w:cantSplit/>
        </w:trPr>
        <w:tc>
          <w:tcPr>
            <w:tcW w:type="dxa" w:w="5083"/>
            <w:tcMar>
              <w:top w:w="65" w:type="dxa"/>
              <w:start w:w="70" w:type="dxa"/>
              <w:bottom w:w="65" w:type="dxa"/>
              <w:end w:w="70" w:type="dxa"/>
            </w:tcMar>
            <w:vAlign w:val="top"/>
          </w:tcPr>
          <w:p>
            <w:pPr>
              <w:spacing w:after="0" w:line="240" w:lineRule="auto"/>
            </w:pPr>
            <w:r/>
            <w:r>
              <w:rPr>
                <w:rFonts w:ascii="Calibri" w:hAnsi="Calibri"/>
                <w:b/>
                <w:i w:val="0"/>
                <w:color w:val="1F2937"/>
                <w:sz w:val="18"/>
              </w:rPr>
              <w:t>People</w:t>
            </w:r>
          </w:p>
        </w:tc>
        <w:tc>
          <w:tcPr>
            <w:tcW w:type="dxa" w:w="5083"/>
            <w:tcMar>
              <w:top w:w="65" w:type="dxa"/>
              <w:start w:w="70" w:type="dxa"/>
              <w:bottom w:w="65" w:type="dxa"/>
              <w:end w:w="70" w:type="dxa"/>
            </w:tcMar>
            <w:vAlign w:val="top"/>
          </w:tcPr>
          <w:p>
            <w:pPr>
              <w:spacing w:after="0" w:line="240" w:lineRule="auto"/>
            </w:pPr>
            <w:r/>
            <w:r>
              <w:rPr>
                <w:rFonts w:ascii="Calibri" w:hAnsi="Calibri"/>
                <w:b w:val="0"/>
                <w:i w:val="0"/>
                <w:color w:val="212529"/>
                <w:sz w:val="18"/>
              </w:rPr>
              <w:t>- Lower turnover</w:t>
            </w:r>
          </w:p>
          <w:p>
            <w:pPr>
              <w:spacing w:after="0" w:line="240" w:lineRule="auto"/>
            </w:pPr>
            <w:r>
              <w:rPr>
                <w:rFonts w:ascii="Calibri" w:hAnsi="Calibri"/>
                <w:b w:val="0"/>
                <w:i w:val="0"/>
                <w:color w:val="212529"/>
                <w:sz w:val="18"/>
              </w:rPr>
              <w:t>- Higher engagement</w:t>
            </w:r>
          </w:p>
          <w:p>
            <w:pPr>
              <w:spacing w:after="0" w:line="240" w:lineRule="auto"/>
            </w:pPr>
            <w:r>
              <w:rPr>
                <w:rFonts w:ascii="Calibri" w:hAnsi="Calibri"/>
                <w:b w:val="0"/>
                <w:i w:val="0"/>
                <w:color w:val="212529"/>
                <w:sz w:val="18"/>
              </w:rPr>
              <w:t>- Better retention</w:t>
            </w:r>
          </w:p>
          <w:p>
            <w:pPr>
              <w:spacing w:after="0" w:line="240" w:lineRule="auto"/>
            </w:pPr>
            <w:r>
              <w:rPr>
                <w:rFonts w:ascii="Calibri" w:hAnsi="Calibri"/>
                <w:b w:val="0"/>
                <w:i w:val="0"/>
                <w:color w:val="212529"/>
                <w:sz w:val="18"/>
              </w:rPr>
              <w:t>- Clearer expectations for leaders and employees</w:t>
            </w:r>
          </w:p>
        </w:tc>
      </w:tr>
      <w:tr>
        <w:trPr>
          <w:cantSplit/>
        </w:trPr>
        <w:tc>
          <w:tcPr>
            <w:tcW w:type="dxa" w:w="5083"/>
            <w:tcMar>
              <w:top w:w="65" w:type="dxa"/>
              <w:start w:w="70" w:type="dxa"/>
              <w:bottom w:w="65" w:type="dxa"/>
              <w:end w:w="70" w:type="dxa"/>
            </w:tcMar>
            <w:vAlign w:val="top"/>
            <w:shd w:fill="F3F4F6"/>
          </w:tcPr>
          <w:p>
            <w:pPr>
              <w:spacing w:after="0" w:line="240" w:lineRule="auto"/>
            </w:pPr>
            <w:r/>
            <w:r>
              <w:rPr>
                <w:rFonts w:ascii="Calibri" w:hAnsi="Calibri"/>
                <w:b/>
                <w:i w:val="0"/>
                <w:color w:val="1F2937"/>
                <w:sz w:val="18"/>
              </w:rPr>
              <w:t>Operations</w:t>
            </w:r>
          </w:p>
        </w:tc>
        <w:tc>
          <w:tcPr>
            <w:tcW w:type="dxa" w:w="5083"/>
            <w:tcMar>
              <w:top w:w="65" w:type="dxa"/>
              <w:start w:w="70" w:type="dxa"/>
              <w:bottom w:w="65" w:type="dxa"/>
              <w:end w:w="70" w:type="dxa"/>
            </w:tcMar>
            <w:vAlign w:val="top"/>
            <w:shd w:fill="F3F4F6"/>
          </w:tcPr>
          <w:p>
            <w:pPr>
              <w:spacing w:after="0" w:line="240" w:lineRule="auto"/>
            </w:pPr>
            <w:r/>
            <w:r>
              <w:rPr>
                <w:rFonts w:ascii="Calibri" w:hAnsi="Calibri"/>
                <w:b w:val="0"/>
                <w:i w:val="0"/>
                <w:color w:val="212529"/>
                <w:sz w:val="18"/>
              </w:rPr>
              <w:t>- Improved communication</w:t>
            </w:r>
          </w:p>
          <w:p>
            <w:pPr>
              <w:spacing w:after="0" w:line="240" w:lineRule="auto"/>
            </w:pPr>
            <w:r>
              <w:rPr>
                <w:rFonts w:ascii="Calibri" w:hAnsi="Calibri"/>
                <w:b w:val="0"/>
                <w:i w:val="0"/>
                <w:color w:val="212529"/>
                <w:sz w:val="18"/>
              </w:rPr>
              <w:t>- Faster problem resolution</w:t>
            </w:r>
          </w:p>
          <w:p>
            <w:pPr>
              <w:spacing w:after="0" w:line="240" w:lineRule="auto"/>
            </w:pPr>
            <w:r>
              <w:rPr>
                <w:rFonts w:ascii="Calibri" w:hAnsi="Calibri"/>
                <w:b w:val="0"/>
                <w:i w:val="0"/>
                <w:color w:val="212529"/>
                <w:sz w:val="18"/>
              </w:rPr>
              <w:t>- Better execution</w:t>
            </w:r>
          </w:p>
          <w:p>
            <w:pPr>
              <w:spacing w:after="0" w:line="240" w:lineRule="auto"/>
            </w:pPr>
            <w:r>
              <w:rPr>
                <w:rFonts w:ascii="Calibri" w:hAnsi="Calibri"/>
                <w:b w:val="0"/>
                <w:i w:val="0"/>
                <w:color w:val="212529"/>
                <w:sz w:val="18"/>
              </w:rPr>
              <w:t>- Reduced operational firefighting</w:t>
            </w:r>
          </w:p>
        </w:tc>
      </w:tr>
      <w:tr>
        <w:trPr>
          <w:cantSplit/>
        </w:trPr>
        <w:tc>
          <w:tcPr>
            <w:tcW w:type="dxa" w:w="5083"/>
            <w:tcMar>
              <w:top w:w="65" w:type="dxa"/>
              <w:start w:w="70" w:type="dxa"/>
              <w:bottom w:w="65" w:type="dxa"/>
              <w:end w:w="70" w:type="dxa"/>
            </w:tcMar>
            <w:vAlign w:val="top"/>
          </w:tcPr>
          <w:p>
            <w:pPr>
              <w:spacing w:after="0" w:line="240" w:lineRule="auto"/>
            </w:pPr>
            <w:r/>
            <w:r>
              <w:rPr>
                <w:rFonts w:ascii="Calibri" w:hAnsi="Calibri"/>
                <w:b/>
                <w:i w:val="0"/>
                <w:color w:val="1F2937"/>
                <w:sz w:val="18"/>
              </w:rPr>
              <w:t>Leadership</w:t>
            </w:r>
          </w:p>
        </w:tc>
        <w:tc>
          <w:tcPr>
            <w:tcW w:type="dxa" w:w="5083"/>
            <w:tcMar>
              <w:top w:w="65" w:type="dxa"/>
              <w:start w:w="70" w:type="dxa"/>
              <w:bottom w:w="65" w:type="dxa"/>
              <w:end w:w="70" w:type="dxa"/>
            </w:tcMar>
            <w:vAlign w:val="top"/>
          </w:tcPr>
          <w:p>
            <w:pPr>
              <w:spacing w:after="0" w:line="240" w:lineRule="auto"/>
            </w:pPr>
            <w:r/>
            <w:r>
              <w:rPr>
                <w:rFonts w:ascii="Calibri" w:hAnsi="Calibri"/>
                <w:b w:val="0"/>
                <w:i w:val="0"/>
                <w:color w:val="212529"/>
                <w:sz w:val="18"/>
              </w:rPr>
              <w:t>- Increased accountability</w:t>
            </w:r>
          </w:p>
          <w:p>
            <w:pPr>
              <w:spacing w:after="0" w:line="240" w:lineRule="auto"/>
            </w:pPr>
            <w:r>
              <w:rPr>
                <w:rFonts w:ascii="Calibri" w:hAnsi="Calibri"/>
                <w:b w:val="0"/>
                <w:i w:val="0"/>
                <w:color w:val="212529"/>
                <w:sz w:val="18"/>
              </w:rPr>
              <w:t>- Stronger decision making</w:t>
            </w:r>
          </w:p>
          <w:p>
            <w:pPr>
              <w:spacing w:after="0" w:line="240" w:lineRule="auto"/>
            </w:pPr>
            <w:r>
              <w:rPr>
                <w:rFonts w:ascii="Calibri" w:hAnsi="Calibri"/>
                <w:b w:val="0"/>
                <w:i w:val="0"/>
                <w:color w:val="212529"/>
                <w:sz w:val="18"/>
              </w:rPr>
              <w:t>- More internal leadership candidates</w:t>
            </w:r>
          </w:p>
          <w:p>
            <w:pPr>
              <w:spacing w:after="0" w:line="240" w:lineRule="auto"/>
            </w:pPr>
            <w:r>
              <w:rPr>
                <w:rFonts w:ascii="Calibri" w:hAnsi="Calibri"/>
                <w:b w:val="0"/>
                <w:i w:val="0"/>
                <w:color w:val="212529"/>
                <w:sz w:val="18"/>
              </w:rPr>
              <w:t>- Greater supervisor confidence and consistency</w:t>
            </w:r>
          </w:p>
        </w:tc>
      </w:tr>
      <w:tr>
        <w:trPr>
          <w:cantSplit/>
        </w:trPr>
        <w:tc>
          <w:tcPr>
            <w:tcW w:type="dxa" w:w="5083"/>
            <w:tcMar>
              <w:top w:w="65" w:type="dxa"/>
              <w:start w:w="70" w:type="dxa"/>
              <w:bottom w:w="65" w:type="dxa"/>
              <w:end w:w="70" w:type="dxa"/>
            </w:tcMar>
            <w:vAlign w:val="top"/>
            <w:shd w:fill="F3F4F6"/>
          </w:tcPr>
          <w:p>
            <w:pPr>
              <w:spacing w:after="0" w:line="240" w:lineRule="auto"/>
            </w:pPr>
            <w:r/>
            <w:r>
              <w:rPr>
                <w:rFonts w:ascii="Calibri" w:hAnsi="Calibri"/>
                <w:b/>
                <w:i w:val="0"/>
                <w:color w:val="1F2937"/>
                <w:sz w:val="18"/>
              </w:rPr>
              <w:t>Financial</w:t>
            </w:r>
          </w:p>
        </w:tc>
        <w:tc>
          <w:tcPr>
            <w:tcW w:type="dxa" w:w="5083"/>
            <w:tcMar>
              <w:top w:w="65" w:type="dxa"/>
              <w:start w:w="70" w:type="dxa"/>
              <w:bottom w:w="65" w:type="dxa"/>
              <w:end w:w="70" w:type="dxa"/>
            </w:tcMar>
            <w:vAlign w:val="top"/>
            <w:shd w:fill="F3F4F6"/>
          </w:tcPr>
          <w:p>
            <w:pPr>
              <w:spacing w:after="0" w:line="240" w:lineRule="auto"/>
            </w:pPr>
            <w:r/>
            <w:r>
              <w:rPr>
                <w:rFonts w:ascii="Calibri" w:hAnsi="Calibri"/>
                <w:b w:val="0"/>
                <w:i w:val="0"/>
                <w:color w:val="212529"/>
                <w:sz w:val="18"/>
              </w:rPr>
              <w:t>- Reduced turnover costs</w:t>
            </w:r>
          </w:p>
          <w:p>
            <w:pPr>
              <w:spacing w:after="0" w:line="240" w:lineRule="auto"/>
            </w:pPr>
            <w:r>
              <w:rPr>
                <w:rFonts w:ascii="Calibri" w:hAnsi="Calibri"/>
                <w:b w:val="0"/>
                <w:i w:val="0"/>
                <w:color w:val="212529"/>
                <w:sz w:val="18"/>
              </w:rPr>
              <w:t>- Reduced rework or service failures</w:t>
            </w:r>
          </w:p>
          <w:p>
            <w:pPr>
              <w:spacing w:after="0" w:line="240" w:lineRule="auto"/>
            </w:pPr>
            <w:r>
              <w:rPr>
                <w:rFonts w:ascii="Calibri" w:hAnsi="Calibri"/>
                <w:b w:val="0"/>
                <w:i w:val="0"/>
                <w:color w:val="212529"/>
                <w:sz w:val="18"/>
              </w:rPr>
              <w:t>- Improved productivity</w:t>
            </w:r>
          </w:p>
          <w:p>
            <w:pPr>
              <w:spacing w:after="0" w:line="240" w:lineRule="auto"/>
            </w:pPr>
            <w:r>
              <w:rPr>
                <w:rFonts w:ascii="Calibri" w:hAnsi="Calibri"/>
                <w:b w:val="0"/>
                <w:i w:val="0"/>
                <w:color w:val="212529"/>
                <w:sz w:val="18"/>
              </w:rPr>
              <w:t>- Increased operational capacity</w:t>
            </w:r>
          </w:p>
        </w:tc>
      </w:tr>
    </w:tbl>
    <w:p>
      <w:r>
        <w:br w:type="page"/>
      </w:r>
    </w:p>
    <w:p>
      <w:pPr>
        <w:pStyle w:val="Heading1"/>
        <w:spacing w:before="160" w:after="80"/>
      </w:pPr>
      <w:r>
        <w:rPr>
          <w:rFonts w:ascii="Calibri" w:hAnsi="Calibri"/>
          <w:color w:val="1F2937"/>
          <w:sz w:val="36"/>
        </w:rPr>
        <w:t>Recommended Next Step</w:t>
      </w:r>
    </w:p>
    <w:p>
      <w:pPr>
        <w:spacing w:before="0" w:after="100" w:line="252" w:lineRule="auto"/>
      </w:pPr>
      <w:r>
        <w:rPr>
          <w:rFonts w:ascii="Calibri" w:hAnsi="Calibri"/>
          <w:color w:val="212529"/>
          <w:sz w:val="21"/>
        </w:rPr>
        <w:t>After reviewing this roadmap, the leadership team should complete a basic leadership maturity assessment and select one operating area where leadership expectations, communication, and accountability can be improved within 90 days.</w:t>
      </w:r>
    </w:p>
    <w:p>
      <w:pPr>
        <w:spacing w:before="0" w:after="100" w:line="252" w:lineRule="auto"/>
      </w:pPr>
      <w:r>
        <w:rPr>
          <w:rFonts w:ascii="Calibri" w:hAnsi="Calibri"/>
          <w:color w:val="212529"/>
          <w:sz w:val="21"/>
        </w:rPr>
        <w:t>Do not attempt to fix every leadership problem at once. Choose the area where inconsistency is most visible, the cost of failure is highest, and executive support is strongest.</w:t>
      </w:r>
    </w:p>
    <w:tbl>
      <w:tblPr>
        <w:tblW w:type="auto" w:w="0"/>
        <w:jc w:val="center"/>
        <w:tblLook w:firstColumn="1" w:firstRow="1" w:lastColumn="0" w:lastRow="0" w:noHBand="0" w:noVBand="1" w:val="04A0"/>
      </w:tblPr>
      <w:tblGrid>
        <w:gridCol w:w="10166"/>
      </w:tblGrid>
      <w:tr>
        <w:tc>
          <w:tcPr>
            <w:tcW w:type="dxa" w:w="10166"/>
            <w:shd w:fill="E8F0FE"/>
            <w:tcMar>
              <w:top w:w="110" w:type="dxa"/>
              <w:start w:w="120" w:type="dxa"/>
              <w:bottom w:w="110" w:type="dxa"/>
              <w:end w:w="120" w:type="dxa"/>
            </w:tcMar>
          </w:tcPr>
          <w:p>
            <w:pPr>
              <w:spacing w:after="40"/>
            </w:pPr>
            <w:r>
              <w:rPr>
                <w:rFonts w:ascii="Calibri" w:hAnsi="Calibri"/>
                <w:b/>
                <w:color w:val="1F2937"/>
                <w:sz w:val="21"/>
              </w:rPr>
              <w:t>Use This Rule</w:t>
            </w:r>
          </w:p>
          <w:p>
            <w:pPr>
              <w:spacing w:after="0" w:line="252" w:lineRule="auto"/>
            </w:pPr>
            <w:r>
              <w:rPr>
                <w:rFonts w:ascii="Calibri" w:hAnsi="Calibri"/>
                <w:color w:val="212529"/>
                <w:sz w:val="20"/>
              </w:rPr>
              <w:t>Start where leadership behavior, operational pain, and business impact intersect. That is where the organization is most likely to see early traction.</w:t>
            </w:r>
          </w:p>
        </w:tc>
      </w:tr>
    </w:tbl>
    <w:p>
      <w:pPr>
        <w:spacing w:after="20"/>
      </w:pPr>
    </w:p>
    <w:p>
      <w:pPr>
        <w:spacing w:before="0" w:after="100" w:line="252" w:lineRule="auto"/>
      </w:pPr>
      <w:r>
        <w:rPr>
          <w:rFonts w:ascii="Calibri" w:hAnsi="Calibri"/>
          <w:color w:val="212529"/>
          <w:sz w:val="21"/>
        </w:rPr>
        <w:t>Recommended companion tools:</w:t>
      </w:r>
    </w:p>
    <w:p>
      <w:pPr>
        <w:pStyle w:val="ListBullet"/>
        <w:spacing w:after="30" w:line="240" w:lineRule="auto"/>
      </w:pPr>
      <w:r>
        <w:rPr>
          <w:rFonts w:ascii="Calibri" w:hAnsi="Calibri"/>
          <w:color w:val="212529"/>
          <w:sz w:val="20"/>
        </w:rPr>
        <w:t>Leadership Maturity Self-Assessment</w:t>
      </w:r>
    </w:p>
    <w:p>
      <w:pPr>
        <w:pStyle w:val="ListBullet"/>
        <w:spacing w:after="30" w:line="240" w:lineRule="auto"/>
      </w:pPr>
      <w:r>
        <w:rPr>
          <w:rFonts w:ascii="Calibri" w:hAnsi="Calibri"/>
          <w:color w:val="212529"/>
          <w:sz w:val="20"/>
        </w:rPr>
        <w:t>Daily Leadership Huddle Guide</w:t>
      </w:r>
    </w:p>
    <w:p>
      <w:pPr>
        <w:pStyle w:val="ListBullet"/>
        <w:spacing w:after="30" w:line="240" w:lineRule="auto"/>
      </w:pPr>
      <w:r>
        <w:rPr>
          <w:rFonts w:ascii="Calibri" w:hAnsi="Calibri"/>
          <w:color w:val="212529"/>
          <w:sz w:val="20"/>
        </w:rPr>
        <w:t>Role Clarity and Decision Rights Worksheet</w:t>
      </w:r>
    </w:p>
    <w:p>
      <w:pPr>
        <w:pStyle w:val="ListBullet"/>
        <w:spacing w:after="30" w:line="240" w:lineRule="auto"/>
      </w:pPr>
      <w:r>
        <w:rPr>
          <w:rFonts w:ascii="Calibri" w:hAnsi="Calibri"/>
          <w:color w:val="212529"/>
          <w:sz w:val="20"/>
        </w:rPr>
        <w:t>Leadership Accountability Scorecard</w:t>
      </w:r>
    </w:p>
    <w:p>
      <w:pPr>
        <w:pStyle w:val="ListBullet"/>
        <w:spacing w:after="30" w:line="240" w:lineRule="auto"/>
      </w:pPr>
      <w:r>
        <w:rPr>
          <w:rFonts w:ascii="Calibri" w:hAnsi="Calibri"/>
          <w:color w:val="212529"/>
          <w:sz w:val="20"/>
        </w:rPr>
        <w:t>90-Day Leadership Stabilization Plan</w:t>
      </w:r>
    </w:p>
    <w:p>
      <w:pPr>
        <w:pStyle w:val="Heading1"/>
        <w:spacing w:before="160" w:after="80"/>
      </w:pPr>
      <w:r>
        <w:rPr>
          <w:rFonts w:ascii="Calibri" w:hAnsi="Calibri"/>
          <w:color w:val="1F2937"/>
          <w:sz w:val="36"/>
        </w:rPr>
        <w:t>About Mountain West Leadership Group</w:t>
      </w:r>
    </w:p>
    <w:p>
      <w:pPr>
        <w:spacing w:before="0" w:after="100" w:line="252" w:lineRule="auto"/>
      </w:pPr>
      <w:r>
        <w:rPr>
          <w:rFonts w:ascii="Calibri" w:hAnsi="Calibri"/>
          <w:color w:val="212529"/>
          <w:sz w:val="21"/>
        </w:rPr>
        <w:t>Mountain West Leadership Group helps organizations strengthen leadership systems, accountability, communication, and operational execution. The focus is practical: build leaders, clarify ownership, improve the operating rhythm, and create systems that continue working after the consultant leaves.</w:t>
      </w:r>
    </w:p>
    <w:p>
      <w:pPr>
        <w:spacing w:before="0" w:after="100" w:line="252" w:lineRule="auto"/>
      </w:pPr>
      <w:r>
        <w:rPr>
          <w:rFonts w:ascii="Calibri" w:hAnsi="Calibri"/>
          <w:color w:val="212529"/>
          <w:sz w:val="21"/>
        </w:rPr>
        <w:t>This resource may be used internally by organizations for leadership planning and improvement. It may not be resold, repackaged, or represented as another organization's original work without written permission.</w:t>
      </w:r>
    </w:p>
    <w:sectPr w:rsidR="00FC693F" w:rsidRPr="0006063C" w:rsidSect="00034616">
      <w:headerReference w:type="default" r:id="rId9"/>
      <w:footerReference w:type="default" r:id="rId10"/>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4B5563"/>
        <w:sz w:val="16"/>
      </w:rPr>
      <w:t>Mountain West Leadership Group | Leadership Transformation Roadmap | mountainwestleadershipgroup.com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b/>
        <w:color w:val="4B5563"/>
        <w:sz w:val="17"/>
      </w:rPr>
      <w:t>MOUNTAIN WEST LEADERSHIP GROUP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eastAsia="Calibri"/>
      <w:b/>
      <w:bCs/>
      <w:color w:val="1F293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eastAsia="Calibri"/>
      <w:b/>
      <w:bCs/>
      <w:color w:val="1F293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eastAsia="Calibri"/>
      <w:b/>
      <w:bCs/>
      <w:color w:val="1F293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Leadership Transformation Roadmap: Executive Overview &amp; Implementation Strategy</dc:title>
  <dc:subject>Leadership operating system, accountability, organizational maturity, and implementation roadmap</dc:subject>
  <dc:creator>Mountain West Leadership Group</dc:creator>
  <cp:keywords>leadership, accountability, operational excellence, leadership development, organizational maturity, Mountain West Leadership Group</cp:keywords>
  <dc:description>Sanitized and generalized public resource derived from user-provided draft.</dc:description>
  <cp:lastModifiedBy/>
  <cp:revision>1</cp:revision>
  <dcterms:created xsi:type="dcterms:W3CDTF">2013-12-23T23:15:00Z</dcterms:created>
  <dcterms:modified xsi:type="dcterms:W3CDTF">2013-12-23T23:15:00Z</dcterms:modified>
  <cp:category/>
</cp:coreProperties>
</file>