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DF" w:rsidRDefault="00DC704C">
      <w:pPr>
        <w:pStyle w:val="BodyText"/>
        <w:spacing w:before="63" w:line="237" w:lineRule="auto"/>
        <w:ind w:right="5282"/>
      </w:pPr>
      <w:bookmarkStart w:id="0" w:name="ferc_incentives_letter"/>
      <w:bookmarkEnd w:id="0"/>
      <w:r>
        <w:t>Federal</w:t>
      </w:r>
      <w:r>
        <w:rPr>
          <w:spacing w:val="-13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Regulatory</w:t>
      </w:r>
      <w:r>
        <w:rPr>
          <w:spacing w:val="-13"/>
        </w:rPr>
        <w:t xml:space="preserve"> </w:t>
      </w:r>
      <w:r>
        <w:t>Commission 888 First Street, N.E.</w:t>
      </w:r>
    </w:p>
    <w:p w:rsidR="00C31CDF" w:rsidRDefault="00DC704C">
      <w:pPr>
        <w:pStyle w:val="BodyText"/>
        <w:spacing w:before="4"/>
      </w:pPr>
      <w:r>
        <w:t>Washington,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rPr>
          <w:spacing w:val="-2"/>
        </w:rPr>
        <w:t>20426</w:t>
      </w:r>
    </w:p>
    <w:p w:rsidR="00C31CDF" w:rsidRDefault="00DC704C">
      <w:pPr>
        <w:pStyle w:val="Heading1"/>
        <w:tabs>
          <w:tab w:val="left" w:pos="824"/>
        </w:tabs>
        <w:spacing w:before="276" w:line="275" w:lineRule="exact"/>
        <w:ind w:left="104"/>
        <w:rPr>
          <w:u w:val="none"/>
        </w:rPr>
      </w:pPr>
      <w:r>
        <w:rPr>
          <w:b w:val="0"/>
          <w:spacing w:val="-5"/>
          <w:u w:val="none"/>
        </w:rPr>
        <w:t>RE:</w:t>
      </w:r>
      <w:r>
        <w:rPr>
          <w:b w:val="0"/>
          <w:u w:val="none"/>
        </w:rPr>
        <w:tab/>
      </w:r>
      <w:r>
        <w:rPr>
          <w:u w:val="none"/>
        </w:rPr>
        <w:t>Docket</w:t>
      </w:r>
      <w:r>
        <w:rPr>
          <w:spacing w:val="-2"/>
          <w:u w:val="none"/>
        </w:rPr>
        <w:t xml:space="preserve"> </w:t>
      </w:r>
      <w:r>
        <w:rPr>
          <w:u w:val="none"/>
        </w:rPr>
        <w:t>No.</w:t>
      </w:r>
      <w:r>
        <w:rPr>
          <w:spacing w:val="-1"/>
          <w:u w:val="none"/>
        </w:rPr>
        <w:t xml:space="preserve"> </w:t>
      </w:r>
      <w:r>
        <w:rPr>
          <w:u w:val="none"/>
        </w:rPr>
        <w:t>ER25-</w:t>
      </w:r>
      <w:r>
        <w:rPr>
          <w:spacing w:val="-4"/>
          <w:u w:val="none"/>
        </w:rPr>
        <w:t>1633</w:t>
      </w:r>
    </w:p>
    <w:p w:rsidR="00C31CDF" w:rsidRDefault="00DC704C">
      <w:pPr>
        <w:pStyle w:val="BodyText"/>
        <w:spacing w:line="275" w:lineRule="exact"/>
        <w:ind w:left="824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Incentives</w:t>
      </w:r>
      <w:r>
        <w:rPr>
          <w:spacing w:val="-1"/>
        </w:rPr>
        <w:t xml:space="preserve"> </w:t>
      </w:r>
      <w:r>
        <w:t>Valley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rPr>
          <w:spacing w:val="-5"/>
        </w:rPr>
        <w:t>LLC</w:t>
      </w:r>
    </w:p>
    <w:p w:rsidR="00C31CDF" w:rsidRDefault="00DC704C">
      <w:pPr>
        <w:pStyle w:val="BodyText"/>
        <w:spacing w:before="276"/>
        <w:ind w:right="78"/>
      </w:pPr>
      <w:r>
        <w:t>As a consumer who pays an electric bill, I urge you to reject Valley Link’s request for financial incentives for its proposed transmission lines.</w:t>
      </w:r>
      <w:r>
        <w:rPr>
          <w:spacing w:val="40"/>
        </w:rPr>
        <w:t xml:space="preserve"> </w:t>
      </w:r>
      <w:r>
        <w:t>The incentives will raise my electric bill without providing any additional benefit.</w:t>
      </w:r>
      <w:r>
        <w:rPr>
          <w:spacing w:val="40"/>
        </w:rPr>
        <w:t xml:space="preserve"> </w:t>
      </w:r>
      <w:r>
        <w:t xml:space="preserve">For instance, the CWIP in </w:t>
      </w:r>
      <w:proofErr w:type="spellStart"/>
      <w:r>
        <w:t>Ratebase</w:t>
      </w:r>
      <w:proofErr w:type="spellEnd"/>
      <w:r>
        <w:t xml:space="preserve"> incentive combined with the Hypothetical Capital Structure incentive will allow Valley Link to earn extra cash for its project before it is even constructed, all at consumer expense!</w:t>
      </w:r>
      <w:r>
        <w:rPr>
          <w:spacing w:val="40"/>
        </w:rPr>
        <w:t xml:space="preserve"> </w:t>
      </w:r>
      <w:r>
        <w:t>Adding insult to injury, Valley Link is asking the Commission to make consumers “the bank” by loaning Valley Link money during the construction period.</w:t>
      </w:r>
      <w:r>
        <w:rPr>
          <w:spacing w:val="40"/>
        </w:rPr>
        <w:t xml:space="preserve"> </w:t>
      </w:r>
      <w:r>
        <w:t>Valley Link also requests that the Commission make consumers “the</w:t>
      </w:r>
      <w:r>
        <w:rPr>
          <w:spacing w:val="-4"/>
        </w:rPr>
        <w:t xml:space="preserve"> </w:t>
      </w:r>
      <w:r>
        <w:t>insurer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resort”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Abandoned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incentive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 xml:space="preserve">consumers for Valley Link’s investment in the project </w:t>
      </w:r>
      <w:r>
        <w:rPr>
          <w:i/>
        </w:rPr>
        <w:t>even if it is never built</w:t>
      </w:r>
      <w:r>
        <w:t>!</w:t>
      </w:r>
      <w:r>
        <w:rPr>
          <w:spacing w:val="40"/>
        </w:rPr>
        <w:t xml:space="preserve"> </w:t>
      </w:r>
      <w:r>
        <w:t>Adding to its jackpot of consumer money from high electric bills, Valley Link requests a 10.9% return on equity plus an additional</w:t>
      </w:r>
      <w:r>
        <w:rPr>
          <w:spacing w:val="-1"/>
        </w:rPr>
        <w:t xml:space="preserve"> </w:t>
      </w:r>
      <w:r>
        <w:t>.5%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PJM</w:t>
      </w:r>
      <w:r>
        <w:rPr>
          <w:spacing w:val="-1"/>
        </w:rPr>
        <w:t xml:space="preserve"> </w:t>
      </w:r>
      <w:r>
        <w:t>Interconnection,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11.4%. The project’s $3B cost is slowly depreciated over perhaps four decades and during that time consumers will pay 11.4% on the remaining balance every year, making the final cost to ratepayers double or triple Valley Link’s actual cost to build.</w:t>
      </w:r>
      <w:r>
        <w:rPr>
          <w:spacing w:val="40"/>
        </w:rPr>
        <w:t xml:space="preserve"> </w:t>
      </w:r>
      <w:r>
        <w:t>We simply can’t afford it!</w:t>
      </w:r>
    </w:p>
    <w:p w:rsidR="00C31CDF" w:rsidRDefault="00DC704C">
      <w:pPr>
        <w:pStyle w:val="BodyText"/>
      </w:pPr>
      <w:r>
        <w:t>Electricity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necessity,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luxury available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wealthy.</w:t>
      </w:r>
    </w:p>
    <w:p w:rsidR="00C31CDF" w:rsidRDefault="00C31CDF">
      <w:pPr>
        <w:pStyle w:val="BodyText"/>
        <w:ind w:left="0"/>
      </w:pPr>
    </w:p>
    <w:p w:rsidR="00C31CDF" w:rsidRDefault="00DC704C">
      <w:pPr>
        <w:pStyle w:val="BodyText"/>
      </w:pPr>
      <w:r>
        <w:t>Valley</w:t>
      </w:r>
      <w:r>
        <w:rPr>
          <w:spacing w:val="-3"/>
        </w:rPr>
        <w:t xml:space="preserve"> </w:t>
      </w:r>
      <w:r>
        <w:t>Link’s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 consumers in the annual reviews and must provide transparency on the advertising costs Valley Link is permitted to collect from consumers.</w:t>
      </w:r>
    </w:p>
    <w:p w:rsidR="00C31CDF" w:rsidRDefault="00C31CDF">
      <w:pPr>
        <w:pStyle w:val="BodyText"/>
        <w:ind w:left="0"/>
      </w:pPr>
    </w:p>
    <w:p w:rsidR="00C31CDF" w:rsidRDefault="00DC704C">
      <w:pPr>
        <w:pStyle w:val="BodyText"/>
      </w:pPr>
      <w:r>
        <w:t>Valley Link is a shell company created to thwart competition in PJM Interconnection’s planning 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incentives.</w:t>
      </w:r>
      <w:r>
        <w:rPr>
          <w:spacing w:val="40"/>
        </w:rPr>
        <w:t xml:space="preserve"> </w:t>
      </w:r>
      <w:r>
        <w:t>The Valley Link projects are</w:t>
      </w:r>
      <w:r>
        <w:rPr>
          <w:spacing w:val="-1"/>
        </w:rPr>
        <w:t xml:space="preserve"> </w:t>
      </w:r>
      <w:r>
        <w:t>individual projects joined</w:t>
      </w:r>
      <w:r>
        <w:rPr>
          <w:spacing w:val="-1"/>
        </w:rPr>
        <w:t xml:space="preserve"> </w:t>
      </w:r>
      <w:r>
        <w:t>together to fix prices and restrict competition. PJM’s planning process is not transparent, open and collaborative.</w:t>
      </w:r>
      <w:r>
        <w:rPr>
          <w:spacing w:val="40"/>
        </w:rPr>
        <w:t xml:space="preserve"> </w:t>
      </w:r>
      <w:r>
        <w:t>Consumers attending PJM’s planning meetings have been marginalized, insulted, and ignored.</w:t>
      </w:r>
    </w:p>
    <w:p w:rsidR="00C31CDF" w:rsidRDefault="00C31CDF">
      <w:pPr>
        <w:pStyle w:val="BodyText"/>
        <w:ind w:left="0"/>
      </w:pPr>
    </w:p>
    <w:p w:rsidR="00C31CDF" w:rsidRDefault="00DC704C">
      <w:pPr>
        <w:pStyle w:val="BodyText"/>
        <w:ind w:right="78"/>
      </w:pPr>
      <w:r>
        <w:t>Valley Link’s northern 260-mile, 765kV transmission line crossing West Virginia on a new 200 foot wide right-of-way is exactly the same as the cancelled Potomac-Appalachian Transmission Highline</w:t>
      </w:r>
      <w:r>
        <w:rPr>
          <w:spacing w:val="-3"/>
        </w:rPr>
        <w:t xml:space="preserve"> </w:t>
      </w:r>
      <w:r>
        <w:t>(PATH)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suffer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fate.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urge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 it doesn’t cost us another quarter of a billion dollars before being cancelled by rejecting Valley Link’s request for incentives and requiring its Formula Rate to be just and reasonable.</w:t>
      </w:r>
    </w:p>
    <w:p w:rsidR="00EC26C3" w:rsidRDefault="00EC26C3">
      <w:pPr>
        <w:pStyle w:val="BodyText"/>
        <w:ind w:right="78"/>
      </w:pPr>
    </w:p>
    <w:p w:rsidR="00EC26C3" w:rsidRDefault="00EC26C3">
      <w:pPr>
        <w:pStyle w:val="BodyText"/>
        <w:ind w:right="78"/>
      </w:pPr>
      <w:r>
        <w:t xml:space="preserve">Respectfully Submitted   &lt;Date&gt; ,  </w:t>
      </w:r>
    </w:p>
    <w:p w:rsidR="00EC26C3" w:rsidRDefault="00EC26C3">
      <w:pPr>
        <w:pStyle w:val="BodyText"/>
        <w:ind w:right="78"/>
      </w:pPr>
    </w:p>
    <w:p w:rsidR="00EC26C3" w:rsidRDefault="00EC26C3">
      <w:pPr>
        <w:pStyle w:val="BodyText"/>
        <w:ind w:right="78"/>
      </w:pPr>
      <w:r>
        <w:t>&lt;Name &gt;</w:t>
      </w:r>
    </w:p>
    <w:p w:rsidR="00EC26C3" w:rsidRDefault="00EC26C3">
      <w:pPr>
        <w:pStyle w:val="BodyText"/>
        <w:ind w:right="78"/>
      </w:pPr>
      <w:r>
        <w:t>&lt;Address&gt;</w:t>
      </w:r>
    </w:p>
    <w:p w:rsidR="00EC26C3" w:rsidRDefault="00EC26C3">
      <w:pPr>
        <w:pStyle w:val="BodyText"/>
        <w:ind w:right="78"/>
      </w:pPr>
      <w:r>
        <w:t>&lt;Phone Number&gt;</w:t>
      </w:r>
    </w:p>
    <w:p w:rsidR="00EC26C3" w:rsidRDefault="00EC26C3">
      <w:pPr>
        <w:pStyle w:val="BodyText"/>
        <w:ind w:right="78"/>
      </w:pPr>
      <w:r>
        <w:t>&lt;Email&gt;</w:t>
      </w:r>
    </w:p>
    <w:sectPr w:rsidR="00EC26C3" w:rsidSect="00C31CDF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1CDF"/>
    <w:rsid w:val="001C2A3C"/>
    <w:rsid w:val="00260F5C"/>
    <w:rsid w:val="00C31CDF"/>
    <w:rsid w:val="00DC704C"/>
    <w:rsid w:val="00EC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C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31CDF"/>
    <w:pPr>
      <w:ind w:left="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1CDF"/>
    <w:pPr>
      <w:ind w:left="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31CDF"/>
  </w:style>
  <w:style w:type="paragraph" w:customStyle="1" w:styleId="TableParagraph">
    <w:name w:val="Table Paragraph"/>
    <w:basedOn w:val="Normal"/>
    <w:uiPriority w:val="1"/>
    <w:qFormat/>
    <w:rsid w:val="00C31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dcterms:created xsi:type="dcterms:W3CDTF">2025-03-30T10:41:00Z</dcterms:created>
  <dcterms:modified xsi:type="dcterms:W3CDTF">2025-03-30T12:04:00Z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Mac OS X 10.11.6 Quartz PDFContext</vt:lpwstr>
  </property>
</Properties>
</file>