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D7" w:rsidRDefault="006D54D7">
      <w:pPr>
        <w:spacing w:after="160" w:line="259" w:lineRule="auto"/>
        <w:rPr>
          <w:sz w:val="22"/>
          <w:szCs w:val="22"/>
        </w:rPr>
      </w:pPr>
      <w:bookmarkStart w:id="0" w:name="_GoBack"/>
      <w:bookmarkEnd w:id="0"/>
    </w:p>
    <w:p w:rsidR="006D54D7" w:rsidRDefault="00D21D3F">
      <w:pPr>
        <w:spacing w:after="160" w:line="259" w:lineRule="auto"/>
        <w:rPr>
          <w:sz w:val="22"/>
          <w:szCs w:val="22"/>
        </w:rPr>
      </w:pPr>
      <w:r>
        <w:rPr>
          <w:rFonts w:ascii="Calibri" w:eastAsia="Calibri" w:hAnsi="Calibri" w:cs="Calibri"/>
          <w:b/>
          <w:bCs/>
          <w:sz w:val="22"/>
          <w:szCs w:val="22"/>
        </w:rPr>
        <w:t>Advancing Women in Nashville (AWIN)</w:t>
      </w:r>
    </w:p>
    <w:p w:rsidR="006D54D7" w:rsidRDefault="00D21D3F">
      <w:pPr>
        <w:spacing w:after="160" w:line="259" w:lineRule="auto"/>
        <w:rPr>
          <w:sz w:val="22"/>
          <w:szCs w:val="22"/>
        </w:rPr>
      </w:pPr>
      <w:r>
        <w:rPr>
          <w:rFonts w:ascii="Calibri" w:eastAsia="Calibri" w:hAnsi="Calibri" w:cs="Calibri"/>
          <w:b/>
          <w:bCs/>
          <w:sz w:val="22"/>
          <w:szCs w:val="22"/>
        </w:rPr>
        <w:t>2020 Member Benchmark Assessment Key Findings</w:t>
      </w:r>
    </w:p>
    <w:p w:rsidR="006D54D7" w:rsidRDefault="00D21D3F">
      <w:pPr>
        <w:spacing w:after="160" w:line="259" w:lineRule="auto"/>
        <w:rPr>
          <w:sz w:val="22"/>
          <w:szCs w:val="22"/>
        </w:rPr>
      </w:pPr>
      <w:r>
        <w:rPr>
          <w:rFonts w:ascii="Calibri" w:eastAsia="Calibri" w:hAnsi="Calibri" w:cs="Calibri"/>
          <w:sz w:val="22"/>
          <w:szCs w:val="22"/>
        </w:rPr>
        <w:t xml:space="preserve">AWIN carried out the organization’s first member benchmark study in 2020, assessing a variety of critical focus areas that impact women in the workplace: Representation, </w:t>
      </w:r>
      <w:r>
        <w:rPr>
          <w:rFonts w:ascii="Calibri" w:eastAsia="Calibri" w:hAnsi="Calibri" w:cs="Calibri"/>
          <w:sz w:val="22"/>
          <w:szCs w:val="22"/>
        </w:rPr>
        <w:t>Paid Time Off, Benefits &amp; Compensation, Advancement, Recruiting, and Accountability. Below are the high-level findings from this study.</w:t>
      </w:r>
    </w:p>
    <w:p w:rsidR="006D54D7" w:rsidRDefault="00D21D3F">
      <w:pPr>
        <w:spacing w:after="160" w:line="259" w:lineRule="auto"/>
        <w:rPr>
          <w:sz w:val="22"/>
          <w:szCs w:val="22"/>
        </w:rPr>
      </w:pPr>
      <w:r>
        <w:rPr>
          <w:rFonts w:ascii="Calibri" w:eastAsia="Calibri" w:hAnsi="Calibri" w:cs="Calibri"/>
          <w:b/>
          <w:bCs/>
          <w:sz w:val="22"/>
          <w:szCs w:val="22"/>
        </w:rPr>
        <w:t>Overall:</w:t>
      </w:r>
    </w:p>
    <w:p w:rsidR="006D54D7" w:rsidRDefault="00D21D3F">
      <w:pPr>
        <w:numPr>
          <w:ilvl w:val="0"/>
          <w:numId w:val="1"/>
        </w:numPr>
        <w:pBdr>
          <w:left w:val="none" w:sz="0" w:space="7" w:color="auto"/>
        </w:pBdr>
        <w:spacing w:line="259" w:lineRule="auto"/>
        <w:ind w:hanging="430"/>
        <w:rPr>
          <w:sz w:val="22"/>
          <w:szCs w:val="22"/>
        </w:rPr>
      </w:pPr>
      <w:r>
        <w:rPr>
          <w:rFonts w:ascii="Calibri" w:eastAsia="Calibri" w:hAnsi="Calibri" w:cs="Calibri"/>
          <w:sz w:val="22"/>
          <w:szCs w:val="22"/>
        </w:rPr>
        <w:t>Of 24 member companies, 13 submitted an assessment. Eight of these were considered “complete” - meaning informa</w:t>
      </w:r>
      <w:r>
        <w:rPr>
          <w:rFonts w:ascii="Calibri" w:eastAsia="Calibri" w:hAnsi="Calibri" w:cs="Calibri"/>
          <w:sz w:val="22"/>
          <w:szCs w:val="22"/>
        </w:rPr>
        <w:t>tion was provided in all categories.</w:t>
      </w:r>
    </w:p>
    <w:p w:rsidR="006D54D7" w:rsidRDefault="00D21D3F">
      <w:pPr>
        <w:numPr>
          <w:ilvl w:val="0"/>
          <w:numId w:val="1"/>
        </w:numPr>
        <w:pBdr>
          <w:left w:val="none" w:sz="0" w:space="7" w:color="auto"/>
        </w:pBdr>
        <w:spacing w:line="259" w:lineRule="auto"/>
        <w:ind w:hanging="430"/>
        <w:rPr>
          <w:sz w:val="22"/>
          <w:szCs w:val="22"/>
        </w:rPr>
      </w:pPr>
      <w:r>
        <w:rPr>
          <w:rFonts w:ascii="Calibri" w:eastAsia="Calibri" w:hAnsi="Calibri" w:cs="Calibri"/>
          <w:sz w:val="22"/>
          <w:szCs w:val="22"/>
        </w:rPr>
        <w:t>Assessed companies ranged in size from less than 400 employees to more than 60,000 employees, and spanned a broad range of industries - including Healthcare, Law, Technology, Manufacturing, and more.</w:t>
      </w:r>
    </w:p>
    <w:p w:rsidR="006D54D7" w:rsidRDefault="00D21D3F">
      <w:pPr>
        <w:numPr>
          <w:ilvl w:val="0"/>
          <w:numId w:val="1"/>
        </w:numPr>
        <w:pBdr>
          <w:left w:val="none" w:sz="0" w:space="7" w:color="auto"/>
        </w:pBdr>
        <w:spacing w:line="259" w:lineRule="auto"/>
        <w:ind w:hanging="430"/>
        <w:rPr>
          <w:sz w:val="22"/>
          <w:szCs w:val="22"/>
        </w:rPr>
      </w:pPr>
      <w:r>
        <w:rPr>
          <w:rFonts w:ascii="Calibri" w:eastAsia="Calibri" w:hAnsi="Calibri" w:cs="Calibri"/>
          <w:sz w:val="22"/>
          <w:szCs w:val="22"/>
        </w:rPr>
        <w:t xml:space="preserve">We did not see any </w:t>
      </w:r>
      <w:r>
        <w:rPr>
          <w:rFonts w:ascii="Calibri" w:eastAsia="Calibri" w:hAnsi="Calibri" w:cs="Calibri"/>
          <w:sz w:val="22"/>
          <w:szCs w:val="22"/>
        </w:rPr>
        <w:t>obvious differences in results based on the size of the organization.</w:t>
      </w:r>
    </w:p>
    <w:p w:rsidR="006D54D7" w:rsidRDefault="00D21D3F">
      <w:pPr>
        <w:numPr>
          <w:ilvl w:val="0"/>
          <w:numId w:val="1"/>
        </w:numPr>
        <w:pBdr>
          <w:left w:val="none" w:sz="0" w:space="7" w:color="auto"/>
        </w:pBdr>
        <w:spacing w:after="160" w:line="259" w:lineRule="auto"/>
        <w:ind w:hanging="430"/>
        <w:rPr>
          <w:sz w:val="22"/>
          <w:szCs w:val="22"/>
        </w:rPr>
      </w:pPr>
      <w:r>
        <w:rPr>
          <w:rFonts w:ascii="Calibri" w:eastAsia="Calibri" w:hAnsi="Calibri" w:cs="Calibri"/>
          <w:sz w:val="22"/>
          <w:szCs w:val="22"/>
        </w:rPr>
        <w:t>The numbers below represent averages of all assessments submitted, unless otherwise noted.</w:t>
      </w:r>
    </w:p>
    <w:p w:rsidR="006D54D7" w:rsidRDefault="00D21D3F">
      <w:pPr>
        <w:spacing w:after="160" w:line="259" w:lineRule="auto"/>
        <w:rPr>
          <w:sz w:val="22"/>
          <w:szCs w:val="22"/>
        </w:rPr>
      </w:pPr>
      <w:r>
        <w:rPr>
          <w:rFonts w:ascii="Calibri" w:eastAsia="Calibri" w:hAnsi="Calibri" w:cs="Calibri"/>
          <w:b/>
          <w:bCs/>
          <w:sz w:val="22"/>
          <w:szCs w:val="22"/>
        </w:rPr>
        <w:t>Representation</w:t>
      </w:r>
    </w:p>
    <w:p w:rsidR="006D54D7" w:rsidRDefault="00D21D3F">
      <w:pPr>
        <w:numPr>
          <w:ilvl w:val="0"/>
          <w:numId w:val="2"/>
        </w:numPr>
        <w:pBdr>
          <w:left w:val="none" w:sz="0" w:space="7" w:color="auto"/>
        </w:pBdr>
        <w:spacing w:line="259" w:lineRule="auto"/>
        <w:ind w:hanging="430"/>
        <w:rPr>
          <w:sz w:val="22"/>
          <w:szCs w:val="22"/>
        </w:rPr>
      </w:pPr>
      <w:r>
        <w:rPr>
          <w:rFonts w:ascii="Calibri" w:eastAsia="Calibri" w:hAnsi="Calibri" w:cs="Calibri"/>
          <w:sz w:val="22"/>
          <w:szCs w:val="22"/>
        </w:rPr>
        <w:t>Total workforce representation was very balanced overall, with an even 50/50 spl</w:t>
      </w:r>
      <w:r>
        <w:rPr>
          <w:rFonts w:ascii="Calibri" w:eastAsia="Calibri" w:hAnsi="Calibri" w:cs="Calibri"/>
          <w:sz w:val="22"/>
          <w:szCs w:val="22"/>
        </w:rPr>
        <w:t xml:space="preserve">it of women to men. Representation of women within the workforce, however, trended toward lower-level positions, with representation decreasing as responsibility and influence increased. </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59% of non-exempt roles were filled by women</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40% of professional/man</w:t>
      </w:r>
      <w:r>
        <w:rPr>
          <w:rFonts w:ascii="Calibri" w:eastAsia="Calibri" w:hAnsi="Calibri" w:cs="Calibri"/>
          <w:sz w:val="22"/>
          <w:szCs w:val="22"/>
        </w:rPr>
        <w:t>agement roles were filled by women</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34% of senior management roles were filled by women</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22% of executive roles were filled by women</w:t>
      </w:r>
    </w:p>
    <w:p w:rsidR="006D54D7" w:rsidRDefault="00D21D3F">
      <w:pPr>
        <w:numPr>
          <w:ilvl w:val="0"/>
          <w:numId w:val="2"/>
        </w:numPr>
        <w:pBdr>
          <w:left w:val="none" w:sz="0" w:space="7" w:color="auto"/>
        </w:pBdr>
        <w:spacing w:line="259" w:lineRule="auto"/>
        <w:ind w:hanging="430"/>
        <w:rPr>
          <w:sz w:val="22"/>
          <w:szCs w:val="22"/>
        </w:rPr>
      </w:pPr>
      <w:r>
        <w:rPr>
          <w:rFonts w:ascii="Calibri" w:eastAsia="Calibri" w:hAnsi="Calibri" w:cs="Calibri"/>
          <w:sz w:val="22"/>
          <w:szCs w:val="22"/>
        </w:rPr>
        <w:t>Eight companies provided data on the representation of women of color, with most signaling that this is a demographic they do</w:t>
      </w:r>
      <w:r>
        <w:rPr>
          <w:rFonts w:ascii="Calibri" w:eastAsia="Calibri" w:hAnsi="Calibri" w:cs="Calibri"/>
          <w:sz w:val="22"/>
          <w:szCs w:val="22"/>
        </w:rPr>
        <w:t xml:space="preserve"> not track. Of those reported, women of color were significantly under-represented, making up only 12% of the overall workforce, mostly found in non-exempt positions:</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14% of non-exempt roles were filled by women of color</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6% of professional/management roles</w:t>
      </w:r>
      <w:r>
        <w:rPr>
          <w:rFonts w:ascii="Calibri" w:eastAsia="Calibri" w:hAnsi="Calibri" w:cs="Calibri"/>
          <w:sz w:val="22"/>
          <w:szCs w:val="22"/>
        </w:rPr>
        <w:t xml:space="preserve"> were filled by women of color</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2% of senior management roles were filled by women of color</w:t>
      </w:r>
    </w:p>
    <w:p w:rsidR="006D54D7" w:rsidRDefault="00D21D3F">
      <w:pPr>
        <w:numPr>
          <w:ilvl w:val="1"/>
          <w:numId w:val="2"/>
        </w:numPr>
        <w:pBdr>
          <w:left w:val="none" w:sz="0" w:space="6" w:color="auto"/>
        </w:pBdr>
        <w:spacing w:line="259" w:lineRule="auto"/>
        <w:rPr>
          <w:sz w:val="22"/>
          <w:szCs w:val="22"/>
        </w:rPr>
      </w:pPr>
      <w:r>
        <w:rPr>
          <w:rFonts w:ascii="Calibri" w:eastAsia="Calibri" w:hAnsi="Calibri" w:cs="Calibri"/>
          <w:sz w:val="22"/>
          <w:szCs w:val="22"/>
        </w:rPr>
        <w:t>2% of executive roles were filled by women of color</w:t>
      </w:r>
    </w:p>
    <w:p w:rsidR="006D54D7" w:rsidRDefault="00D21D3F">
      <w:pPr>
        <w:numPr>
          <w:ilvl w:val="0"/>
          <w:numId w:val="2"/>
        </w:numPr>
        <w:pBdr>
          <w:left w:val="none" w:sz="0" w:space="7" w:color="auto"/>
        </w:pBdr>
        <w:spacing w:line="259" w:lineRule="auto"/>
        <w:ind w:hanging="430"/>
        <w:rPr>
          <w:sz w:val="22"/>
          <w:szCs w:val="22"/>
        </w:rPr>
      </w:pPr>
      <w:r>
        <w:rPr>
          <w:rFonts w:ascii="Calibri" w:eastAsia="Calibri" w:hAnsi="Calibri" w:cs="Calibri"/>
          <w:sz w:val="22"/>
          <w:szCs w:val="22"/>
        </w:rPr>
        <w:t xml:space="preserve">11 companies reported having female representation on their Board of Directors, with five companies having more </w:t>
      </w:r>
      <w:r>
        <w:rPr>
          <w:rFonts w:ascii="Calibri" w:eastAsia="Calibri" w:hAnsi="Calibri" w:cs="Calibri"/>
          <w:sz w:val="22"/>
          <w:szCs w:val="22"/>
        </w:rPr>
        <w:t>than two women represented. One company reported having a woman of color on their Board.</w:t>
      </w:r>
    </w:p>
    <w:p w:rsidR="006D54D7" w:rsidRDefault="00D21D3F">
      <w:pPr>
        <w:numPr>
          <w:ilvl w:val="0"/>
          <w:numId w:val="2"/>
        </w:numPr>
        <w:pBdr>
          <w:left w:val="none" w:sz="0" w:space="7" w:color="auto"/>
        </w:pBdr>
        <w:spacing w:line="259" w:lineRule="auto"/>
        <w:ind w:hanging="430"/>
        <w:rPr>
          <w:sz w:val="22"/>
          <w:szCs w:val="22"/>
        </w:rPr>
      </w:pPr>
      <w:r>
        <w:rPr>
          <w:rFonts w:ascii="Calibri" w:eastAsia="Calibri" w:hAnsi="Calibri" w:cs="Calibri"/>
          <w:sz w:val="22"/>
          <w:szCs w:val="22"/>
        </w:rPr>
        <w:t>Eight companies shared data on how many women and women of color were reflected in the top 20% of earners. Of those, 25% were women and 4% were women of color.</w:t>
      </w:r>
    </w:p>
    <w:p w:rsidR="006D54D7" w:rsidRDefault="00D21D3F">
      <w:pPr>
        <w:numPr>
          <w:ilvl w:val="0"/>
          <w:numId w:val="2"/>
        </w:numPr>
        <w:pBdr>
          <w:left w:val="none" w:sz="0" w:space="7" w:color="auto"/>
        </w:pBdr>
        <w:spacing w:after="160" w:line="259" w:lineRule="auto"/>
        <w:ind w:hanging="430"/>
        <w:rPr>
          <w:sz w:val="22"/>
          <w:szCs w:val="22"/>
        </w:rPr>
      </w:pPr>
      <w:r>
        <w:rPr>
          <w:rFonts w:ascii="Calibri" w:eastAsia="Calibri" w:hAnsi="Calibri" w:cs="Calibri"/>
          <w:sz w:val="22"/>
          <w:szCs w:val="22"/>
        </w:rPr>
        <w:lastRenderedPageBreak/>
        <w:t>Eight c</w:t>
      </w:r>
      <w:r>
        <w:rPr>
          <w:rFonts w:ascii="Calibri" w:eastAsia="Calibri" w:hAnsi="Calibri" w:cs="Calibri"/>
          <w:sz w:val="22"/>
          <w:szCs w:val="22"/>
        </w:rPr>
        <w:t>ompanies shared data on how many executives with P&amp;L responsibility were women and women of color. Of those, 24% were women and none were women of color.</w:t>
      </w:r>
    </w:p>
    <w:p w:rsidR="006D54D7" w:rsidRDefault="00D21D3F">
      <w:pPr>
        <w:spacing w:after="160" w:line="259" w:lineRule="auto"/>
        <w:rPr>
          <w:sz w:val="22"/>
          <w:szCs w:val="22"/>
        </w:rPr>
      </w:pPr>
      <w:r>
        <w:rPr>
          <w:rFonts w:ascii="Calibri" w:eastAsia="Calibri" w:hAnsi="Calibri" w:cs="Calibri"/>
          <w:b/>
          <w:bCs/>
          <w:sz w:val="22"/>
          <w:szCs w:val="22"/>
        </w:rPr>
        <w:t>Recruiting &amp; Hiring</w:t>
      </w:r>
    </w:p>
    <w:p w:rsidR="006D54D7" w:rsidRDefault="00D21D3F">
      <w:pPr>
        <w:numPr>
          <w:ilvl w:val="0"/>
          <w:numId w:val="3"/>
        </w:numPr>
        <w:pBdr>
          <w:left w:val="none" w:sz="0" w:space="7" w:color="auto"/>
        </w:pBdr>
        <w:spacing w:line="259" w:lineRule="auto"/>
        <w:ind w:hanging="430"/>
        <w:rPr>
          <w:sz w:val="22"/>
          <w:szCs w:val="22"/>
        </w:rPr>
      </w:pPr>
      <w:r>
        <w:rPr>
          <w:rFonts w:ascii="Calibri" w:eastAsia="Calibri" w:hAnsi="Calibri" w:cs="Calibri"/>
          <w:sz w:val="22"/>
          <w:szCs w:val="22"/>
        </w:rPr>
        <w:t>Eight companies were able to provide hiring data for the last year:</w:t>
      </w:r>
    </w:p>
    <w:p w:rsidR="006D54D7" w:rsidRDefault="00D21D3F">
      <w:pPr>
        <w:numPr>
          <w:ilvl w:val="1"/>
          <w:numId w:val="3"/>
        </w:numPr>
        <w:pBdr>
          <w:left w:val="none" w:sz="0" w:space="6" w:color="auto"/>
        </w:pBdr>
        <w:spacing w:line="259" w:lineRule="auto"/>
        <w:rPr>
          <w:sz w:val="22"/>
          <w:szCs w:val="22"/>
        </w:rPr>
      </w:pPr>
      <w:r>
        <w:rPr>
          <w:rFonts w:ascii="Calibri" w:eastAsia="Calibri" w:hAnsi="Calibri" w:cs="Calibri"/>
          <w:sz w:val="22"/>
          <w:szCs w:val="22"/>
        </w:rPr>
        <w:t>53% of total n</w:t>
      </w:r>
      <w:r>
        <w:rPr>
          <w:rFonts w:ascii="Calibri" w:eastAsia="Calibri" w:hAnsi="Calibri" w:cs="Calibri"/>
          <w:sz w:val="22"/>
          <w:szCs w:val="22"/>
        </w:rPr>
        <w:t xml:space="preserve">ew hires made across reporting companies were women, and 19% were women of color. </w:t>
      </w:r>
    </w:p>
    <w:p w:rsidR="006D54D7" w:rsidRDefault="00D21D3F">
      <w:pPr>
        <w:numPr>
          <w:ilvl w:val="1"/>
          <w:numId w:val="3"/>
        </w:numPr>
        <w:pBdr>
          <w:left w:val="none" w:sz="0" w:space="6" w:color="auto"/>
        </w:pBdr>
        <w:spacing w:line="259" w:lineRule="auto"/>
        <w:rPr>
          <w:sz w:val="22"/>
          <w:szCs w:val="22"/>
        </w:rPr>
      </w:pPr>
      <w:r>
        <w:rPr>
          <w:rFonts w:ascii="Calibri" w:eastAsia="Calibri" w:hAnsi="Calibri" w:cs="Calibri"/>
          <w:sz w:val="22"/>
          <w:szCs w:val="22"/>
        </w:rPr>
        <w:t>32% of professional/management new hires in the last year were women, and 9% were women of color</w:t>
      </w:r>
    </w:p>
    <w:p w:rsidR="006D54D7" w:rsidRDefault="00D21D3F">
      <w:pPr>
        <w:numPr>
          <w:ilvl w:val="0"/>
          <w:numId w:val="3"/>
        </w:numPr>
        <w:pBdr>
          <w:left w:val="none" w:sz="0" w:space="7" w:color="auto"/>
        </w:pBdr>
        <w:ind w:hanging="430"/>
        <w:rPr>
          <w:sz w:val="22"/>
          <w:szCs w:val="22"/>
        </w:rPr>
      </w:pPr>
      <w:r>
        <w:rPr>
          <w:rFonts w:ascii="Calibri" w:eastAsia="Calibri" w:hAnsi="Calibri" w:cs="Calibri"/>
          <w:sz w:val="22"/>
          <w:szCs w:val="22"/>
        </w:rPr>
        <w:t>All 13 companies weighed in on how they approach recruiting and hiring for d</w:t>
      </w:r>
      <w:r>
        <w:rPr>
          <w:rFonts w:ascii="Calibri" w:eastAsia="Calibri" w:hAnsi="Calibri" w:cs="Calibri"/>
          <w:sz w:val="22"/>
          <w:szCs w:val="22"/>
        </w:rPr>
        <w:t>iversity.</w:t>
      </w:r>
    </w:p>
    <w:p w:rsidR="006D54D7" w:rsidRDefault="00D21D3F">
      <w:pPr>
        <w:numPr>
          <w:ilvl w:val="1"/>
          <w:numId w:val="3"/>
        </w:numPr>
        <w:pBdr>
          <w:left w:val="none" w:sz="0" w:space="6" w:color="auto"/>
        </w:pBdr>
        <w:rPr>
          <w:sz w:val="22"/>
          <w:szCs w:val="22"/>
        </w:rPr>
      </w:pPr>
      <w:r>
        <w:rPr>
          <w:rFonts w:ascii="Calibri" w:eastAsia="Calibri" w:hAnsi="Calibri" w:cs="Calibri"/>
          <w:sz w:val="22"/>
          <w:szCs w:val="22"/>
        </w:rPr>
        <w:t>75% of respondents indicated providing training for internal recruiters on unconscious bias and/or diverse interviewing skills.</w:t>
      </w:r>
    </w:p>
    <w:p w:rsidR="006D54D7" w:rsidRDefault="00D21D3F">
      <w:pPr>
        <w:numPr>
          <w:ilvl w:val="1"/>
          <w:numId w:val="3"/>
        </w:numPr>
        <w:pBdr>
          <w:left w:val="none" w:sz="0" w:space="6" w:color="auto"/>
        </w:pBdr>
        <w:rPr>
          <w:sz w:val="22"/>
          <w:szCs w:val="22"/>
        </w:rPr>
      </w:pPr>
      <w:r>
        <w:rPr>
          <w:rFonts w:ascii="Calibri" w:eastAsia="Calibri" w:hAnsi="Calibri" w:cs="Calibri"/>
          <w:sz w:val="22"/>
          <w:szCs w:val="22"/>
        </w:rPr>
        <w:t>17% of respondents indicated requiring diverse interview slates</w:t>
      </w:r>
    </w:p>
    <w:p w:rsidR="006D54D7" w:rsidRDefault="00D21D3F">
      <w:pPr>
        <w:numPr>
          <w:ilvl w:val="1"/>
          <w:numId w:val="3"/>
        </w:numPr>
        <w:pBdr>
          <w:left w:val="none" w:sz="0" w:space="6" w:color="auto"/>
        </w:pBdr>
        <w:rPr>
          <w:sz w:val="22"/>
          <w:szCs w:val="22"/>
        </w:rPr>
      </w:pPr>
      <w:r>
        <w:rPr>
          <w:rFonts w:ascii="Calibri" w:eastAsia="Calibri" w:hAnsi="Calibri" w:cs="Calibri"/>
          <w:sz w:val="22"/>
          <w:szCs w:val="22"/>
        </w:rPr>
        <w:t xml:space="preserve">8% of respondents indicated requiring a diverse panel </w:t>
      </w:r>
      <w:r>
        <w:rPr>
          <w:rFonts w:ascii="Calibri" w:eastAsia="Calibri" w:hAnsi="Calibri" w:cs="Calibri"/>
          <w:sz w:val="22"/>
          <w:szCs w:val="22"/>
        </w:rPr>
        <w:t>of interviewers when evaluating candidates for open positions.</w:t>
      </w:r>
    </w:p>
    <w:p w:rsidR="006D54D7" w:rsidRDefault="00D21D3F">
      <w:pPr>
        <w:numPr>
          <w:ilvl w:val="1"/>
          <w:numId w:val="3"/>
        </w:numPr>
        <w:pBdr>
          <w:left w:val="none" w:sz="0" w:space="6" w:color="auto"/>
        </w:pBdr>
        <w:rPr>
          <w:sz w:val="22"/>
          <w:szCs w:val="22"/>
        </w:rPr>
      </w:pPr>
      <w:r>
        <w:rPr>
          <w:rFonts w:ascii="Calibri" w:eastAsia="Calibri" w:hAnsi="Calibri" w:cs="Calibri"/>
          <w:sz w:val="22"/>
          <w:szCs w:val="22"/>
        </w:rPr>
        <w:t>67% of respondents who use external search/recruiting companies indicated that they chose the company based on its ability to provide a diverse slate of candidates.</w:t>
      </w:r>
    </w:p>
    <w:p w:rsidR="006D54D7" w:rsidRDefault="00D21D3F">
      <w:pPr>
        <w:numPr>
          <w:ilvl w:val="1"/>
          <w:numId w:val="3"/>
        </w:numPr>
        <w:pBdr>
          <w:left w:val="none" w:sz="0" w:space="6" w:color="auto"/>
        </w:pBdr>
        <w:rPr>
          <w:sz w:val="22"/>
          <w:szCs w:val="22"/>
        </w:rPr>
      </w:pPr>
      <w:r>
        <w:rPr>
          <w:rFonts w:ascii="Calibri" w:eastAsia="Calibri" w:hAnsi="Calibri" w:cs="Calibri"/>
          <w:sz w:val="22"/>
          <w:szCs w:val="22"/>
        </w:rPr>
        <w:t>73% of respondents indicated</w:t>
      </w:r>
      <w:r>
        <w:rPr>
          <w:rFonts w:ascii="Calibri" w:eastAsia="Calibri" w:hAnsi="Calibri" w:cs="Calibri"/>
          <w:sz w:val="22"/>
          <w:szCs w:val="22"/>
        </w:rPr>
        <w:t xml:space="preserve"> having a recruiting strategy focused on attracting female candidates through partnerships with women’s professional associations such as Society for Women Engineers and Women in Technology Tennessee and through focused university recruiting for internship</w:t>
      </w:r>
      <w:r>
        <w:rPr>
          <w:rFonts w:ascii="Calibri" w:eastAsia="Calibri" w:hAnsi="Calibri" w:cs="Calibri"/>
          <w:sz w:val="22"/>
          <w:szCs w:val="22"/>
        </w:rPr>
        <w:t>s.</w:t>
      </w:r>
    </w:p>
    <w:p w:rsidR="006D54D7" w:rsidRDefault="006D54D7">
      <w:pPr>
        <w:spacing w:after="160" w:line="259" w:lineRule="auto"/>
        <w:rPr>
          <w:sz w:val="22"/>
          <w:szCs w:val="22"/>
        </w:rPr>
      </w:pPr>
    </w:p>
    <w:p w:rsidR="006D54D7" w:rsidRDefault="00D21D3F">
      <w:pPr>
        <w:spacing w:after="160" w:line="259" w:lineRule="auto"/>
        <w:rPr>
          <w:sz w:val="22"/>
          <w:szCs w:val="22"/>
        </w:rPr>
      </w:pPr>
      <w:r>
        <w:rPr>
          <w:rFonts w:ascii="Calibri" w:eastAsia="Calibri" w:hAnsi="Calibri" w:cs="Calibri"/>
          <w:b/>
          <w:bCs/>
          <w:sz w:val="22"/>
          <w:szCs w:val="22"/>
        </w:rPr>
        <w:t>Advancement</w:t>
      </w:r>
    </w:p>
    <w:p w:rsidR="006D54D7" w:rsidRDefault="00D21D3F">
      <w:pPr>
        <w:numPr>
          <w:ilvl w:val="0"/>
          <w:numId w:val="4"/>
        </w:numPr>
        <w:pBdr>
          <w:left w:val="none" w:sz="0" w:space="7" w:color="auto"/>
        </w:pBdr>
        <w:spacing w:line="259" w:lineRule="auto"/>
        <w:ind w:hanging="430"/>
        <w:rPr>
          <w:sz w:val="22"/>
          <w:szCs w:val="22"/>
        </w:rPr>
      </w:pPr>
      <w:r>
        <w:rPr>
          <w:rFonts w:ascii="Calibri" w:eastAsia="Calibri" w:hAnsi="Calibri" w:cs="Calibri"/>
          <w:sz w:val="22"/>
          <w:szCs w:val="22"/>
        </w:rPr>
        <w:t>Eight companies were able to provide data on total promotions in the last year, and within those organizations 42% of promoted employees were women and 11% were women of color.</w:t>
      </w:r>
    </w:p>
    <w:p w:rsidR="006D54D7" w:rsidRDefault="00D21D3F">
      <w:pPr>
        <w:numPr>
          <w:ilvl w:val="0"/>
          <w:numId w:val="4"/>
        </w:numPr>
        <w:pBdr>
          <w:left w:val="none" w:sz="0" w:space="7" w:color="auto"/>
        </w:pBdr>
        <w:spacing w:line="259" w:lineRule="auto"/>
        <w:ind w:hanging="430"/>
        <w:rPr>
          <w:sz w:val="22"/>
          <w:szCs w:val="22"/>
        </w:rPr>
      </w:pPr>
      <w:r>
        <w:rPr>
          <w:rFonts w:ascii="Calibri" w:eastAsia="Calibri" w:hAnsi="Calibri" w:cs="Calibri"/>
          <w:sz w:val="22"/>
          <w:szCs w:val="22"/>
        </w:rPr>
        <w:t>77% of participating companies (10 companies) reported offering</w:t>
      </w:r>
      <w:r>
        <w:rPr>
          <w:rFonts w:ascii="Calibri" w:eastAsia="Calibri" w:hAnsi="Calibri" w:cs="Calibri"/>
          <w:sz w:val="22"/>
          <w:szCs w:val="22"/>
        </w:rPr>
        <w:t xml:space="preserve"> women’s employee resource/affinity groups, which center around networking, professional development, mentorship/leadership exposure &amp; community outreach.</w:t>
      </w:r>
    </w:p>
    <w:p w:rsidR="006D54D7" w:rsidRDefault="00D21D3F">
      <w:pPr>
        <w:numPr>
          <w:ilvl w:val="1"/>
          <w:numId w:val="4"/>
        </w:numPr>
        <w:pBdr>
          <w:left w:val="none" w:sz="0" w:space="6" w:color="auto"/>
        </w:pBdr>
        <w:rPr>
          <w:sz w:val="22"/>
          <w:szCs w:val="22"/>
        </w:rPr>
      </w:pPr>
      <w:r>
        <w:rPr>
          <w:rFonts w:ascii="Calibri" w:eastAsia="Calibri" w:hAnsi="Calibri" w:cs="Calibri"/>
          <w:sz w:val="22"/>
          <w:szCs w:val="22"/>
        </w:rPr>
        <w:t>Of these, six track participation in ERGs/affinity groups and reported that men comprise 10% of membe</w:t>
      </w:r>
      <w:r>
        <w:rPr>
          <w:rFonts w:ascii="Calibri" w:eastAsia="Calibri" w:hAnsi="Calibri" w:cs="Calibri"/>
          <w:sz w:val="22"/>
          <w:szCs w:val="22"/>
        </w:rPr>
        <w:t>rship in the women’s ERG and senior leadership comprised 31% of members.</w:t>
      </w:r>
    </w:p>
    <w:p w:rsidR="006D54D7" w:rsidRDefault="00D21D3F">
      <w:pPr>
        <w:numPr>
          <w:ilvl w:val="0"/>
          <w:numId w:val="4"/>
        </w:numPr>
        <w:pBdr>
          <w:left w:val="none" w:sz="0" w:space="7" w:color="auto"/>
        </w:pBdr>
        <w:ind w:hanging="430"/>
        <w:rPr>
          <w:sz w:val="22"/>
          <w:szCs w:val="22"/>
        </w:rPr>
      </w:pPr>
      <w:r>
        <w:rPr>
          <w:rFonts w:ascii="Calibri" w:eastAsia="Calibri" w:hAnsi="Calibri" w:cs="Calibri"/>
          <w:sz w:val="22"/>
          <w:szCs w:val="22"/>
        </w:rPr>
        <w:t>No companies reported having formal mentoring programs, but three companies have plans to implement programs in 2021.</w:t>
      </w:r>
    </w:p>
    <w:p w:rsidR="006D54D7" w:rsidRDefault="00D21D3F">
      <w:pPr>
        <w:numPr>
          <w:ilvl w:val="0"/>
          <w:numId w:val="4"/>
        </w:numPr>
        <w:pBdr>
          <w:left w:val="none" w:sz="0" w:space="7" w:color="auto"/>
        </w:pBdr>
        <w:ind w:hanging="430"/>
        <w:rPr>
          <w:sz w:val="22"/>
          <w:szCs w:val="22"/>
        </w:rPr>
      </w:pPr>
      <w:r>
        <w:rPr>
          <w:rFonts w:ascii="Calibri" w:eastAsia="Calibri" w:hAnsi="Calibri" w:cs="Calibri"/>
          <w:sz w:val="22"/>
          <w:szCs w:val="22"/>
        </w:rPr>
        <w:t>61% of participating companies (eight companies), train leaders o</w:t>
      </w:r>
      <w:r>
        <w:rPr>
          <w:rFonts w:ascii="Calibri" w:eastAsia="Calibri" w:hAnsi="Calibri" w:cs="Calibri"/>
          <w:sz w:val="22"/>
          <w:szCs w:val="22"/>
        </w:rPr>
        <w:t>n bias and inclusion.</w:t>
      </w:r>
    </w:p>
    <w:p w:rsidR="006D54D7" w:rsidRDefault="00D21D3F">
      <w:pPr>
        <w:numPr>
          <w:ilvl w:val="0"/>
          <w:numId w:val="4"/>
        </w:numPr>
        <w:pBdr>
          <w:left w:val="none" w:sz="0" w:space="7" w:color="auto"/>
        </w:pBdr>
        <w:ind w:hanging="430"/>
        <w:rPr>
          <w:sz w:val="22"/>
          <w:szCs w:val="22"/>
        </w:rPr>
      </w:pPr>
      <w:r>
        <w:rPr>
          <w:rFonts w:ascii="Calibri" w:eastAsia="Calibri" w:hAnsi="Calibri" w:cs="Calibri"/>
          <w:sz w:val="22"/>
          <w:szCs w:val="22"/>
        </w:rPr>
        <w:t>46% of participants (six companies) reported having a system for identifying high potential women, and a development program dedicated to specifically advancing women.</w:t>
      </w:r>
    </w:p>
    <w:p w:rsidR="006D54D7" w:rsidRDefault="00D21D3F">
      <w:pPr>
        <w:numPr>
          <w:ilvl w:val="0"/>
          <w:numId w:val="4"/>
        </w:numPr>
        <w:pBdr>
          <w:left w:val="none" w:sz="0" w:space="7" w:color="auto"/>
        </w:pBdr>
        <w:ind w:hanging="430"/>
        <w:rPr>
          <w:sz w:val="22"/>
          <w:szCs w:val="22"/>
        </w:rPr>
      </w:pPr>
      <w:r>
        <w:rPr>
          <w:rFonts w:ascii="Calibri" w:eastAsia="Calibri" w:hAnsi="Calibri" w:cs="Calibri"/>
          <w:sz w:val="22"/>
          <w:szCs w:val="22"/>
        </w:rPr>
        <w:t>23% of participants (three companies) track the participation of w</w:t>
      </w:r>
      <w:r>
        <w:rPr>
          <w:rFonts w:ascii="Calibri" w:eastAsia="Calibri" w:hAnsi="Calibri" w:cs="Calibri"/>
          <w:sz w:val="22"/>
          <w:szCs w:val="22"/>
        </w:rPr>
        <w:t xml:space="preserve">omen in leadership development programs, such as formal education, mentoring or sponsorship programs. </w:t>
      </w:r>
    </w:p>
    <w:p w:rsidR="006D54D7" w:rsidRDefault="00D21D3F">
      <w:pPr>
        <w:numPr>
          <w:ilvl w:val="1"/>
          <w:numId w:val="4"/>
        </w:numPr>
        <w:pBdr>
          <w:left w:val="none" w:sz="0" w:space="6" w:color="auto"/>
        </w:pBdr>
        <w:rPr>
          <w:sz w:val="22"/>
          <w:szCs w:val="22"/>
        </w:rPr>
      </w:pPr>
      <w:r>
        <w:rPr>
          <w:rFonts w:ascii="Calibri" w:eastAsia="Calibri" w:hAnsi="Calibri" w:cs="Calibri"/>
          <w:sz w:val="22"/>
          <w:szCs w:val="22"/>
        </w:rPr>
        <w:t>Of those who tracked, 45% of participants in the last year were women, and 14% were women of color.</w:t>
      </w:r>
    </w:p>
    <w:p w:rsidR="006D54D7" w:rsidRDefault="00D21D3F">
      <w:pPr>
        <w:numPr>
          <w:ilvl w:val="0"/>
          <w:numId w:val="4"/>
        </w:numPr>
        <w:pBdr>
          <w:left w:val="none" w:sz="0" w:space="7" w:color="auto"/>
        </w:pBdr>
        <w:ind w:hanging="430"/>
        <w:rPr>
          <w:sz w:val="22"/>
          <w:szCs w:val="22"/>
        </w:rPr>
      </w:pPr>
      <w:r>
        <w:rPr>
          <w:rFonts w:ascii="Calibri" w:eastAsia="Calibri" w:hAnsi="Calibri" w:cs="Calibri"/>
          <w:sz w:val="22"/>
          <w:szCs w:val="22"/>
        </w:rPr>
        <w:lastRenderedPageBreak/>
        <w:t>46% of participants (six companies) report having a f</w:t>
      </w:r>
      <w:r>
        <w:rPr>
          <w:rFonts w:ascii="Calibri" w:eastAsia="Calibri" w:hAnsi="Calibri" w:cs="Calibri"/>
          <w:sz w:val="22"/>
          <w:szCs w:val="22"/>
        </w:rPr>
        <w:t>ormal succession planning program. Two companies track the participation of women in these programs (average of these two: 19% women, &gt;1% women of color).</w:t>
      </w:r>
    </w:p>
    <w:p w:rsidR="006D54D7" w:rsidRDefault="006D54D7">
      <w:pPr>
        <w:rPr>
          <w:sz w:val="22"/>
          <w:szCs w:val="22"/>
        </w:rPr>
      </w:pPr>
    </w:p>
    <w:p w:rsidR="006D54D7" w:rsidRDefault="00D21D3F">
      <w:pPr>
        <w:spacing w:after="160" w:line="259" w:lineRule="auto"/>
        <w:rPr>
          <w:sz w:val="22"/>
          <w:szCs w:val="22"/>
        </w:rPr>
      </w:pPr>
      <w:r>
        <w:rPr>
          <w:rFonts w:ascii="Calibri" w:eastAsia="Calibri" w:hAnsi="Calibri" w:cs="Calibri"/>
          <w:b/>
          <w:bCs/>
          <w:sz w:val="22"/>
          <w:szCs w:val="22"/>
        </w:rPr>
        <w:t>Benefits &amp; Compensation</w:t>
      </w:r>
    </w:p>
    <w:p w:rsidR="006D54D7" w:rsidRDefault="00D21D3F">
      <w:pPr>
        <w:spacing w:after="160" w:line="259" w:lineRule="auto"/>
        <w:rPr>
          <w:sz w:val="22"/>
          <w:szCs w:val="22"/>
        </w:rPr>
      </w:pPr>
      <w:r>
        <w:rPr>
          <w:rFonts w:ascii="Calibri" w:eastAsia="Calibri" w:hAnsi="Calibri" w:cs="Calibri"/>
          <w:sz w:val="22"/>
          <w:szCs w:val="22"/>
        </w:rPr>
        <w:t xml:space="preserve">11 companies completed the Benefits portion of the assessment. Of those reporting: </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91% provide healthcare coverage for employee only and adults with special needs.</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100% provide spouse and child healthcare coverage.</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73% provide domestic partner coverage (i</w:t>
      </w:r>
      <w:r>
        <w:rPr>
          <w:rFonts w:ascii="Calibri" w:eastAsia="Calibri" w:hAnsi="Calibri" w:cs="Calibri"/>
          <w:sz w:val="22"/>
          <w:szCs w:val="22"/>
        </w:rPr>
        <w:t>ncluding domestic partner’s children)</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9% provide coverage for Grandchildren</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All companies participating reported providing the following:</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Dependent Daycare FSA</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 xml:space="preserve">Private Mother’s Rooms </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Stress Management program</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Work from home/flexibility work options</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An EAP</w:t>
      </w:r>
      <w:r>
        <w:rPr>
          <w:rFonts w:ascii="Calibri" w:eastAsia="Calibri" w:hAnsi="Calibri" w:cs="Calibri"/>
          <w:sz w:val="22"/>
          <w:szCs w:val="22"/>
        </w:rPr>
        <w:t xml:space="preserve"> to encompass total emotional and wellbeing services </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27% offer some type of back-up childcare services</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 xml:space="preserve">36% of the responding companies provide financial assistance for adoption </w:t>
      </w:r>
    </w:p>
    <w:p w:rsidR="006D54D7" w:rsidRDefault="00D21D3F">
      <w:pPr>
        <w:numPr>
          <w:ilvl w:val="0"/>
          <w:numId w:val="5"/>
        </w:numPr>
        <w:pBdr>
          <w:left w:val="none" w:sz="0" w:space="7" w:color="auto"/>
        </w:pBdr>
        <w:ind w:hanging="430"/>
        <w:rPr>
          <w:sz w:val="22"/>
          <w:szCs w:val="22"/>
        </w:rPr>
      </w:pPr>
      <w:r>
        <w:rPr>
          <w:rFonts w:ascii="Calibri" w:eastAsia="Calibri" w:hAnsi="Calibri" w:cs="Calibri"/>
          <w:sz w:val="22"/>
          <w:szCs w:val="22"/>
        </w:rPr>
        <w:t>None of the responding companies provide support for the following:</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children’</w:t>
      </w:r>
      <w:r>
        <w:rPr>
          <w:rFonts w:ascii="Calibri" w:eastAsia="Calibri" w:hAnsi="Calibri" w:cs="Calibri"/>
          <w:sz w:val="22"/>
          <w:szCs w:val="22"/>
        </w:rPr>
        <w:t xml:space="preserve">s tuition reimbursement, </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 xml:space="preserve">student loan forgiveness </w:t>
      </w:r>
      <w:r>
        <w:rPr>
          <w:rFonts w:ascii="Calibri" w:eastAsia="Calibri" w:hAnsi="Calibri" w:cs="Calibri"/>
          <w:i/>
          <w:iCs/>
          <w:sz w:val="22"/>
          <w:szCs w:val="22"/>
        </w:rPr>
        <w:t>(2/3 of all student loan debt is held by women)</w:t>
      </w:r>
    </w:p>
    <w:p w:rsidR="006D54D7" w:rsidRDefault="00D21D3F">
      <w:pPr>
        <w:numPr>
          <w:ilvl w:val="1"/>
          <w:numId w:val="5"/>
        </w:numPr>
        <w:pBdr>
          <w:left w:val="none" w:sz="0" w:space="6" w:color="auto"/>
        </w:pBdr>
        <w:rPr>
          <w:sz w:val="22"/>
          <w:szCs w:val="22"/>
        </w:rPr>
      </w:pPr>
      <w:r>
        <w:rPr>
          <w:rFonts w:ascii="Calibri" w:eastAsia="Calibri" w:hAnsi="Calibri" w:cs="Calibri"/>
          <w:sz w:val="22"/>
          <w:szCs w:val="22"/>
        </w:rPr>
        <w:t xml:space="preserve">fertility treatment reimbursement </w:t>
      </w:r>
    </w:p>
    <w:p w:rsidR="006D54D7" w:rsidRDefault="00D21D3F">
      <w:pPr>
        <w:numPr>
          <w:ilvl w:val="1"/>
          <w:numId w:val="5"/>
        </w:numPr>
        <w:pBdr>
          <w:left w:val="none" w:sz="0" w:space="6" w:color="auto"/>
        </w:pBdr>
        <w:rPr>
          <w:sz w:val="22"/>
          <w:szCs w:val="22"/>
        </w:rPr>
      </w:pPr>
      <w:proofErr w:type="gramStart"/>
      <w:r>
        <w:rPr>
          <w:rFonts w:ascii="Calibri" w:eastAsia="Calibri" w:hAnsi="Calibri" w:cs="Calibri"/>
          <w:sz w:val="22"/>
          <w:szCs w:val="22"/>
        </w:rPr>
        <w:t>company</w:t>
      </w:r>
      <w:proofErr w:type="gramEnd"/>
      <w:r>
        <w:rPr>
          <w:rFonts w:ascii="Calibri" w:eastAsia="Calibri" w:hAnsi="Calibri" w:cs="Calibri"/>
          <w:sz w:val="22"/>
          <w:szCs w:val="22"/>
        </w:rPr>
        <w:t xml:space="preserve"> sponsored childcare (on-site or near-site).  </w:t>
      </w:r>
    </w:p>
    <w:p w:rsidR="006D54D7" w:rsidRDefault="006D54D7">
      <w:pPr>
        <w:spacing w:after="160" w:line="259" w:lineRule="auto"/>
        <w:rPr>
          <w:sz w:val="22"/>
          <w:szCs w:val="22"/>
        </w:rPr>
      </w:pPr>
    </w:p>
    <w:p w:rsidR="006D54D7" w:rsidRDefault="00D21D3F">
      <w:pPr>
        <w:spacing w:line="259" w:lineRule="auto"/>
        <w:rPr>
          <w:sz w:val="22"/>
          <w:szCs w:val="22"/>
        </w:rPr>
      </w:pPr>
      <w:r>
        <w:rPr>
          <w:rFonts w:ascii="Calibri" w:eastAsia="Calibri" w:hAnsi="Calibri" w:cs="Calibri"/>
          <w:sz w:val="22"/>
          <w:szCs w:val="22"/>
        </w:rPr>
        <w:t>Nine companies completed the Compensation portion of the assessment</w:t>
      </w:r>
      <w:r>
        <w:rPr>
          <w:rFonts w:ascii="Calibri" w:eastAsia="Calibri" w:hAnsi="Calibri" w:cs="Calibri"/>
          <w:sz w:val="22"/>
          <w:szCs w:val="22"/>
        </w:rPr>
        <w:t xml:space="preserve">. </w:t>
      </w:r>
    </w:p>
    <w:p w:rsidR="006D54D7" w:rsidRDefault="00D21D3F">
      <w:pPr>
        <w:numPr>
          <w:ilvl w:val="0"/>
          <w:numId w:val="6"/>
        </w:numPr>
        <w:pBdr>
          <w:left w:val="none" w:sz="0" w:space="7" w:color="auto"/>
        </w:pBdr>
        <w:spacing w:line="259" w:lineRule="auto"/>
        <w:ind w:hanging="430"/>
        <w:rPr>
          <w:sz w:val="22"/>
          <w:szCs w:val="22"/>
        </w:rPr>
      </w:pPr>
      <w:r>
        <w:rPr>
          <w:rFonts w:ascii="Calibri" w:eastAsia="Calibri" w:hAnsi="Calibri" w:cs="Calibri"/>
          <w:sz w:val="22"/>
          <w:szCs w:val="22"/>
        </w:rPr>
        <w:t>89% of those report auditing compensation regularly to ensure gender pay equity, with most auditing annually.</w:t>
      </w:r>
    </w:p>
    <w:p w:rsidR="006D54D7" w:rsidRDefault="006D54D7">
      <w:pPr>
        <w:spacing w:after="160" w:line="259" w:lineRule="auto"/>
        <w:rPr>
          <w:sz w:val="22"/>
          <w:szCs w:val="22"/>
        </w:rPr>
      </w:pPr>
    </w:p>
    <w:p w:rsidR="006D54D7" w:rsidRDefault="00D21D3F">
      <w:pPr>
        <w:spacing w:after="160" w:line="259" w:lineRule="auto"/>
        <w:rPr>
          <w:sz w:val="22"/>
          <w:szCs w:val="22"/>
        </w:rPr>
      </w:pPr>
      <w:r>
        <w:rPr>
          <w:rFonts w:ascii="Calibri" w:eastAsia="Calibri" w:hAnsi="Calibri" w:cs="Calibri"/>
          <w:b/>
          <w:bCs/>
          <w:sz w:val="22"/>
          <w:szCs w:val="22"/>
        </w:rPr>
        <w:t>Time Off / Leaves</w:t>
      </w:r>
    </w:p>
    <w:p w:rsidR="006D54D7" w:rsidRDefault="00D21D3F">
      <w:pPr>
        <w:numPr>
          <w:ilvl w:val="0"/>
          <w:numId w:val="7"/>
        </w:numPr>
        <w:pBdr>
          <w:left w:val="none" w:sz="0" w:space="7" w:color="auto"/>
        </w:pBdr>
        <w:spacing w:line="259" w:lineRule="auto"/>
        <w:ind w:hanging="430"/>
        <w:rPr>
          <w:sz w:val="22"/>
          <w:szCs w:val="22"/>
        </w:rPr>
      </w:pPr>
      <w:r>
        <w:rPr>
          <w:rFonts w:ascii="Calibri" w:eastAsia="Calibri" w:hAnsi="Calibri" w:cs="Calibri"/>
          <w:sz w:val="22"/>
          <w:szCs w:val="22"/>
        </w:rPr>
        <w:t xml:space="preserve">Eight companies reported offering fully paid maternity leave, four had partial paid leave. The average length of time </w:t>
      </w:r>
      <w:r>
        <w:rPr>
          <w:rFonts w:ascii="Calibri" w:eastAsia="Calibri" w:hAnsi="Calibri" w:cs="Calibri"/>
          <w:sz w:val="22"/>
          <w:szCs w:val="22"/>
        </w:rPr>
        <w:t>available for new mothers was 11.5 weeks.</w:t>
      </w:r>
    </w:p>
    <w:p w:rsidR="006D54D7" w:rsidRDefault="00D21D3F">
      <w:pPr>
        <w:numPr>
          <w:ilvl w:val="0"/>
          <w:numId w:val="7"/>
        </w:numPr>
        <w:pBdr>
          <w:left w:val="none" w:sz="0" w:space="7" w:color="auto"/>
        </w:pBdr>
        <w:spacing w:line="259" w:lineRule="auto"/>
        <w:ind w:hanging="430"/>
        <w:rPr>
          <w:sz w:val="22"/>
          <w:szCs w:val="22"/>
        </w:rPr>
      </w:pPr>
      <w:r>
        <w:rPr>
          <w:rFonts w:ascii="Calibri" w:eastAsia="Calibri" w:hAnsi="Calibri" w:cs="Calibri"/>
          <w:sz w:val="22"/>
          <w:szCs w:val="22"/>
        </w:rPr>
        <w:t>Nine companies report offering parental leave (non-birth parents) with an average of six weeks available for new parents.</w:t>
      </w:r>
    </w:p>
    <w:p w:rsidR="006D54D7" w:rsidRDefault="00D21D3F">
      <w:pPr>
        <w:numPr>
          <w:ilvl w:val="0"/>
          <w:numId w:val="7"/>
        </w:numPr>
        <w:pBdr>
          <w:left w:val="none" w:sz="0" w:space="7" w:color="auto"/>
        </w:pBdr>
        <w:spacing w:line="259" w:lineRule="auto"/>
        <w:ind w:hanging="430"/>
        <w:rPr>
          <w:sz w:val="22"/>
          <w:szCs w:val="22"/>
        </w:rPr>
      </w:pPr>
      <w:r>
        <w:rPr>
          <w:rFonts w:ascii="Calibri" w:eastAsia="Calibri" w:hAnsi="Calibri" w:cs="Calibri"/>
          <w:sz w:val="22"/>
          <w:szCs w:val="22"/>
        </w:rPr>
        <w:t>12 companies report offering leave for adoptive parents with an average of 5 weeks available</w:t>
      </w:r>
      <w:r>
        <w:rPr>
          <w:rFonts w:ascii="Calibri" w:eastAsia="Calibri" w:hAnsi="Calibri" w:cs="Calibri"/>
          <w:sz w:val="22"/>
          <w:szCs w:val="22"/>
        </w:rPr>
        <w:t>.</w:t>
      </w:r>
    </w:p>
    <w:p w:rsidR="006D54D7" w:rsidRDefault="00D21D3F">
      <w:pPr>
        <w:numPr>
          <w:ilvl w:val="0"/>
          <w:numId w:val="7"/>
        </w:numPr>
        <w:pBdr>
          <w:left w:val="none" w:sz="0" w:space="7" w:color="auto"/>
        </w:pBdr>
        <w:spacing w:line="259" w:lineRule="auto"/>
        <w:ind w:hanging="430"/>
        <w:rPr>
          <w:sz w:val="22"/>
          <w:szCs w:val="22"/>
        </w:rPr>
      </w:pPr>
      <w:r>
        <w:rPr>
          <w:rFonts w:ascii="Calibri" w:eastAsia="Calibri" w:hAnsi="Calibri" w:cs="Calibri"/>
          <w:sz w:val="22"/>
          <w:szCs w:val="22"/>
        </w:rPr>
        <w:t>On average, exempt employees took 22 days off last year.</w:t>
      </w:r>
    </w:p>
    <w:p w:rsidR="006D54D7" w:rsidRDefault="00D21D3F">
      <w:pPr>
        <w:numPr>
          <w:ilvl w:val="0"/>
          <w:numId w:val="7"/>
        </w:numPr>
        <w:pBdr>
          <w:left w:val="none" w:sz="0" w:space="7" w:color="auto"/>
        </w:pBdr>
        <w:spacing w:line="259" w:lineRule="auto"/>
        <w:ind w:hanging="430"/>
        <w:rPr>
          <w:sz w:val="22"/>
          <w:szCs w:val="22"/>
        </w:rPr>
      </w:pPr>
      <w:r>
        <w:rPr>
          <w:rFonts w:ascii="Calibri" w:eastAsia="Calibri" w:hAnsi="Calibri" w:cs="Calibri"/>
          <w:sz w:val="22"/>
          <w:szCs w:val="22"/>
        </w:rPr>
        <w:t>On average, non-exempt employees took 21 days off last year.</w:t>
      </w:r>
    </w:p>
    <w:p w:rsidR="006D54D7" w:rsidRDefault="00D21D3F">
      <w:pPr>
        <w:numPr>
          <w:ilvl w:val="0"/>
          <w:numId w:val="7"/>
        </w:numPr>
        <w:pBdr>
          <w:left w:val="none" w:sz="0" w:space="7" w:color="auto"/>
        </w:pBdr>
        <w:spacing w:line="259" w:lineRule="auto"/>
        <w:ind w:hanging="430"/>
        <w:rPr>
          <w:sz w:val="22"/>
          <w:szCs w:val="22"/>
        </w:rPr>
      </w:pPr>
      <w:r>
        <w:rPr>
          <w:rFonts w:ascii="Calibri" w:eastAsia="Calibri" w:hAnsi="Calibri" w:cs="Calibri"/>
          <w:sz w:val="22"/>
          <w:szCs w:val="22"/>
        </w:rPr>
        <w:t>On average, part-time employees took 11 days off last year.</w:t>
      </w:r>
    </w:p>
    <w:p w:rsidR="006D54D7" w:rsidRDefault="00D21D3F">
      <w:pPr>
        <w:numPr>
          <w:ilvl w:val="0"/>
          <w:numId w:val="7"/>
        </w:numPr>
        <w:pBdr>
          <w:left w:val="none" w:sz="0" w:space="7" w:color="auto"/>
        </w:pBdr>
        <w:spacing w:after="160" w:line="259" w:lineRule="auto"/>
        <w:ind w:hanging="430"/>
        <w:rPr>
          <w:sz w:val="22"/>
          <w:szCs w:val="22"/>
        </w:rPr>
      </w:pPr>
      <w:r>
        <w:rPr>
          <w:rFonts w:ascii="Calibri" w:eastAsia="Calibri" w:hAnsi="Calibri" w:cs="Calibri"/>
          <w:sz w:val="22"/>
          <w:szCs w:val="22"/>
        </w:rPr>
        <w:t>Three companies report having unlimited paid days off policies for exempt em</w:t>
      </w:r>
      <w:r>
        <w:rPr>
          <w:rFonts w:ascii="Calibri" w:eastAsia="Calibri" w:hAnsi="Calibri" w:cs="Calibri"/>
          <w:sz w:val="22"/>
          <w:szCs w:val="22"/>
        </w:rPr>
        <w:t xml:space="preserve">ployees, none report this offering for non-exempt employees. </w:t>
      </w:r>
    </w:p>
    <w:p w:rsidR="006D54D7" w:rsidRDefault="00D21D3F">
      <w:pPr>
        <w:spacing w:after="160" w:line="259" w:lineRule="auto"/>
        <w:rPr>
          <w:sz w:val="22"/>
          <w:szCs w:val="22"/>
        </w:rPr>
      </w:pPr>
      <w:r>
        <w:rPr>
          <w:rFonts w:ascii="Calibri" w:eastAsia="Calibri" w:hAnsi="Calibri" w:cs="Calibri"/>
          <w:b/>
          <w:bCs/>
          <w:sz w:val="22"/>
          <w:szCs w:val="22"/>
        </w:rPr>
        <w:lastRenderedPageBreak/>
        <w:t>Accountability</w:t>
      </w:r>
    </w:p>
    <w:p w:rsidR="006D54D7" w:rsidRDefault="00D21D3F">
      <w:pPr>
        <w:numPr>
          <w:ilvl w:val="0"/>
          <w:numId w:val="8"/>
        </w:numPr>
        <w:pBdr>
          <w:left w:val="none" w:sz="0" w:space="7" w:color="auto"/>
        </w:pBdr>
        <w:spacing w:line="259" w:lineRule="auto"/>
        <w:ind w:hanging="430"/>
        <w:rPr>
          <w:sz w:val="22"/>
          <w:szCs w:val="22"/>
        </w:rPr>
      </w:pPr>
      <w:r>
        <w:rPr>
          <w:rFonts w:ascii="Calibri" w:eastAsia="Calibri" w:hAnsi="Calibri" w:cs="Calibri"/>
          <w:sz w:val="22"/>
          <w:szCs w:val="22"/>
        </w:rPr>
        <w:t xml:space="preserve">Nine companies report tracking and regularly reporting diversity statistics, primarily to executive and HR teams and the Board of Directors. </w:t>
      </w:r>
    </w:p>
    <w:p w:rsidR="006D54D7" w:rsidRDefault="00D21D3F">
      <w:pPr>
        <w:numPr>
          <w:ilvl w:val="1"/>
          <w:numId w:val="8"/>
        </w:numPr>
        <w:pBdr>
          <w:left w:val="none" w:sz="0" w:space="6" w:color="auto"/>
        </w:pBdr>
        <w:spacing w:line="259" w:lineRule="auto"/>
        <w:rPr>
          <w:sz w:val="22"/>
          <w:szCs w:val="22"/>
        </w:rPr>
      </w:pPr>
      <w:r>
        <w:rPr>
          <w:rFonts w:ascii="Calibri" w:eastAsia="Calibri" w:hAnsi="Calibri" w:cs="Calibri"/>
          <w:sz w:val="22"/>
          <w:szCs w:val="22"/>
        </w:rPr>
        <w:t>Two companies report developing annua</w:t>
      </w:r>
      <w:r>
        <w:rPr>
          <w:rFonts w:ascii="Calibri" w:eastAsia="Calibri" w:hAnsi="Calibri" w:cs="Calibri"/>
          <w:sz w:val="22"/>
          <w:szCs w:val="22"/>
        </w:rPr>
        <w:t>l D&amp;I focused reports for transparent reporting.</w:t>
      </w:r>
    </w:p>
    <w:p w:rsidR="006D54D7" w:rsidRDefault="00D21D3F">
      <w:pPr>
        <w:numPr>
          <w:ilvl w:val="0"/>
          <w:numId w:val="8"/>
        </w:numPr>
        <w:pBdr>
          <w:left w:val="none" w:sz="0" w:space="7" w:color="auto"/>
        </w:pBdr>
        <w:spacing w:line="259" w:lineRule="auto"/>
        <w:ind w:hanging="430"/>
        <w:rPr>
          <w:sz w:val="22"/>
          <w:szCs w:val="22"/>
        </w:rPr>
      </w:pPr>
      <w:r>
        <w:rPr>
          <w:rFonts w:ascii="Calibri" w:eastAsia="Calibri" w:hAnsi="Calibri" w:cs="Calibri"/>
          <w:sz w:val="22"/>
          <w:szCs w:val="22"/>
        </w:rPr>
        <w:t>Three companies report setting and communicating numerical diversity goals.</w:t>
      </w:r>
    </w:p>
    <w:p w:rsidR="006D54D7" w:rsidRDefault="00D21D3F">
      <w:pPr>
        <w:numPr>
          <w:ilvl w:val="0"/>
          <w:numId w:val="8"/>
        </w:numPr>
        <w:pBdr>
          <w:left w:val="none" w:sz="0" w:space="7" w:color="auto"/>
        </w:pBdr>
        <w:spacing w:line="259" w:lineRule="auto"/>
        <w:ind w:hanging="430"/>
        <w:rPr>
          <w:sz w:val="22"/>
          <w:szCs w:val="22"/>
        </w:rPr>
      </w:pPr>
      <w:r>
        <w:rPr>
          <w:rFonts w:ascii="Calibri" w:eastAsia="Calibri" w:hAnsi="Calibri" w:cs="Calibri"/>
          <w:sz w:val="22"/>
          <w:szCs w:val="22"/>
        </w:rPr>
        <w:t>Two companies report holding leaders accountable for driving diversity through performance evaluations, with no companies tying bon</w:t>
      </w:r>
      <w:r>
        <w:rPr>
          <w:rFonts w:ascii="Calibri" w:eastAsia="Calibri" w:hAnsi="Calibri" w:cs="Calibri"/>
          <w:sz w:val="22"/>
          <w:szCs w:val="22"/>
        </w:rPr>
        <w:t>us eligibility to D&amp;I goals.</w:t>
      </w:r>
    </w:p>
    <w:p w:rsidR="006D54D7" w:rsidRDefault="00D21D3F">
      <w:pPr>
        <w:numPr>
          <w:ilvl w:val="0"/>
          <w:numId w:val="8"/>
        </w:numPr>
        <w:pBdr>
          <w:left w:val="none" w:sz="0" w:space="7" w:color="auto"/>
        </w:pBdr>
        <w:spacing w:after="160" w:line="259" w:lineRule="auto"/>
        <w:ind w:hanging="430"/>
        <w:rPr>
          <w:sz w:val="22"/>
          <w:szCs w:val="22"/>
        </w:rPr>
      </w:pPr>
      <w:r>
        <w:rPr>
          <w:rFonts w:ascii="Calibri" w:eastAsia="Calibri" w:hAnsi="Calibri" w:cs="Calibri"/>
          <w:sz w:val="22"/>
          <w:szCs w:val="22"/>
        </w:rPr>
        <w:t>Seven companies report having a dedicated Office of Diversity &amp; Inclusion, in four companies the highest D&amp;I officer reports directly to the CEO or Chairman of the company.</w:t>
      </w:r>
    </w:p>
    <w:p w:rsidR="006D54D7" w:rsidRDefault="00D21D3F">
      <w:pPr>
        <w:spacing w:after="160" w:line="259" w:lineRule="auto"/>
        <w:rPr>
          <w:sz w:val="22"/>
          <w:szCs w:val="22"/>
        </w:rPr>
      </w:pPr>
      <w:r>
        <w:rPr>
          <w:rFonts w:ascii="Calibri" w:eastAsia="Calibri" w:hAnsi="Calibri" w:cs="Calibri"/>
          <w:b/>
          <w:bCs/>
          <w:sz w:val="22"/>
          <w:szCs w:val="22"/>
        </w:rPr>
        <w:t>Recommendations</w:t>
      </w:r>
    </w:p>
    <w:p w:rsidR="006D54D7" w:rsidRDefault="00D21D3F">
      <w:pPr>
        <w:spacing w:after="160" w:line="259" w:lineRule="auto"/>
        <w:rPr>
          <w:sz w:val="22"/>
          <w:szCs w:val="22"/>
        </w:rPr>
      </w:pPr>
      <w:r>
        <w:rPr>
          <w:rFonts w:ascii="Calibri" w:eastAsia="Calibri" w:hAnsi="Calibri" w:cs="Calibri"/>
          <w:sz w:val="22"/>
          <w:szCs w:val="22"/>
        </w:rPr>
        <w:t>Based on these results, we found three</w:t>
      </w:r>
      <w:r>
        <w:rPr>
          <w:rFonts w:ascii="Calibri" w:eastAsia="Calibri" w:hAnsi="Calibri" w:cs="Calibri"/>
          <w:sz w:val="22"/>
          <w:szCs w:val="22"/>
        </w:rPr>
        <w:t xml:space="preserve"> critical areas of opportunity.</w:t>
      </w:r>
    </w:p>
    <w:p w:rsidR="006D54D7" w:rsidRDefault="00D21D3F">
      <w:pPr>
        <w:numPr>
          <w:ilvl w:val="0"/>
          <w:numId w:val="9"/>
        </w:numPr>
        <w:pBdr>
          <w:left w:val="none" w:sz="0" w:space="4" w:color="auto"/>
        </w:pBdr>
        <w:spacing w:line="259" w:lineRule="auto"/>
        <w:ind w:hanging="358"/>
        <w:rPr>
          <w:rFonts w:ascii="Calibri" w:eastAsia="Calibri" w:hAnsi="Calibri" w:cs="Calibri"/>
          <w:sz w:val="22"/>
          <w:szCs w:val="22"/>
        </w:rPr>
      </w:pPr>
      <w:r>
        <w:rPr>
          <w:rFonts w:ascii="Calibri" w:eastAsia="Calibri" w:hAnsi="Calibri" w:cs="Calibri"/>
          <w:sz w:val="22"/>
          <w:szCs w:val="22"/>
        </w:rPr>
        <w:t>Tracking and reporting – To drive results, you have to know where you currently stand. Many member companies reported they do not track demographic information beyond basic gender data. Member companies would benefit greatly</w:t>
      </w:r>
      <w:r>
        <w:rPr>
          <w:rFonts w:ascii="Calibri" w:eastAsia="Calibri" w:hAnsi="Calibri" w:cs="Calibri"/>
          <w:sz w:val="22"/>
          <w:szCs w:val="22"/>
        </w:rPr>
        <w:t xml:space="preserve"> from routine tracking of hiring and career progression for women, specifically women of color. Having a firm grasp of the volume of women moving through the talent pipeline and leadership development programs will help companies understand where internal </w:t>
      </w:r>
      <w:r>
        <w:rPr>
          <w:rFonts w:ascii="Calibri" w:eastAsia="Calibri" w:hAnsi="Calibri" w:cs="Calibri"/>
          <w:sz w:val="22"/>
          <w:szCs w:val="22"/>
        </w:rPr>
        <w:t>pain points may exist.</w:t>
      </w:r>
    </w:p>
    <w:p w:rsidR="006D54D7" w:rsidRDefault="00D21D3F">
      <w:pPr>
        <w:numPr>
          <w:ilvl w:val="0"/>
          <w:numId w:val="9"/>
        </w:numPr>
        <w:pBdr>
          <w:left w:val="none" w:sz="0" w:space="4" w:color="auto"/>
        </w:pBdr>
        <w:spacing w:line="259" w:lineRule="auto"/>
        <w:ind w:hanging="358"/>
        <w:rPr>
          <w:rFonts w:ascii="Calibri" w:eastAsia="Calibri" w:hAnsi="Calibri" w:cs="Calibri"/>
          <w:sz w:val="22"/>
          <w:szCs w:val="22"/>
        </w:rPr>
      </w:pPr>
      <w:r>
        <w:rPr>
          <w:rFonts w:ascii="Calibri" w:eastAsia="Calibri" w:hAnsi="Calibri" w:cs="Calibri"/>
          <w:sz w:val="22"/>
          <w:szCs w:val="22"/>
        </w:rPr>
        <w:t>Addressing bias in recruiting –</w:t>
      </w:r>
      <w:r>
        <w:rPr>
          <w:rFonts w:ascii="Calibri" w:eastAsia="Calibri" w:hAnsi="Calibri" w:cs="Calibri"/>
          <w:sz w:val="22"/>
          <w:szCs w:val="22"/>
        </w:rPr>
        <w:t xml:space="preserve"> Although most companies reported requiring bias training for recruiters, very few report consistent practices or policies that mitigate bias in the process of recruiting or hiring. Requiring diverse interviewing panels and diverse candidate slates (divers</w:t>
      </w:r>
      <w:r>
        <w:rPr>
          <w:rFonts w:ascii="Calibri" w:eastAsia="Calibri" w:hAnsi="Calibri" w:cs="Calibri"/>
          <w:sz w:val="22"/>
          <w:szCs w:val="22"/>
        </w:rPr>
        <w:t xml:space="preserve">e = at least two women </w:t>
      </w:r>
      <w:r>
        <w:rPr>
          <w:rFonts w:ascii="Calibri" w:eastAsia="Calibri" w:hAnsi="Calibri" w:cs="Calibri"/>
          <w:sz w:val="22"/>
          <w:szCs w:val="22"/>
          <w:u w:val="single"/>
        </w:rPr>
        <w:t>and</w:t>
      </w:r>
      <w:r>
        <w:rPr>
          <w:rFonts w:ascii="Calibri" w:eastAsia="Calibri" w:hAnsi="Calibri" w:cs="Calibri"/>
          <w:sz w:val="22"/>
          <w:szCs w:val="22"/>
        </w:rPr>
        <w:t xml:space="preserve"> people of color), has been proven to improve the odds of hiring women - specifically women of color - as much as 70%, while ensuring the best talent is being selected for each role with minimal potential for bias to creep into de</w:t>
      </w:r>
      <w:r>
        <w:rPr>
          <w:rFonts w:ascii="Calibri" w:eastAsia="Calibri" w:hAnsi="Calibri" w:cs="Calibri"/>
          <w:sz w:val="22"/>
          <w:szCs w:val="22"/>
        </w:rPr>
        <w:t xml:space="preserve">cision-making. </w:t>
      </w:r>
    </w:p>
    <w:p w:rsidR="006D54D7" w:rsidRDefault="00D21D3F">
      <w:pPr>
        <w:numPr>
          <w:ilvl w:val="0"/>
          <w:numId w:val="9"/>
        </w:numPr>
        <w:pBdr>
          <w:left w:val="none" w:sz="0" w:space="4" w:color="auto"/>
        </w:pBdr>
        <w:spacing w:line="259" w:lineRule="auto"/>
        <w:ind w:hanging="358"/>
        <w:rPr>
          <w:rFonts w:ascii="Calibri" w:eastAsia="Calibri" w:hAnsi="Calibri" w:cs="Calibri"/>
          <w:sz w:val="22"/>
          <w:szCs w:val="22"/>
        </w:rPr>
      </w:pPr>
      <w:r>
        <w:rPr>
          <w:rFonts w:ascii="Calibri" w:eastAsia="Calibri" w:hAnsi="Calibri" w:cs="Calibri"/>
          <w:sz w:val="22"/>
          <w:szCs w:val="22"/>
        </w:rPr>
        <w:t>Developing the existing pipeline of internal talent - Aligned with national trends, member company demographics show overall gender balance, with a higher distribution of women at lower levels of the organization that diminishes as responsi</w:t>
      </w:r>
      <w:r>
        <w:rPr>
          <w:rFonts w:ascii="Calibri" w:eastAsia="Calibri" w:hAnsi="Calibri" w:cs="Calibri"/>
          <w:sz w:val="22"/>
          <w:szCs w:val="22"/>
        </w:rPr>
        <w:t>bility and pay increase. The numbers tell us that the pipeline of female talent exists within organizations, and by focusing on removing the following potential barriers a more equitable distribution of female talent could be within reach for many organiza</w:t>
      </w:r>
      <w:r>
        <w:rPr>
          <w:rFonts w:ascii="Calibri" w:eastAsia="Calibri" w:hAnsi="Calibri" w:cs="Calibri"/>
          <w:sz w:val="22"/>
          <w:szCs w:val="22"/>
        </w:rPr>
        <w:t>tions:</w:t>
      </w:r>
    </w:p>
    <w:p w:rsidR="006D54D7" w:rsidRDefault="00D21D3F">
      <w:pPr>
        <w:numPr>
          <w:ilvl w:val="1"/>
          <w:numId w:val="9"/>
        </w:numPr>
        <w:pBdr>
          <w:left w:val="none" w:sz="0" w:space="6" w:color="auto"/>
        </w:pBdr>
        <w:spacing w:line="259" w:lineRule="auto"/>
        <w:rPr>
          <w:sz w:val="22"/>
          <w:szCs w:val="22"/>
        </w:rPr>
      </w:pPr>
      <w:r>
        <w:rPr>
          <w:rFonts w:ascii="Calibri" w:eastAsia="Calibri" w:hAnsi="Calibri" w:cs="Calibri"/>
          <w:sz w:val="22"/>
          <w:szCs w:val="22"/>
        </w:rPr>
        <w:t>Focused attention on women’s advancement - Developing women through formal training, apprenticeship, mentorship, and sponsorship programs that focus on creating more visibility for women within the organization and making stronger connections with l</w:t>
      </w:r>
      <w:r>
        <w:rPr>
          <w:rFonts w:ascii="Calibri" w:eastAsia="Calibri" w:hAnsi="Calibri" w:cs="Calibri"/>
          <w:sz w:val="22"/>
          <w:szCs w:val="22"/>
        </w:rPr>
        <w:t>eadership.</w:t>
      </w:r>
    </w:p>
    <w:p w:rsidR="006D54D7" w:rsidRDefault="00D21D3F">
      <w:pPr>
        <w:numPr>
          <w:ilvl w:val="1"/>
          <w:numId w:val="9"/>
        </w:numPr>
        <w:pBdr>
          <w:left w:val="none" w:sz="0" w:space="6" w:color="auto"/>
        </w:pBdr>
        <w:spacing w:line="259" w:lineRule="auto"/>
        <w:rPr>
          <w:sz w:val="22"/>
          <w:szCs w:val="22"/>
        </w:rPr>
      </w:pPr>
      <w:r>
        <w:rPr>
          <w:rFonts w:ascii="Calibri" w:eastAsia="Calibri" w:hAnsi="Calibri" w:cs="Calibri"/>
          <w:sz w:val="22"/>
          <w:szCs w:val="22"/>
        </w:rPr>
        <w:t>Bias and Inclusion training for current leadership teams – almost 40% of AWIN organizations reporting do not require bias training for leaders. This leaves the door open for unconscious or implicit biases to impact decision-making, even among th</w:t>
      </w:r>
      <w:r>
        <w:rPr>
          <w:rFonts w:ascii="Calibri" w:eastAsia="Calibri" w:hAnsi="Calibri" w:cs="Calibri"/>
          <w:sz w:val="22"/>
          <w:szCs w:val="22"/>
        </w:rPr>
        <w:t>e best leaders.</w:t>
      </w:r>
    </w:p>
    <w:p w:rsidR="006D54D7" w:rsidRDefault="00D21D3F">
      <w:pPr>
        <w:numPr>
          <w:ilvl w:val="1"/>
          <w:numId w:val="9"/>
        </w:numPr>
        <w:pBdr>
          <w:left w:val="none" w:sz="0" w:space="6" w:color="auto"/>
        </w:pBdr>
        <w:spacing w:line="259" w:lineRule="auto"/>
        <w:rPr>
          <w:sz w:val="22"/>
          <w:szCs w:val="22"/>
        </w:rPr>
      </w:pPr>
      <w:r>
        <w:rPr>
          <w:rFonts w:ascii="Calibri" w:eastAsia="Calibri" w:hAnsi="Calibri" w:cs="Calibri"/>
          <w:sz w:val="22"/>
          <w:szCs w:val="22"/>
        </w:rPr>
        <w:lastRenderedPageBreak/>
        <w:t>Addressing work/life challenges that exist for women at higher rates than men. Research shows women remain the primary family caretakers despite the fact that 49% of working women are also their family’s breadwinner. Benefits and programs t</w:t>
      </w:r>
      <w:r>
        <w:rPr>
          <w:rFonts w:ascii="Calibri" w:eastAsia="Calibri" w:hAnsi="Calibri" w:cs="Calibri"/>
          <w:sz w:val="22"/>
          <w:szCs w:val="22"/>
        </w:rPr>
        <w:t>hat support women who are splitting time between career and caretaking obligations – such as flexible work schedules and arrangements, childcare support, and parental leave (which supports more gender balance in family caretaking) – level the playing field</w:t>
      </w:r>
      <w:r>
        <w:rPr>
          <w:rFonts w:ascii="Calibri" w:eastAsia="Calibri" w:hAnsi="Calibri" w:cs="Calibri"/>
          <w:sz w:val="22"/>
          <w:szCs w:val="22"/>
        </w:rPr>
        <w:t xml:space="preserve"> for women who are facing higher levels of responsibility for caretaking for children, adult children with special needs, and aging relatives. </w:t>
      </w:r>
    </w:p>
    <w:p w:rsidR="006D54D7" w:rsidRDefault="006D54D7">
      <w:pPr>
        <w:spacing w:after="160" w:line="259" w:lineRule="auto"/>
        <w:ind w:left="720"/>
        <w:rPr>
          <w:sz w:val="22"/>
          <w:szCs w:val="22"/>
        </w:rPr>
      </w:pPr>
    </w:p>
    <w:p w:rsidR="006D54D7" w:rsidRDefault="006D54D7">
      <w:pPr>
        <w:spacing w:after="160" w:line="259" w:lineRule="auto"/>
        <w:rPr>
          <w:sz w:val="22"/>
          <w:szCs w:val="22"/>
        </w:rPr>
      </w:pPr>
    </w:p>
    <w:p w:rsidR="006D54D7" w:rsidRDefault="006D54D7">
      <w:pPr>
        <w:spacing w:after="160" w:line="259" w:lineRule="auto"/>
        <w:rPr>
          <w:sz w:val="22"/>
          <w:szCs w:val="22"/>
        </w:rPr>
      </w:pPr>
    </w:p>
    <w:p w:rsidR="006D54D7" w:rsidRDefault="006D54D7">
      <w:pPr>
        <w:spacing w:after="160" w:line="259" w:lineRule="auto"/>
        <w:rPr>
          <w:sz w:val="22"/>
          <w:szCs w:val="22"/>
        </w:rPr>
      </w:pPr>
    </w:p>
    <w:p w:rsidR="006D54D7" w:rsidRDefault="006D54D7">
      <w:pPr>
        <w:spacing w:after="160" w:line="259" w:lineRule="auto"/>
        <w:rPr>
          <w:sz w:val="22"/>
          <w:szCs w:val="22"/>
        </w:rPr>
      </w:pPr>
    </w:p>
    <w:p w:rsidR="006D54D7" w:rsidRDefault="006D54D7">
      <w:pPr>
        <w:spacing w:after="160" w:line="259" w:lineRule="auto"/>
        <w:rPr>
          <w:sz w:val="22"/>
          <w:szCs w:val="22"/>
        </w:rPr>
      </w:pPr>
    </w:p>
    <w:sectPr w:rsidR="006D54D7">
      <w:headerReference w:type="default" r:id="rId7"/>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3F" w:rsidRDefault="00D21D3F">
      <w:r>
        <w:separator/>
      </w:r>
    </w:p>
  </w:endnote>
  <w:endnote w:type="continuationSeparator" w:id="0">
    <w:p w:rsidR="00D21D3F" w:rsidRDefault="00D2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D7" w:rsidRDefault="00D21D3F">
    <w:pPr>
      <w:jc w:val="center"/>
      <w:rPr>
        <w:sz w:val="28"/>
        <w:szCs w:val="28"/>
      </w:rPr>
    </w:pPr>
    <w:r>
      <w:rPr>
        <w:noProof/>
        <w:sz w:val="28"/>
        <w:szCs w:val="28"/>
      </w:rPr>
      <w:drawing>
        <wp:anchor distT="0" distB="0" distL="114300" distR="114300" simplePos="0" relativeHeight="251659264" behindDoc="1" locked="0" layoutInCell="1" allowOverlap="1">
          <wp:simplePos x="0" y="0"/>
          <wp:positionH relativeFrom="page">
            <wp:posOffset>0</wp:posOffset>
          </wp:positionH>
          <wp:positionV relativeFrom="page">
            <wp:posOffset>9594215</wp:posOffset>
          </wp:positionV>
          <wp:extent cx="7772400" cy="285750"/>
          <wp:effectExtent l="0" t="0" r="0" b="0"/>
          <wp:wrapNone/>
          <wp:docPr id="100005" name="Picture 100005" descr="{&quot;HashCode&quot;:1204982525,&quot;Height&quot;:792.0,&quot;Width&quot;:612.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1"/>
                  <a:stretch>
                    <a:fillRect/>
                  </a:stretch>
                </pic:blipFill>
                <pic:spPr>
                  <a:xfrm>
                    <a:off x="0" y="0"/>
                    <a:ext cx="7772400" cy="285750"/>
                  </a:xfrm>
                  <a:prstGeom prst="rect">
                    <a:avLst/>
                  </a:prstGeom>
                </pic:spPr>
              </pic:pic>
            </a:graphicData>
          </a:graphic>
        </wp:anchor>
      </w:drawing>
    </w:r>
    <w:r>
      <w:rPr>
        <w:rFonts w:ascii="Calibri" w:eastAsia="Calibri" w:hAnsi="Calibri" w:cs="Calibri"/>
        <w:b/>
        <w:bCs/>
        <w:color w:val="184A90"/>
        <w:sz w:val="28"/>
        <w:szCs w:val="28"/>
      </w:rPr>
      <w:t>www.advancingwomeninnashville.com</w:t>
    </w:r>
  </w:p>
  <w:p w:rsidR="006D54D7" w:rsidRDefault="006D54D7">
    <w:pP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3F" w:rsidRDefault="00D21D3F">
      <w:r>
        <w:separator/>
      </w:r>
    </w:p>
  </w:footnote>
  <w:footnote w:type="continuationSeparator" w:id="0">
    <w:p w:rsidR="00D21D3F" w:rsidRDefault="00D2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D7" w:rsidRDefault="006D54D7">
    <w:pPr>
      <w:jc w:val="right"/>
      <w:rPr>
        <w:sz w:val="22"/>
        <w:szCs w:val="22"/>
      </w:rPr>
    </w:pPr>
  </w:p>
  <w:p w:rsidR="006D54D7" w:rsidRDefault="00D21D3F">
    <w:pPr>
      <w:jc w:val="right"/>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-581025</wp:posOffset>
          </wp:positionH>
          <wp:positionV relativeFrom="paragraph">
            <wp:posOffset>-17145</wp:posOffset>
          </wp:positionV>
          <wp:extent cx="7134225" cy="942975"/>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7134225" cy="942975"/>
                  </a:xfrm>
                  <a:prstGeom prst="rect">
                    <a:avLst/>
                  </a:prstGeom>
                </pic:spPr>
              </pic:pic>
            </a:graphicData>
          </a:graphic>
        </wp:anchor>
      </w:drawing>
    </w:r>
    <w:r>
      <w:rPr>
        <w:rFonts w:ascii="Calibri" w:eastAsia="Calibri" w:hAnsi="Calibri" w:cs="Calibri"/>
        <w:sz w:val="22"/>
        <w:szCs w:val="22"/>
      </w:rPr>
      <w:t xml:space="preserve">    </w:t>
    </w:r>
    <w:r>
      <w:rPr>
        <w:noProof/>
        <w:sz w:val="22"/>
        <w:szCs w:val="22"/>
      </w:rPr>
      <w:drawing>
        <wp:inline distT="0" distB="0" distL="0" distR="0">
          <wp:extent cx="2476500" cy="809625"/>
          <wp:effectExtent l="0" t="0" r="0" b="0"/>
          <wp:docPr id="100003" name="Picture 10000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2"/>
                  <a:stretch>
                    <a:fillRect/>
                  </a:stretch>
                </pic:blipFill>
                <pic:spPr>
                  <a:xfrm>
                    <a:off x="0" y="0"/>
                    <a:ext cx="2476500" cy="809625"/>
                  </a:xfrm>
                  <a:prstGeom prst="rect">
                    <a:avLst/>
                  </a:prstGeom>
                </pic:spPr>
              </pic:pic>
            </a:graphicData>
          </a:graphic>
        </wp:inline>
      </w:drawing>
    </w:r>
  </w:p>
  <w:p w:rsidR="006D54D7" w:rsidRDefault="006D54D7">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14E6013A">
      <w:start w:val="1"/>
      <w:numFmt w:val="bullet"/>
      <w:lvlText w:val=""/>
      <w:lvlJc w:val="left"/>
      <w:pPr>
        <w:ind w:left="720" w:hanging="360"/>
      </w:pPr>
      <w:rPr>
        <w:rFonts w:ascii="Symbol" w:hAnsi="Symbol"/>
        <w:b w:val="0"/>
        <w:bCs w:val="0"/>
      </w:rPr>
    </w:lvl>
    <w:lvl w:ilvl="1" w:tplc="4CF85C90">
      <w:start w:val="1"/>
      <w:numFmt w:val="bullet"/>
      <w:lvlText w:val="o"/>
      <w:lvlJc w:val="left"/>
      <w:pPr>
        <w:tabs>
          <w:tab w:val="num" w:pos="1440"/>
        </w:tabs>
        <w:ind w:left="1440" w:hanging="360"/>
      </w:pPr>
      <w:rPr>
        <w:rFonts w:ascii="Courier New" w:hAnsi="Courier New"/>
      </w:rPr>
    </w:lvl>
    <w:lvl w:ilvl="2" w:tplc="9DECD0C6">
      <w:start w:val="1"/>
      <w:numFmt w:val="bullet"/>
      <w:lvlText w:val=""/>
      <w:lvlJc w:val="left"/>
      <w:pPr>
        <w:tabs>
          <w:tab w:val="num" w:pos="2160"/>
        </w:tabs>
        <w:ind w:left="2160" w:hanging="360"/>
      </w:pPr>
      <w:rPr>
        <w:rFonts w:ascii="Wingdings" w:hAnsi="Wingdings"/>
      </w:rPr>
    </w:lvl>
    <w:lvl w:ilvl="3" w:tplc="CBC86008">
      <w:start w:val="1"/>
      <w:numFmt w:val="bullet"/>
      <w:lvlText w:val=""/>
      <w:lvlJc w:val="left"/>
      <w:pPr>
        <w:tabs>
          <w:tab w:val="num" w:pos="2880"/>
        </w:tabs>
        <w:ind w:left="2880" w:hanging="360"/>
      </w:pPr>
      <w:rPr>
        <w:rFonts w:ascii="Symbol" w:hAnsi="Symbol"/>
      </w:rPr>
    </w:lvl>
    <w:lvl w:ilvl="4" w:tplc="909409BC">
      <w:start w:val="1"/>
      <w:numFmt w:val="bullet"/>
      <w:lvlText w:val="o"/>
      <w:lvlJc w:val="left"/>
      <w:pPr>
        <w:tabs>
          <w:tab w:val="num" w:pos="3600"/>
        </w:tabs>
        <w:ind w:left="3600" w:hanging="360"/>
      </w:pPr>
      <w:rPr>
        <w:rFonts w:ascii="Courier New" w:hAnsi="Courier New"/>
      </w:rPr>
    </w:lvl>
    <w:lvl w:ilvl="5" w:tplc="DE1A0BCA">
      <w:start w:val="1"/>
      <w:numFmt w:val="bullet"/>
      <w:lvlText w:val=""/>
      <w:lvlJc w:val="left"/>
      <w:pPr>
        <w:tabs>
          <w:tab w:val="num" w:pos="4320"/>
        </w:tabs>
        <w:ind w:left="4320" w:hanging="360"/>
      </w:pPr>
      <w:rPr>
        <w:rFonts w:ascii="Wingdings" w:hAnsi="Wingdings"/>
      </w:rPr>
    </w:lvl>
    <w:lvl w:ilvl="6" w:tplc="85E06326">
      <w:start w:val="1"/>
      <w:numFmt w:val="bullet"/>
      <w:lvlText w:val=""/>
      <w:lvlJc w:val="left"/>
      <w:pPr>
        <w:tabs>
          <w:tab w:val="num" w:pos="5040"/>
        </w:tabs>
        <w:ind w:left="5040" w:hanging="360"/>
      </w:pPr>
      <w:rPr>
        <w:rFonts w:ascii="Symbol" w:hAnsi="Symbol"/>
      </w:rPr>
    </w:lvl>
    <w:lvl w:ilvl="7" w:tplc="13389474">
      <w:start w:val="1"/>
      <w:numFmt w:val="bullet"/>
      <w:lvlText w:val="o"/>
      <w:lvlJc w:val="left"/>
      <w:pPr>
        <w:tabs>
          <w:tab w:val="num" w:pos="5760"/>
        </w:tabs>
        <w:ind w:left="5760" w:hanging="360"/>
      </w:pPr>
      <w:rPr>
        <w:rFonts w:ascii="Courier New" w:hAnsi="Courier New"/>
      </w:rPr>
    </w:lvl>
    <w:lvl w:ilvl="8" w:tplc="A2DC6BF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1A07556">
      <w:start w:val="1"/>
      <w:numFmt w:val="bullet"/>
      <w:lvlText w:val=""/>
      <w:lvlJc w:val="left"/>
      <w:pPr>
        <w:ind w:left="720" w:hanging="360"/>
      </w:pPr>
      <w:rPr>
        <w:rFonts w:ascii="Symbol" w:hAnsi="Symbol"/>
        <w:b w:val="0"/>
        <w:bCs w:val="0"/>
      </w:rPr>
    </w:lvl>
    <w:lvl w:ilvl="1" w:tplc="C6E6FF48">
      <w:start w:val="1"/>
      <w:numFmt w:val="bullet"/>
      <w:lvlText w:val="o"/>
      <w:lvlJc w:val="left"/>
      <w:pPr>
        <w:ind w:left="1440" w:hanging="360"/>
      </w:pPr>
      <w:rPr>
        <w:rFonts w:ascii="Courier New" w:hAnsi="Courier New"/>
        <w:b w:val="0"/>
        <w:bCs w:val="0"/>
      </w:rPr>
    </w:lvl>
    <w:lvl w:ilvl="2" w:tplc="2B12D772">
      <w:start w:val="1"/>
      <w:numFmt w:val="bullet"/>
      <w:lvlText w:val=""/>
      <w:lvlJc w:val="left"/>
      <w:pPr>
        <w:tabs>
          <w:tab w:val="num" w:pos="2160"/>
        </w:tabs>
        <w:ind w:left="2160" w:hanging="360"/>
      </w:pPr>
      <w:rPr>
        <w:rFonts w:ascii="Wingdings" w:hAnsi="Wingdings"/>
      </w:rPr>
    </w:lvl>
    <w:lvl w:ilvl="3" w:tplc="E26C0824">
      <w:start w:val="1"/>
      <w:numFmt w:val="bullet"/>
      <w:lvlText w:val=""/>
      <w:lvlJc w:val="left"/>
      <w:pPr>
        <w:tabs>
          <w:tab w:val="num" w:pos="2880"/>
        </w:tabs>
        <w:ind w:left="2880" w:hanging="360"/>
      </w:pPr>
      <w:rPr>
        <w:rFonts w:ascii="Symbol" w:hAnsi="Symbol"/>
      </w:rPr>
    </w:lvl>
    <w:lvl w:ilvl="4" w:tplc="C650A37E">
      <w:start w:val="1"/>
      <w:numFmt w:val="bullet"/>
      <w:lvlText w:val="o"/>
      <w:lvlJc w:val="left"/>
      <w:pPr>
        <w:tabs>
          <w:tab w:val="num" w:pos="3600"/>
        </w:tabs>
        <w:ind w:left="3600" w:hanging="360"/>
      </w:pPr>
      <w:rPr>
        <w:rFonts w:ascii="Courier New" w:hAnsi="Courier New"/>
      </w:rPr>
    </w:lvl>
    <w:lvl w:ilvl="5" w:tplc="AB2E8EC6">
      <w:start w:val="1"/>
      <w:numFmt w:val="bullet"/>
      <w:lvlText w:val=""/>
      <w:lvlJc w:val="left"/>
      <w:pPr>
        <w:tabs>
          <w:tab w:val="num" w:pos="4320"/>
        </w:tabs>
        <w:ind w:left="4320" w:hanging="360"/>
      </w:pPr>
      <w:rPr>
        <w:rFonts w:ascii="Wingdings" w:hAnsi="Wingdings"/>
      </w:rPr>
    </w:lvl>
    <w:lvl w:ilvl="6" w:tplc="B6B26A90">
      <w:start w:val="1"/>
      <w:numFmt w:val="bullet"/>
      <w:lvlText w:val=""/>
      <w:lvlJc w:val="left"/>
      <w:pPr>
        <w:tabs>
          <w:tab w:val="num" w:pos="5040"/>
        </w:tabs>
        <w:ind w:left="5040" w:hanging="360"/>
      </w:pPr>
      <w:rPr>
        <w:rFonts w:ascii="Symbol" w:hAnsi="Symbol"/>
      </w:rPr>
    </w:lvl>
    <w:lvl w:ilvl="7" w:tplc="74A45968">
      <w:start w:val="1"/>
      <w:numFmt w:val="bullet"/>
      <w:lvlText w:val="o"/>
      <w:lvlJc w:val="left"/>
      <w:pPr>
        <w:tabs>
          <w:tab w:val="num" w:pos="5760"/>
        </w:tabs>
        <w:ind w:left="5760" w:hanging="360"/>
      </w:pPr>
      <w:rPr>
        <w:rFonts w:ascii="Courier New" w:hAnsi="Courier New"/>
      </w:rPr>
    </w:lvl>
    <w:lvl w:ilvl="8" w:tplc="83CE200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4E681FE">
      <w:start w:val="1"/>
      <w:numFmt w:val="bullet"/>
      <w:lvlText w:val=""/>
      <w:lvlJc w:val="left"/>
      <w:pPr>
        <w:ind w:left="720" w:hanging="360"/>
      </w:pPr>
      <w:rPr>
        <w:rFonts w:ascii="Symbol" w:hAnsi="Symbol"/>
        <w:b w:val="0"/>
        <w:bCs w:val="0"/>
      </w:rPr>
    </w:lvl>
    <w:lvl w:ilvl="1" w:tplc="8A2C3198">
      <w:start w:val="1"/>
      <w:numFmt w:val="bullet"/>
      <w:lvlText w:val="o"/>
      <w:lvlJc w:val="left"/>
      <w:pPr>
        <w:ind w:left="1440" w:hanging="360"/>
      </w:pPr>
      <w:rPr>
        <w:rFonts w:ascii="Courier New" w:hAnsi="Courier New"/>
        <w:b w:val="0"/>
        <w:bCs w:val="0"/>
      </w:rPr>
    </w:lvl>
    <w:lvl w:ilvl="2" w:tplc="034E35D6">
      <w:start w:val="1"/>
      <w:numFmt w:val="bullet"/>
      <w:lvlText w:val=""/>
      <w:lvlJc w:val="left"/>
      <w:pPr>
        <w:tabs>
          <w:tab w:val="num" w:pos="2160"/>
        </w:tabs>
        <w:ind w:left="2160" w:hanging="360"/>
      </w:pPr>
      <w:rPr>
        <w:rFonts w:ascii="Wingdings" w:hAnsi="Wingdings"/>
      </w:rPr>
    </w:lvl>
    <w:lvl w:ilvl="3" w:tplc="D082C118">
      <w:start w:val="1"/>
      <w:numFmt w:val="bullet"/>
      <w:lvlText w:val=""/>
      <w:lvlJc w:val="left"/>
      <w:pPr>
        <w:tabs>
          <w:tab w:val="num" w:pos="2880"/>
        </w:tabs>
        <w:ind w:left="2880" w:hanging="360"/>
      </w:pPr>
      <w:rPr>
        <w:rFonts w:ascii="Symbol" w:hAnsi="Symbol"/>
      </w:rPr>
    </w:lvl>
    <w:lvl w:ilvl="4" w:tplc="36E43368">
      <w:start w:val="1"/>
      <w:numFmt w:val="bullet"/>
      <w:lvlText w:val="o"/>
      <w:lvlJc w:val="left"/>
      <w:pPr>
        <w:tabs>
          <w:tab w:val="num" w:pos="3600"/>
        </w:tabs>
        <w:ind w:left="3600" w:hanging="360"/>
      </w:pPr>
      <w:rPr>
        <w:rFonts w:ascii="Courier New" w:hAnsi="Courier New"/>
      </w:rPr>
    </w:lvl>
    <w:lvl w:ilvl="5" w:tplc="76D06966">
      <w:start w:val="1"/>
      <w:numFmt w:val="bullet"/>
      <w:lvlText w:val=""/>
      <w:lvlJc w:val="left"/>
      <w:pPr>
        <w:tabs>
          <w:tab w:val="num" w:pos="4320"/>
        </w:tabs>
        <w:ind w:left="4320" w:hanging="360"/>
      </w:pPr>
      <w:rPr>
        <w:rFonts w:ascii="Wingdings" w:hAnsi="Wingdings"/>
      </w:rPr>
    </w:lvl>
    <w:lvl w:ilvl="6" w:tplc="D996DD58">
      <w:start w:val="1"/>
      <w:numFmt w:val="bullet"/>
      <w:lvlText w:val=""/>
      <w:lvlJc w:val="left"/>
      <w:pPr>
        <w:tabs>
          <w:tab w:val="num" w:pos="5040"/>
        </w:tabs>
        <w:ind w:left="5040" w:hanging="360"/>
      </w:pPr>
      <w:rPr>
        <w:rFonts w:ascii="Symbol" w:hAnsi="Symbol"/>
      </w:rPr>
    </w:lvl>
    <w:lvl w:ilvl="7" w:tplc="09BCEFD4">
      <w:start w:val="1"/>
      <w:numFmt w:val="bullet"/>
      <w:lvlText w:val="o"/>
      <w:lvlJc w:val="left"/>
      <w:pPr>
        <w:tabs>
          <w:tab w:val="num" w:pos="5760"/>
        </w:tabs>
        <w:ind w:left="5760" w:hanging="360"/>
      </w:pPr>
      <w:rPr>
        <w:rFonts w:ascii="Courier New" w:hAnsi="Courier New"/>
      </w:rPr>
    </w:lvl>
    <w:lvl w:ilvl="8" w:tplc="1F4ACFF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C70013E">
      <w:start w:val="1"/>
      <w:numFmt w:val="bullet"/>
      <w:lvlText w:val=""/>
      <w:lvlJc w:val="left"/>
      <w:pPr>
        <w:ind w:left="720" w:hanging="360"/>
      </w:pPr>
      <w:rPr>
        <w:rFonts w:ascii="Symbol" w:hAnsi="Symbol"/>
        <w:b w:val="0"/>
        <w:bCs w:val="0"/>
      </w:rPr>
    </w:lvl>
    <w:lvl w:ilvl="1" w:tplc="EDE06364">
      <w:start w:val="1"/>
      <w:numFmt w:val="bullet"/>
      <w:lvlText w:val="o"/>
      <w:lvlJc w:val="left"/>
      <w:pPr>
        <w:ind w:left="1440" w:hanging="360"/>
      </w:pPr>
      <w:rPr>
        <w:rFonts w:ascii="Courier New" w:hAnsi="Courier New"/>
        <w:b w:val="0"/>
        <w:bCs w:val="0"/>
      </w:rPr>
    </w:lvl>
    <w:lvl w:ilvl="2" w:tplc="7DA00382">
      <w:start w:val="1"/>
      <w:numFmt w:val="bullet"/>
      <w:lvlText w:val=""/>
      <w:lvlJc w:val="left"/>
      <w:pPr>
        <w:tabs>
          <w:tab w:val="num" w:pos="2160"/>
        </w:tabs>
        <w:ind w:left="2160" w:hanging="360"/>
      </w:pPr>
      <w:rPr>
        <w:rFonts w:ascii="Wingdings" w:hAnsi="Wingdings"/>
      </w:rPr>
    </w:lvl>
    <w:lvl w:ilvl="3" w:tplc="D566537E">
      <w:start w:val="1"/>
      <w:numFmt w:val="bullet"/>
      <w:lvlText w:val=""/>
      <w:lvlJc w:val="left"/>
      <w:pPr>
        <w:tabs>
          <w:tab w:val="num" w:pos="2880"/>
        </w:tabs>
        <w:ind w:left="2880" w:hanging="360"/>
      </w:pPr>
      <w:rPr>
        <w:rFonts w:ascii="Symbol" w:hAnsi="Symbol"/>
      </w:rPr>
    </w:lvl>
    <w:lvl w:ilvl="4" w:tplc="9940BC8C">
      <w:start w:val="1"/>
      <w:numFmt w:val="bullet"/>
      <w:lvlText w:val="o"/>
      <w:lvlJc w:val="left"/>
      <w:pPr>
        <w:tabs>
          <w:tab w:val="num" w:pos="3600"/>
        </w:tabs>
        <w:ind w:left="3600" w:hanging="360"/>
      </w:pPr>
      <w:rPr>
        <w:rFonts w:ascii="Courier New" w:hAnsi="Courier New"/>
      </w:rPr>
    </w:lvl>
    <w:lvl w:ilvl="5" w:tplc="E7F8D852">
      <w:start w:val="1"/>
      <w:numFmt w:val="bullet"/>
      <w:lvlText w:val=""/>
      <w:lvlJc w:val="left"/>
      <w:pPr>
        <w:tabs>
          <w:tab w:val="num" w:pos="4320"/>
        </w:tabs>
        <w:ind w:left="4320" w:hanging="360"/>
      </w:pPr>
      <w:rPr>
        <w:rFonts w:ascii="Wingdings" w:hAnsi="Wingdings"/>
      </w:rPr>
    </w:lvl>
    <w:lvl w:ilvl="6" w:tplc="5FDCF5AC">
      <w:start w:val="1"/>
      <w:numFmt w:val="bullet"/>
      <w:lvlText w:val=""/>
      <w:lvlJc w:val="left"/>
      <w:pPr>
        <w:tabs>
          <w:tab w:val="num" w:pos="5040"/>
        </w:tabs>
        <w:ind w:left="5040" w:hanging="360"/>
      </w:pPr>
      <w:rPr>
        <w:rFonts w:ascii="Symbol" w:hAnsi="Symbol"/>
      </w:rPr>
    </w:lvl>
    <w:lvl w:ilvl="7" w:tplc="4C14F9BC">
      <w:start w:val="1"/>
      <w:numFmt w:val="bullet"/>
      <w:lvlText w:val="o"/>
      <w:lvlJc w:val="left"/>
      <w:pPr>
        <w:tabs>
          <w:tab w:val="num" w:pos="5760"/>
        </w:tabs>
        <w:ind w:left="5760" w:hanging="360"/>
      </w:pPr>
      <w:rPr>
        <w:rFonts w:ascii="Courier New" w:hAnsi="Courier New"/>
      </w:rPr>
    </w:lvl>
    <w:lvl w:ilvl="8" w:tplc="37B4626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AC502E9A">
      <w:start w:val="1"/>
      <w:numFmt w:val="bullet"/>
      <w:lvlText w:val=""/>
      <w:lvlJc w:val="left"/>
      <w:pPr>
        <w:ind w:left="720" w:hanging="360"/>
      </w:pPr>
      <w:rPr>
        <w:rFonts w:ascii="Symbol" w:hAnsi="Symbol"/>
        <w:b w:val="0"/>
        <w:bCs w:val="0"/>
      </w:rPr>
    </w:lvl>
    <w:lvl w:ilvl="1" w:tplc="354882D2">
      <w:start w:val="1"/>
      <w:numFmt w:val="bullet"/>
      <w:lvlText w:val="o"/>
      <w:lvlJc w:val="left"/>
      <w:pPr>
        <w:ind w:left="1440" w:hanging="360"/>
      </w:pPr>
      <w:rPr>
        <w:rFonts w:ascii="Courier New" w:hAnsi="Courier New"/>
        <w:b w:val="0"/>
        <w:bCs w:val="0"/>
      </w:rPr>
    </w:lvl>
    <w:lvl w:ilvl="2" w:tplc="44E69000">
      <w:start w:val="1"/>
      <w:numFmt w:val="bullet"/>
      <w:lvlText w:val=""/>
      <w:lvlJc w:val="left"/>
      <w:pPr>
        <w:tabs>
          <w:tab w:val="num" w:pos="2160"/>
        </w:tabs>
        <w:ind w:left="2160" w:hanging="360"/>
      </w:pPr>
      <w:rPr>
        <w:rFonts w:ascii="Wingdings" w:hAnsi="Wingdings"/>
      </w:rPr>
    </w:lvl>
    <w:lvl w:ilvl="3" w:tplc="C4381A1A">
      <w:start w:val="1"/>
      <w:numFmt w:val="bullet"/>
      <w:lvlText w:val=""/>
      <w:lvlJc w:val="left"/>
      <w:pPr>
        <w:tabs>
          <w:tab w:val="num" w:pos="2880"/>
        </w:tabs>
        <w:ind w:left="2880" w:hanging="360"/>
      </w:pPr>
      <w:rPr>
        <w:rFonts w:ascii="Symbol" w:hAnsi="Symbol"/>
      </w:rPr>
    </w:lvl>
    <w:lvl w:ilvl="4" w:tplc="DBF4C3DA">
      <w:start w:val="1"/>
      <w:numFmt w:val="bullet"/>
      <w:lvlText w:val="o"/>
      <w:lvlJc w:val="left"/>
      <w:pPr>
        <w:tabs>
          <w:tab w:val="num" w:pos="3600"/>
        </w:tabs>
        <w:ind w:left="3600" w:hanging="360"/>
      </w:pPr>
      <w:rPr>
        <w:rFonts w:ascii="Courier New" w:hAnsi="Courier New"/>
      </w:rPr>
    </w:lvl>
    <w:lvl w:ilvl="5" w:tplc="1BC84FFC">
      <w:start w:val="1"/>
      <w:numFmt w:val="bullet"/>
      <w:lvlText w:val=""/>
      <w:lvlJc w:val="left"/>
      <w:pPr>
        <w:tabs>
          <w:tab w:val="num" w:pos="4320"/>
        </w:tabs>
        <w:ind w:left="4320" w:hanging="360"/>
      </w:pPr>
      <w:rPr>
        <w:rFonts w:ascii="Wingdings" w:hAnsi="Wingdings"/>
      </w:rPr>
    </w:lvl>
    <w:lvl w:ilvl="6" w:tplc="F4A87B86">
      <w:start w:val="1"/>
      <w:numFmt w:val="bullet"/>
      <w:lvlText w:val=""/>
      <w:lvlJc w:val="left"/>
      <w:pPr>
        <w:tabs>
          <w:tab w:val="num" w:pos="5040"/>
        </w:tabs>
        <w:ind w:left="5040" w:hanging="360"/>
      </w:pPr>
      <w:rPr>
        <w:rFonts w:ascii="Symbol" w:hAnsi="Symbol"/>
      </w:rPr>
    </w:lvl>
    <w:lvl w:ilvl="7" w:tplc="595804B6">
      <w:start w:val="1"/>
      <w:numFmt w:val="bullet"/>
      <w:lvlText w:val="o"/>
      <w:lvlJc w:val="left"/>
      <w:pPr>
        <w:tabs>
          <w:tab w:val="num" w:pos="5760"/>
        </w:tabs>
        <w:ind w:left="5760" w:hanging="360"/>
      </w:pPr>
      <w:rPr>
        <w:rFonts w:ascii="Courier New" w:hAnsi="Courier New"/>
      </w:rPr>
    </w:lvl>
    <w:lvl w:ilvl="8" w:tplc="F678F86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FBA95A4">
      <w:start w:val="1"/>
      <w:numFmt w:val="bullet"/>
      <w:lvlText w:val=""/>
      <w:lvlJc w:val="left"/>
      <w:pPr>
        <w:ind w:left="720" w:hanging="360"/>
      </w:pPr>
      <w:rPr>
        <w:rFonts w:ascii="Symbol" w:hAnsi="Symbol"/>
        <w:b w:val="0"/>
        <w:bCs w:val="0"/>
      </w:rPr>
    </w:lvl>
    <w:lvl w:ilvl="1" w:tplc="54107924">
      <w:start w:val="1"/>
      <w:numFmt w:val="bullet"/>
      <w:lvlText w:val="o"/>
      <w:lvlJc w:val="left"/>
      <w:pPr>
        <w:tabs>
          <w:tab w:val="num" w:pos="1440"/>
        </w:tabs>
        <w:ind w:left="1440" w:hanging="360"/>
      </w:pPr>
      <w:rPr>
        <w:rFonts w:ascii="Courier New" w:hAnsi="Courier New"/>
      </w:rPr>
    </w:lvl>
    <w:lvl w:ilvl="2" w:tplc="DF2C56D2">
      <w:start w:val="1"/>
      <w:numFmt w:val="bullet"/>
      <w:lvlText w:val=""/>
      <w:lvlJc w:val="left"/>
      <w:pPr>
        <w:tabs>
          <w:tab w:val="num" w:pos="2160"/>
        </w:tabs>
        <w:ind w:left="2160" w:hanging="360"/>
      </w:pPr>
      <w:rPr>
        <w:rFonts w:ascii="Wingdings" w:hAnsi="Wingdings"/>
      </w:rPr>
    </w:lvl>
    <w:lvl w:ilvl="3" w:tplc="47BC8B06">
      <w:start w:val="1"/>
      <w:numFmt w:val="bullet"/>
      <w:lvlText w:val=""/>
      <w:lvlJc w:val="left"/>
      <w:pPr>
        <w:tabs>
          <w:tab w:val="num" w:pos="2880"/>
        </w:tabs>
        <w:ind w:left="2880" w:hanging="360"/>
      </w:pPr>
      <w:rPr>
        <w:rFonts w:ascii="Symbol" w:hAnsi="Symbol"/>
      </w:rPr>
    </w:lvl>
    <w:lvl w:ilvl="4" w:tplc="E1D07100">
      <w:start w:val="1"/>
      <w:numFmt w:val="bullet"/>
      <w:lvlText w:val="o"/>
      <w:lvlJc w:val="left"/>
      <w:pPr>
        <w:tabs>
          <w:tab w:val="num" w:pos="3600"/>
        </w:tabs>
        <w:ind w:left="3600" w:hanging="360"/>
      </w:pPr>
      <w:rPr>
        <w:rFonts w:ascii="Courier New" w:hAnsi="Courier New"/>
      </w:rPr>
    </w:lvl>
    <w:lvl w:ilvl="5" w:tplc="8DE4D6A2">
      <w:start w:val="1"/>
      <w:numFmt w:val="bullet"/>
      <w:lvlText w:val=""/>
      <w:lvlJc w:val="left"/>
      <w:pPr>
        <w:tabs>
          <w:tab w:val="num" w:pos="4320"/>
        </w:tabs>
        <w:ind w:left="4320" w:hanging="360"/>
      </w:pPr>
      <w:rPr>
        <w:rFonts w:ascii="Wingdings" w:hAnsi="Wingdings"/>
      </w:rPr>
    </w:lvl>
    <w:lvl w:ilvl="6" w:tplc="9E3A9B7E">
      <w:start w:val="1"/>
      <w:numFmt w:val="bullet"/>
      <w:lvlText w:val=""/>
      <w:lvlJc w:val="left"/>
      <w:pPr>
        <w:tabs>
          <w:tab w:val="num" w:pos="5040"/>
        </w:tabs>
        <w:ind w:left="5040" w:hanging="360"/>
      </w:pPr>
      <w:rPr>
        <w:rFonts w:ascii="Symbol" w:hAnsi="Symbol"/>
      </w:rPr>
    </w:lvl>
    <w:lvl w:ilvl="7" w:tplc="D0A4C394">
      <w:start w:val="1"/>
      <w:numFmt w:val="bullet"/>
      <w:lvlText w:val="o"/>
      <w:lvlJc w:val="left"/>
      <w:pPr>
        <w:tabs>
          <w:tab w:val="num" w:pos="5760"/>
        </w:tabs>
        <w:ind w:left="5760" w:hanging="360"/>
      </w:pPr>
      <w:rPr>
        <w:rFonts w:ascii="Courier New" w:hAnsi="Courier New"/>
      </w:rPr>
    </w:lvl>
    <w:lvl w:ilvl="8" w:tplc="B4269A0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A9A61AE">
      <w:start w:val="1"/>
      <w:numFmt w:val="bullet"/>
      <w:lvlText w:val=""/>
      <w:lvlJc w:val="left"/>
      <w:pPr>
        <w:ind w:left="720" w:hanging="360"/>
      </w:pPr>
      <w:rPr>
        <w:rFonts w:ascii="Symbol" w:hAnsi="Symbol"/>
        <w:b w:val="0"/>
        <w:bCs w:val="0"/>
      </w:rPr>
    </w:lvl>
    <w:lvl w:ilvl="1" w:tplc="C576B3EC">
      <w:start w:val="1"/>
      <w:numFmt w:val="bullet"/>
      <w:lvlText w:val="o"/>
      <w:lvlJc w:val="left"/>
      <w:pPr>
        <w:tabs>
          <w:tab w:val="num" w:pos="1440"/>
        </w:tabs>
        <w:ind w:left="1440" w:hanging="360"/>
      </w:pPr>
      <w:rPr>
        <w:rFonts w:ascii="Courier New" w:hAnsi="Courier New"/>
      </w:rPr>
    </w:lvl>
    <w:lvl w:ilvl="2" w:tplc="DDE2A6FA">
      <w:start w:val="1"/>
      <w:numFmt w:val="bullet"/>
      <w:lvlText w:val=""/>
      <w:lvlJc w:val="left"/>
      <w:pPr>
        <w:tabs>
          <w:tab w:val="num" w:pos="2160"/>
        </w:tabs>
        <w:ind w:left="2160" w:hanging="360"/>
      </w:pPr>
      <w:rPr>
        <w:rFonts w:ascii="Wingdings" w:hAnsi="Wingdings"/>
      </w:rPr>
    </w:lvl>
    <w:lvl w:ilvl="3" w:tplc="4E4402F6">
      <w:start w:val="1"/>
      <w:numFmt w:val="bullet"/>
      <w:lvlText w:val=""/>
      <w:lvlJc w:val="left"/>
      <w:pPr>
        <w:tabs>
          <w:tab w:val="num" w:pos="2880"/>
        </w:tabs>
        <w:ind w:left="2880" w:hanging="360"/>
      </w:pPr>
      <w:rPr>
        <w:rFonts w:ascii="Symbol" w:hAnsi="Symbol"/>
      </w:rPr>
    </w:lvl>
    <w:lvl w:ilvl="4" w:tplc="E996C252">
      <w:start w:val="1"/>
      <w:numFmt w:val="bullet"/>
      <w:lvlText w:val="o"/>
      <w:lvlJc w:val="left"/>
      <w:pPr>
        <w:tabs>
          <w:tab w:val="num" w:pos="3600"/>
        </w:tabs>
        <w:ind w:left="3600" w:hanging="360"/>
      </w:pPr>
      <w:rPr>
        <w:rFonts w:ascii="Courier New" w:hAnsi="Courier New"/>
      </w:rPr>
    </w:lvl>
    <w:lvl w:ilvl="5" w:tplc="5E5ED97C">
      <w:start w:val="1"/>
      <w:numFmt w:val="bullet"/>
      <w:lvlText w:val=""/>
      <w:lvlJc w:val="left"/>
      <w:pPr>
        <w:tabs>
          <w:tab w:val="num" w:pos="4320"/>
        </w:tabs>
        <w:ind w:left="4320" w:hanging="360"/>
      </w:pPr>
      <w:rPr>
        <w:rFonts w:ascii="Wingdings" w:hAnsi="Wingdings"/>
      </w:rPr>
    </w:lvl>
    <w:lvl w:ilvl="6" w:tplc="2788E070">
      <w:start w:val="1"/>
      <w:numFmt w:val="bullet"/>
      <w:lvlText w:val=""/>
      <w:lvlJc w:val="left"/>
      <w:pPr>
        <w:tabs>
          <w:tab w:val="num" w:pos="5040"/>
        </w:tabs>
        <w:ind w:left="5040" w:hanging="360"/>
      </w:pPr>
      <w:rPr>
        <w:rFonts w:ascii="Symbol" w:hAnsi="Symbol"/>
      </w:rPr>
    </w:lvl>
    <w:lvl w:ilvl="7" w:tplc="CB7C072A">
      <w:start w:val="1"/>
      <w:numFmt w:val="bullet"/>
      <w:lvlText w:val="o"/>
      <w:lvlJc w:val="left"/>
      <w:pPr>
        <w:tabs>
          <w:tab w:val="num" w:pos="5760"/>
        </w:tabs>
        <w:ind w:left="5760" w:hanging="360"/>
      </w:pPr>
      <w:rPr>
        <w:rFonts w:ascii="Courier New" w:hAnsi="Courier New"/>
      </w:rPr>
    </w:lvl>
    <w:lvl w:ilvl="8" w:tplc="2B40BC3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B08A6EA">
      <w:start w:val="1"/>
      <w:numFmt w:val="bullet"/>
      <w:lvlText w:val=""/>
      <w:lvlJc w:val="left"/>
      <w:pPr>
        <w:ind w:left="720" w:hanging="360"/>
      </w:pPr>
      <w:rPr>
        <w:rFonts w:ascii="Symbol" w:hAnsi="Symbol"/>
        <w:b w:val="0"/>
        <w:bCs w:val="0"/>
      </w:rPr>
    </w:lvl>
    <w:lvl w:ilvl="1" w:tplc="12D6E276">
      <w:start w:val="1"/>
      <w:numFmt w:val="bullet"/>
      <w:lvlText w:val="o"/>
      <w:lvlJc w:val="left"/>
      <w:pPr>
        <w:ind w:left="1440" w:hanging="360"/>
      </w:pPr>
      <w:rPr>
        <w:rFonts w:ascii="Courier New" w:hAnsi="Courier New"/>
        <w:b w:val="0"/>
        <w:bCs w:val="0"/>
      </w:rPr>
    </w:lvl>
    <w:lvl w:ilvl="2" w:tplc="45A67A52">
      <w:start w:val="1"/>
      <w:numFmt w:val="bullet"/>
      <w:lvlText w:val=""/>
      <w:lvlJc w:val="left"/>
      <w:pPr>
        <w:tabs>
          <w:tab w:val="num" w:pos="2160"/>
        </w:tabs>
        <w:ind w:left="2160" w:hanging="360"/>
      </w:pPr>
      <w:rPr>
        <w:rFonts w:ascii="Wingdings" w:hAnsi="Wingdings"/>
      </w:rPr>
    </w:lvl>
    <w:lvl w:ilvl="3" w:tplc="FB8A94B2">
      <w:start w:val="1"/>
      <w:numFmt w:val="bullet"/>
      <w:lvlText w:val=""/>
      <w:lvlJc w:val="left"/>
      <w:pPr>
        <w:tabs>
          <w:tab w:val="num" w:pos="2880"/>
        </w:tabs>
        <w:ind w:left="2880" w:hanging="360"/>
      </w:pPr>
      <w:rPr>
        <w:rFonts w:ascii="Symbol" w:hAnsi="Symbol"/>
      </w:rPr>
    </w:lvl>
    <w:lvl w:ilvl="4" w:tplc="F6E412BA">
      <w:start w:val="1"/>
      <w:numFmt w:val="bullet"/>
      <w:lvlText w:val="o"/>
      <w:lvlJc w:val="left"/>
      <w:pPr>
        <w:tabs>
          <w:tab w:val="num" w:pos="3600"/>
        </w:tabs>
        <w:ind w:left="3600" w:hanging="360"/>
      </w:pPr>
      <w:rPr>
        <w:rFonts w:ascii="Courier New" w:hAnsi="Courier New"/>
      </w:rPr>
    </w:lvl>
    <w:lvl w:ilvl="5" w:tplc="ACB2B872">
      <w:start w:val="1"/>
      <w:numFmt w:val="bullet"/>
      <w:lvlText w:val=""/>
      <w:lvlJc w:val="left"/>
      <w:pPr>
        <w:tabs>
          <w:tab w:val="num" w:pos="4320"/>
        </w:tabs>
        <w:ind w:left="4320" w:hanging="360"/>
      </w:pPr>
      <w:rPr>
        <w:rFonts w:ascii="Wingdings" w:hAnsi="Wingdings"/>
      </w:rPr>
    </w:lvl>
    <w:lvl w:ilvl="6" w:tplc="8BF00778">
      <w:start w:val="1"/>
      <w:numFmt w:val="bullet"/>
      <w:lvlText w:val=""/>
      <w:lvlJc w:val="left"/>
      <w:pPr>
        <w:tabs>
          <w:tab w:val="num" w:pos="5040"/>
        </w:tabs>
        <w:ind w:left="5040" w:hanging="360"/>
      </w:pPr>
      <w:rPr>
        <w:rFonts w:ascii="Symbol" w:hAnsi="Symbol"/>
      </w:rPr>
    </w:lvl>
    <w:lvl w:ilvl="7" w:tplc="EF30C19A">
      <w:start w:val="1"/>
      <w:numFmt w:val="bullet"/>
      <w:lvlText w:val="o"/>
      <w:lvlJc w:val="left"/>
      <w:pPr>
        <w:tabs>
          <w:tab w:val="num" w:pos="5760"/>
        </w:tabs>
        <w:ind w:left="5760" w:hanging="360"/>
      </w:pPr>
      <w:rPr>
        <w:rFonts w:ascii="Courier New" w:hAnsi="Courier New"/>
      </w:rPr>
    </w:lvl>
    <w:lvl w:ilvl="8" w:tplc="B136EC4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D7"/>
    <w:rsid w:val="006D54D7"/>
    <w:rsid w:val="0091064E"/>
    <w:rsid w:val="00D2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CBE3C-7878-41FF-846C-4DB383C6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 Mendy</dc:creator>
  <cp:lastModifiedBy>Mazzo, Mendy</cp:lastModifiedBy>
  <cp:revision>2</cp:revision>
  <dcterms:created xsi:type="dcterms:W3CDTF">2020-09-21T12:42:00Z</dcterms:created>
  <dcterms:modified xsi:type="dcterms:W3CDTF">2020-09-21T12:42:00Z</dcterms:modified>
</cp:coreProperties>
</file>