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BD" w:rsidRDefault="008D1A0D">
      <w:r>
        <w:t xml:space="preserve">Below is the </w:t>
      </w:r>
      <w:proofErr w:type="gramStart"/>
      <w:r>
        <w:t>communication</w:t>
      </w:r>
      <w:bookmarkStart w:id="0" w:name="_GoBack"/>
      <w:bookmarkEnd w:id="0"/>
      <w:r>
        <w:t xml:space="preserve"> that lead</w:t>
      </w:r>
      <w:proofErr w:type="gramEnd"/>
      <w:r>
        <w:t xml:space="preserve"> to the creation of House Bill 2439.  </w:t>
      </w:r>
      <w:r w:rsidR="00DD3A72">
        <w:t xml:space="preserve">The </w:t>
      </w:r>
      <w:r>
        <w:t>communication</w:t>
      </w:r>
      <w:r w:rsidR="00DD3A72">
        <w:t xml:space="preserve"> below</w:t>
      </w:r>
      <w:r w:rsidR="0013387C">
        <w:t xml:space="preserve"> was sent to Representative Kavanagh after he confirmed that the </w:t>
      </w:r>
      <w:r w:rsidR="00AD7564">
        <w:t xml:space="preserve">Request for </w:t>
      </w:r>
      <w:r w:rsidR="0013387C">
        <w:t>Opinion (Copy under doc tab.) sent by Maricopa County Attorney, Bill Montgomery, to the State’s General Attorney on 8/23/2019 had not been started on yet.</w:t>
      </w:r>
      <w:r w:rsidR="005F316E">
        <w:t xml:space="preserve"> </w:t>
      </w:r>
      <w:r w:rsidR="0013387C">
        <w:t xml:space="preserve"> </w:t>
      </w:r>
      <w:r w:rsidR="005F316E">
        <w:t>Our understanding of statute was that the abil</w:t>
      </w:r>
      <w:r w:rsidR="005A18BF">
        <w:t xml:space="preserve">ity for a noncontiguous DWID is clear under Arizona Revised Statute 48-902.  </w:t>
      </w:r>
      <w:r w:rsidR="005F316E">
        <w:t xml:space="preserve">However, Maricopa County needed clarification. </w:t>
      </w:r>
      <w:r w:rsidR="0013387C">
        <w:t xml:space="preserve"> In conversation with Rep. Kavanagh,</w:t>
      </w:r>
      <w:r w:rsidR="005F316E">
        <w:t xml:space="preserve"> </w:t>
      </w:r>
      <w:r w:rsidR="0013387C">
        <w:t xml:space="preserve">he let us know that we had </w:t>
      </w:r>
      <w:r w:rsidR="005F316E">
        <w:t>just days left to</w:t>
      </w:r>
      <w:r w:rsidR="0013387C">
        <w:t xml:space="preserve"> start a bill or we would have to wait another year</w:t>
      </w:r>
      <w:r>
        <w:t xml:space="preserve"> if the Attorney General’s Opinion did not clarify</w:t>
      </w:r>
      <w:r w:rsidR="0013387C">
        <w:t xml:space="preserve">.  We immediately wrote up a quick bill as a starting point. The main purpose for this </w:t>
      </w:r>
      <w:r w:rsidR="005F316E">
        <w:t xml:space="preserve">bill </w:t>
      </w:r>
      <w:r w:rsidR="0013387C">
        <w:t xml:space="preserve">was to address concerns of well owners in RVF who did not want to be forced into a DWID, have expensive piping laid but allow for a standpipe to serve the water as is done today.  We also did not want to form </w:t>
      </w:r>
      <w:r w:rsidR="005A18BF">
        <w:t xml:space="preserve">a different type of entity that would require a Certificate of Convenience and Necessity through the Arizona Corporation Commission </w:t>
      </w:r>
      <w:r w:rsidR="005F316E">
        <w:t>and</w:t>
      </w:r>
      <w:r w:rsidR="0013387C">
        <w:t xml:space="preserve"> a “100 year Certificate of Assured Water supply”</w:t>
      </w:r>
      <w:r>
        <w:t xml:space="preserve"> which c</w:t>
      </w:r>
      <w:r w:rsidR="005F316E">
        <w:t xml:space="preserve">ould lead to developers coming in and asking for parcel divisions similar to what was allowed with Trilogy, Tonto Verde and Rio Verde.   We, along with a majority of our community, want to keep this area rural as long as we can. </w:t>
      </w:r>
      <w:r w:rsidR="0013387C">
        <w:t xml:space="preserve"> </w:t>
      </w:r>
    </w:p>
    <w:p w:rsidR="00267FBD" w:rsidRPr="00AD7564" w:rsidRDefault="00267FBD">
      <w:pPr>
        <w:rPr>
          <w:rFonts w:ascii="Arial" w:hAnsi="Arial" w:cs="Arial"/>
          <w:b/>
          <w:color w:val="2C81BA"/>
          <w:sz w:val="20"/>
          <w:szCs w:val="20"/>
        </w:rPr>
      </w:pPr>
      <w:r>
        <w:t xml:space="preserve">To see the </w:t>
      </w:r>
      <w:r w:rsidRPr="008D1A0D">
        <w:rPr>
          <w:b/>
        </w:rPr>
        <w:t>Intro</w:t>
      </w:r>
      <w:r w:rsidR="008D1A0D" w:rsidRPr="008D1A0D">
        <w:rPr>
          <w:b/>
        </w:rPr>
        <w:t>duced Version</w:t>
      </w:r>
      <w:r w:rsidR="008D1A0D">
        <w:t xml:space="preserve"> and the </w:t>
      </w:r>
      <w:r w:rsidR="008D1A0D" w:rsidRPr="008D1A0D">
        <w:rPr>
          <w:b/>
        </w:rPr>
        <w:t>Amended Version</w:t>
      </w:r>
      <w:r w:rsidR="008D1A0D">
        <w:rPr>
          <w:b/>
        </w:rPr>
        <w:t xml:space="preserve"> of House Bill 2439</w:t>
      </w:r>
      <w:r w:rsidR="008D1A0D">
        <w:t xml:space="preserve"> that </w:t>
      </w:r>
      <w:r w:rsidR="008D1A0D" w:rsidRPr="008D1A0D">
        <w:rPr>
          <w:b/>
        </w:rPr>
        <w:t xml:space="preserve">unanimously passed the Rules Committee and the Natural Resources, Energy &amp; Water Committee go to: </w:t>
      </w:r>
      <w:hyperlink r:id="rId5" w:history="1">
        <w:r w:rsidR="008D1A0D" w:rsidRPr="008D1A0D">
          <w:rPr>
            <w:rFonts w:ascii="Arial" w:hAnsi="Arial" w:cs="Arial"/>
            <w:b/>
            <w:color w:val="2C81BA"/>
            <w:sz w:val="20"/>
            <w:szCs w:val="20"/>
          </w:rPr>
          <w:t>HB2439</w:t>
        </w:r>
      </w:hyperlink>
    </w:p>
    <w:p w:rsidR="008D1A0D" w:rsidRDefault="008D1A0D">
      <w:pPr>
        <w:rPr>
          <w:b/>
        </w:rPr>
      </w:pPr>
      <w:r>
        <w:rPr>
          <w:b/>
        </w:rPr>
        <w:t>This bill was placed on hold until the next legislative session by Rep. Kavanagh after some community members</w:t>
      </w:r>
      <w:r w:rsidRPr="008D1A0D">
        <w:rPr>
          <w:b/>
        </w:rPr>
        <w:t xml:space="preserve"> </w:t>
      </w:r>
      <w:r>
        <w:rPr>
          <w:b/>
        </w:rPr>
        <w:t xml:space="preserve">voiced concerns.  Rep. Kavanagh </w:t>
      </w:r>
      <w:r w:rsidR="00901B97">
        <w:rPr>
          <w:b/>
        </w:rPr>
        <w:t>had planned to organize</w:t>
      </w:r>
      <w:r>
        <w:rPr>
          <w:b/>
        </w:rPr>
        <w:t xml:space="preserve"> a community meeting </w:t>
      </w:r>
      <w:r w:rsidR="00901B97">
        <w:rPr>
          <w:b/>
        </w:rPr>
        <w:t>in April 2020 that never happened.</w:t>
      </w:r>
    </w:p>
    <w:p w:rsidR="00901B97" w:rsidRDefault="00901B97">
      <w:pPr>
        <w:rPr>
          <w:b/>
        </w:rPr>
      </w:pPr>
      <w:r>
        <w:rPr>
          <w:b/>
        </w:rPr>
        <w:t>On August 4</w:t>
      </w:r>
      <w:r w:rsidRPr="00901B97">
        <w:rPr>
          <w:b/>
          <w:vertAlign w:val="superscript"/>
        </w:rPr>
        <w:t>th</w:t>
      </w:r>
      <w:r>
        <w:rPr>
          <w:b/>
        </w:rPr>
        <w:t xml:space="preserve">, 2020, we received the </w:t>
      </w:r>
      <w:hyperlink r:id="rId6" w:history="1">
        <w:r w:rsidRPr="00E96843">
          <w:rPr>
            <w:rStyle w:val="Hyperlink"/>
          </w:rPr>
          <w:t>Opinion</w:t>
        </w:r>
      </w:hyperlink>
      <w:r>
        <w:rPr>
          <w:b/>
        </w:rPr>
        <w:t xml:space="preserve"> from the Arizona Attorney General’s office that confirmed the main points of our bill.  Based on this, Rep. Kavanagh </w:t>
      </w:r>
      <w:r w:rsidR="0083444C">
        <w:rPr>
          <w:b/>
        </w:rPr>
        <w:t>let us know that</w:t>
      </w:r>
      <w:r>
        <w:rPr>
          <w:b/>
        </w:rPr>
        <w:t xml:space="preserve"> HB2439 was no longer needed. </w:t>
      </w:r>
    </w:p>
    <w:p w:rsidR="00901B97" w:rsidRDefault="00901B97">
      <w:pPr>
        <w:rPr>
          <w:b/>
        </w:rPr>
      </w:pPr>
    </w:p>
    <w:p w:rsidR="008D1A0D" w:rsidRDefault="008D1A0D"/>
    <w:tbl>
      <w:tblPr>
        <w:tblW w:w="5000" w:type="pct"/>
        <w:tblCellSpacing w:w="0" w:type="dxa"/>
        <w:tblCellMar>
          <w:left w:w="0" w:type="dxa"/>
          <w:right w:w="0" w:type="dxa"/>
        </w:tblCellMar>
        <w:tblLook w:val="04A0" w:firstRow="1" w:lastRow="0" w:firstColumn="1" w:lastColumn="0" w:noHBand="0" w:noVBand="1"/>
      </w:tblPr>
      <w:tblGrid>
        <w:gridCol w:w="5806"/>
        <w:gridCol w:w="3554"/>
      </w:tblGrid>
      <w:tr w:rsidR="0013387C" w:rsidRPr="0013387C" w:rsidTr="0013387C">
        <w:trPr>
          <w:tblCellSpacing w:w="0" w:type="dxa"/>
        </w:trPr>
        <w:tc>
          <w:tcPr>
            <w:tcW w:w="0" w:type="auto"/>
            <w:vAlign w:val="center"/>
            <w:hideMark/>
          </w:tcPr>
          <w:p w:rsidR="0013387C" w:rsidRPr="0013387C" w:rsidRDefault="0013387C" w:rsidP="0013387C">
            <w:pPr>
              <w:spacing w:after="0" w:line="240" w:lineRule="auto"/>
              <w:rPr>
                <w:rFonts w:ascii="Arial" w:eastAsia="Times New Roman" w:hAnsi="Arial" w:cs="Arial"/>
                <w:color w:val="000000"/>
                <w:sz w:val="20"/>
                <w:szCs w:val="20"/>
              </w:rPr>
            </w:pPr>
            <w:r w:rsidRPr="0013387C">
              <w:rPr>
                <w:rFonts w:ascii="Arial" w:eastAsia="Times New Roman" w:hAnsi="Arial" w:cs="Arial"/>
                <w:b/>
                <w:bCs/>
                <w:color w:val="000000"/>
                <w:sz w:val="20"/>
                <w:szCs w:val="20"/>
              </w:rPr>
              <w:t>Karen N </w:t>
            </w:r>
            <w:r w:rsidRPr="0013387C">
              <w:rPr>
                <w:rFonts w:ascii="Arial" w:eastAsia="Times New Roman" w:hAnsi="Arial" w:cs="Arial"/>
                <w:color w:val="000000"/>
                <w:sz w:val="20"/>
                <w:szCs w:val="20"/>
              </w:rPr>
              <w:t>&lt;karennabity@gmail.com&gt;</w:t>
            </w:r>
          </w:p>
        </w:tc>
        <w:tc>
          <w:tcPr>
            <w:tcW w:w="0" w:type="auto"/>
            <w:vAlign w:val="center"/>
            <w:hideMark/>
          </w:tcPr>
          <w:p w:rsidR="0013387C" w:rsidRPr="0013387C" w:rsidRDefault="0013387C" w:rsidP="0013387C">
            <w:pPr>
              <w:spacing w:after="0" w:line="240" w:lineRule="auto"/>
              <w:jc w:val="right"/>
              <w:rPr>
                <w:rFonts w:ascii="Arial" w:eastAsia="Times New Roman" w:hAnsi="Arial" w:cs="Arial"/>
                <w:color w:val="000000"/>
                <w:sz w:val="20"/>
                <w:szCs w:val="20"/>
              </w:rPr>
            </w:pPr>
            <w:r w:rsidRPr="0013387C">
              <w:rPr>
                <w:rFonts w:ascii="Arial" w:eastAsia="Times New Roman" w:hAnsi="Arial" w:cs="Arial"/>
                <w:color w:val="000000"/>
                <w:sz w:val="20"/>
                <w:szCs w:val="20"/>
              </w:rPr>
              <w:t>Tue, Jan 14, 2020 at 1:18 PM</w:t>
            </w:r>
          </w:p>
        </w:tc>
      </w:tr>
      <w:tr w:rsidR="0013387C" w:rsidRPr="0013387C" w:rsidTr="0013387C">
        <w:trPr>
          <w:tblCellSpacing w:w="0" w:type="dxa"/>
        </w:trPr>
        <w:tc>
          <w:tcPr>
            <w:tcW w:w="0" w:type="auto"/>
            <w:gridSpan w:val="2"/>
            <w:tcMar>
              <w:top w:w="0" w:type="dxa"/>
              <w:left w:w="0" w:type="dxa"/>
              <w:bottom w:w="60" w:type="dxa"/>
              <w:right w:w="0" w:type="dxa"/>
            </w:tcMar>
            <w:vAlign w:val="center"/>
            <w:hideMark/>
          </w:tcPr>
          <w:p w:rsidR="0013387C" w:rsidRPr="0013387C" w:rsidRDefault="0013387C" w:rsidP="0013387C">
            <w:pPr>
              <w:spacing w:after="0" w:line="240" w:lineRule="auto"/>
              <w:rPr>
                <w:rFonts w:ascii="Arial" w:eastAsia="Times New Roman" w:hAnsi="Arial" w:cs="Arial"/>
                <w:color w:val="000000"/>
                <w:sz w:val="20"/>
                <w:szCs w:val="20"/>
              </w:rPr>
            </w:pPr>
            <w:r w:rsidRPr="0013387C">
              <w:rPr>
                <w:rFonts w:ascii="Arial" w:eastAsia="Times New Roman" w:hAnsi="Arial" w:cs="Arial"/>
                <w:color w:val="000000"/>
                <w:sz w:val="20"/>
                <w:szCs w:val="20"/>
              </w:rPr>
              <w:t>To: JKavanagh@azleg.gov, Sandy Kelley &lt;SKelley@azleg.gov&gt;, Jennifer Simpson &lt;jsimpsonscottsdale@gmail.com&gt;</w:t>
            </w:r>
          </w:p>
        </w:tc>
      </w:tr>
      <w:tr w:rsidR="0013387C" w:rsidRPr="0013387C" w:rsidTr="0013387C">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13387C" w:rsidRPr="0013387C">
              <w:trPr>
                <w:tblCellSpacing w:w="0" w:type="dxa"/>
              </w:trPr>
              <w:tc>
                <w:tcPr>
                  <w:tcW w:w="0" w:type="auto"/>
                  <w:vAlign w:val="center"/>
                  <w:hideMark/>
                </w:tcPr>
                <w:p w:rsidR="0013387C" w:rsidRPr="0013387C" w:rsidRDefault="0013387C" w:rsidP="005F316E">
                  <w:pPr>
                    <w:spacing w:after="240" w:line="240" w:lineRule="auto"/>
                    <w:rPr>
                      <w:rFonts w:ascii="Arial" w:eastAsia="Times New Roman" w:hAnsi="Arial" w:cs="Arial"/>
                      <w:sz w:val="20"/>
                      <w:szCs w:val="20"/>
                    </w:rPr>
                  </w:pPr>
                  <w:r w:rsidRPr="0013387C">
                    <w:rPr>
                      <w:rFonts w:ascii="Arial" w:eastAsia="Times New Roman" w:hAnsi="Arial" w:cs="Arial"/>
                      <w:sz w:val="20"/>
                      <w:szCs w:val="20"/>
                    </w:rPr>
                    <w:t>Sandy and Mr. Kavanagh</w:t>
                  </w:r>
                  <w:proofErr w:type="gramStart"/>
                  <w:r w:rsidRPr="0013387C">
                    <w:rPr>
                      <w:rFonts w:ascii="Arial" w:eastAsia="Times New Roman" w:hAnsi="Arial" w:cs="Arial"/>
                      <w:sz w:val="20"/>
                      <w:szCs w:val="20"/>
                    </w:rPr>
                    <w:t>,</w:t>
                  </w:r>
                  <w:proofErr w:type="gramEnd"/>
                  <w:r w:rsidRPr="0013387C">
                    <w:rPr>
                      <w:rFonts w:ascii="Arial" w:eastAsia="Times New Roman" w:hAnsi="Arial" w:cs="Arial"/>
                      <w:sz w:val="20"/>
                      <w:szCs w:val="20"/>
                    </w:rPr>
                    <w:br/>
                  </w:r>
                  <w:r w:rsidRPr="0013387C">
                    <w:rPr>
                      <w:rFonts w:ascii="Arial" w:eastAsia="Times New Roman" w:hAnsi="Arial" w:cs="Arial"/>
                      <w:sz w:val="20"/>
                      <w:szCs w:val="20"/>
                    </w:rPr>
                    <w:br/>
                    <w:t>We would like to move forward with submitting a bill this week that will allow our community to create a non-contiguous DWID.  We have drafted the following Bill below as a starting point so we can submit and then revise. We have also copied an existing statute for a specific district/area.</w:t>
                  </w:r>
                  <w:r w:rsidRPr="0013387C">
                    <w:rPr>
                      <w:rFonts w:ascii="Arial" w:eastAsia="Times New Roman" w:hAnsi="Arial" w:cs="Arial"/>
                      <w:sz w:val="20"/>
                      <w:szCs w:val="20"/>
                    </w:rPr>
                    <w:br/>
                  </w:r>
                  <w:r w:rsidRPr="0013387C">
                    <w:rPr>
                      <w:rFonts w:ascii="Arial" w:eastAsia="Times New Roman" w:hAnsi="Arial" w:cs="Arial"/>
                      <w:sz w:val="20"/>
                      <w:szCs w:val="20"/>
                    </w:rPr>
                    <w:br/>
                    <w:t>We look forward to meeting with Mr. Kavanagh and the appropriate people to write a more precise Bill in the near future.</w:t>
                  </w:r>
                  <w:r w:rsidRPr="0013387C">
                    <w:rPr>
                      <w:rFonts w:ascii="Arial" w:eastAsia="Times New Roman" w:hAnsi="Arial" w:cs="Arial"/>
                      <w:sz w:val="20"/>
                      <w:szCs w:val="20"/>
                    </w:rPr>
                    <w:br/>
                  </w:r>
                  <w:r w:rsidRPr="0013387C">
                    <w:rPr>
                      <w:rFonts w:ascii="Arial" w:eastAsia="Times New Roman" w:hAnsi="Arial" w:cs="Arial"/>
                      <w:sz w:val="20"/>
                      <w:szCs w:val="20"/>
                    </w:rPr>
                    <w:br/>
                    <w:t>In this together</w:t>
                  </w:r>
                  <w:proofErr w:type="gramStart"/>
                  <w:r w:rsidRPr="0013387C">
                    <w:rPr>
                      <w:rFonts w:ascii="Arial" w:eastAsia="Times New Roman" w:hAnsi="Arial" w:cs="Arial"/>
                      <w:sz w:val="20"/>
                      <w:szCs w:val="20"/>
                    </w:rPr>
                    <w:t>,</w:t>
                  </w:r>
                  <w:proofErr w:type="gramEnd"/>
                  <w:r w:rsidRPr="0013387C">
                    <w:rPr>
                      <w:rFonts w:ascii="Arial" w:eastAsia="Times New Roman" w:hAnsi="Arial" w:cs="Arial"/>
                      <w:sz w:val="20"/>
                      <w:szCs w:val="20"/>
                    </w:rPr>
                    <w:br/>
                  </w:r>
                  <w:r w:rsidRPr="0013387C">
                    <w:rPr>
                      <w:rFonts w:ascii="Arial" w:eastAsia="Times New Roman" w:hAnsi="Arial" w:cs="Arial"/>
                      <w:sz w:val="20"/>
                      <w:szCs w:val="20"/>
                    </w:rPr>
                    <w:br/>
                    <w:t>Karen Nabity and Jennifer Simpson</w:t>
                  </w:r>
                  <w:r w:rsidRPr="0013387C">
                    <w:rPr>
                      <w:rFonts w:ascii="Arial" w:eastAsia="Times New Roman" w:hAnsi="Arial" w:cs="Arial"/>
                      <w:sz w:val="20"/>
                      <w:szCs w:val="20"/>
                    </w:rPr>
                    <w:br/>
                  </w:r>
                  <w:r w:rsidRPr="0013387C">
                    <w:rPr>
                      <w:rFonts w:ascii="Arial" w:eastAsia="Times New Roman" w:hAnsi="Arial" w:cs="Arial"/>
                      <w:sz w:val="20"/>
                      <w:szCs w:val="20"/>
                    </w:rPr>
                    <w:br/>
                    <w:t>Rio Verde Foothills Residents</w:t>
                  </w:r>
                  <w:r w:rsidRPr="0013387C">
                    <w:rPr>
                      <w:rFonts w:ascii="Arial" w:eastAsia="Times New Roman" w:hAnsi="Arial" w:cs="Arial"/>
                      <w:sz w:val="20"/>
                      <w:szCs w:val="20"/>
                    </w:rPr>
                    <w:br/>
                  </w:r>
                  <w:r w:rsidRPr="0013387C">
                    <w:rPr>
                      <w:rFonts w:ascii="Arial" w:eastAsia="Times New Roman" w:hAnsi="Arial" w:cs="Arial"/>
                      <w:sz w:val="20"/>
                      <w:szCs w:val="20"/>
                    </w:rPr>
                    <w:br/>
                    <w:t>602-299-5222</w:t>
                  </w:r>
                  <w:r w:rsidRPr="0013387C">
                    <w:rPr>
                      <w:rFonts w:ascii="Arial" w:eastAsia="Times New Roman" w:hAnsi="Arial" w:cs="Arial"/>
                      <w:sz w:val="20"/>
                      <w:szCs w:val="20"/>
                    </w:rPr>
                    <w:br/>
                  </w:r>
                  <w:r w:rsidRPr="0013387C">
                    <w:rPr>
                      <w:rFonts w:ascii="Arial" w:eastAsia="Times New Roman" w:hAnsi="Arial" w:cs="Arial"/>
                      <w:sz w:val="20"/>
                      <w:szCs w:val="20"/>
                    </w:rPr>
                    <w:br/>
                  </w:r>
                  <w:r w:rsidRPr="0013387C">
                    <w:rPr>
                      <w:rFonts w:ascii="Arial" w:eastAsia="Times New Roman" w:hAnsi="Arial" w:cs="Arial"/>
                      <w:sz w:val="20"/>
                      <w:szCs w:val="20"/>
                    </w:rPr>
                    <w:lastRenderedPageBreak/>
                    <w:br/>
                  </w:r>
                  <w:r w:rsidRPr="0013387C">
                    <w:rPr>
                      <w:rFonts w:ascii="Arial" w:eastAsia="Times New Roman" w:hAnsi="Arial" w:cs="Arial"/>
                      <w:b/>
                      <w:bCs/>
                      <w:sz w:val="20"/>
                      <w:szCs w:val="20"/>
                    </w:rPr>
                    <w:t>48-****. Establishment of the Rio Verde Foothills Domestic Water Improvement District; map; goal and additions.</w:t>
                  </w:r>
                  <w:r w:rsidRPr="0013387C">
                    <w:rPr>
                      <w:rFonts w:ascii="Arial" w:eastAsia="Times New Roman" w:hAnsi="Arial" w:cs="Arial"/>
                      <w:b/>
                      <w:bCs/>
                      <w:sz w:val="20"/>
                      <w:szCs w:val="20"/>
                    </w:rPr>
                    <w:br/>
                  </w:r>
                  <w:r w:rsidRPr="0013387C">
                    <w:rPr>
                      <w:rFonts w:ascii="Arial" w:eastAsia="Times New Roman" w:hAnsi="Arial" w:cs="Arial"/>
                      <w:b/>
                      <w:bCs/>
                      <w:sz w:val="20"/>
                      <w:szCs w:val="20"/>
                    </w:rPr>
                    <w:br/>
                    <w:t>A. The Rio Verde Foothills Domestic Water Improvement District (District) may be established by Petition to the Maricopa County Board of Supervisors pursuant to this article.   The District, if established, shall consist of only those parcel owners who have signed the petition and whose parcels are within the </w:t>
                  </w:r>
                  <w:r w:rsidRPr="0013387C">
                    <w:rPr>
                      <w:rFonts w:ascii="Arial" w:eastAsia="Times New Roman" w:hAnsi="Arial" w:cs="Arial"/>
                      <w:b/>
                      <w:bCs/>
                      <w:sz w:val="20"/>
                      <w:szCs w:val="20"/>
                      <w:u w:val="single"/>
                    </w:rPr>
                    <w:t>Proposed Boundary</w:t>
                  </w:r>
                  <w:r w:rsidRPr="0013387C">
                    <w:rPr>
                      <w:rFonts w:ascii="Arial" w:eastAsia="Times New Roman" w:hAnsi="Arial" w:cs="Arial"/>
                      <w:b/>
                      <w:bCs/>
                      <w:sz w:val="20"/>
                      <w:szCs w:val="20"/>
                    </w:rPr>
                    <w:t> Map.  Once a 60 day sign up Petition drive is done</w:t>
                  </w:r>
                  <w:proofErr w:type="gramStart"/>
                  <w:r w:rsidRPr="0013387C">
                    <w:rPr>
                      <w:rFonts w:ascii="Arial" w:eastAsia="Times New Roman" w:hAnsi="Arial" w:cs="Arial"/>
                      <w:b/>
                      <w:bCs/>
                      <w:sz w:val="20"/>
                      <w:szCs w:val="20"/>
                    </w:rPr>
                    <w:t>,  a</w:t>
                  </w:r>
                  <w:proofErr w:type="gramEnd"/>
                  <w:r w:rsidRPr="0013387C">
                    <w:rPr>
                      <w:rFonts w:ascii="Arial" w:eastAsia="Times New Roman" w:hAnsi="Arial" w:cs="Arial"/>
                      <w:b/>
                      <w:bCs/>
                      <w:sz w:val="20"/>
                      <w:szCs w:val="20"/>
                    </w:rPr>
                    <w:t xml:space="preserve"> new </w:t>
                  </w:r>
                  <w:r w:rsidRPr="0013387C">
                    <w:rPr>
                      <w:rFonts w:ascii="Arial" w:eastAsia="Times New Roman" w:hAnsi="Arial" w:cs="Arial"/>
                      <w:b/>
                      <w:bCs/>
                      <w:sz w:val="20"/>
                      <w:szCs w:val="20"/>
                      <w:u w:val="single"/>
                    </w:rPr>
                    <w:t>Final Boundary Map</w:t>
                  </w:r>
                  <w:r w:rsidRPr="0013387C">
                    <w:rPr>
                      <w:rFonts w:ascii="Arial" w:eastAsia="Times New Roman" w:hAnsi="Arial" w:cs="Arial"/>
                      <w:b/>
                      <w:bCs/>
                      <w:sz w:val="20"/>
                      <w:szCs w:val="20"/>
                    </w:rPr>
                    <w:t> is to be drawn, including only those parcels whose owners signed the petition, and a copy of the map shall be submitted to the Board of Supervisors with the Petition and signatures for approval.</w:t>
                  </w:r>
                  <w:r w:rsidRPr="0013387C">
                    <w:rPr>
                      <w:rFonts w:ascii="Arial" w:eastAsia="Times New Roman" w:hAnsi="Arial" w:cs="Arial"/>
                      <w:b/>
                      <w:bCs/>
                      <w:sz w:val="20"/>
                      <w:szCs w:val="20"/>
                    </w:rPr>
                    <w:br/>
                  </w:r>
                  <w:r w:rsidRPr="0013387C">
                    <w:rPr>
                      <w:rFonts w:ascii="Arial" w:eastAsia="Times New Roman" w:hAnsi="Arial" w:cs="Arial"/>
                      <w:b/>
                      <w:bCs/>
                      <w:sz w:val="20"/>
                      <w:szCs w:val="20"/>
                    </w:rPr>
                    <w:br/>
                    <w:t xml:space="preserve">B. The purpose of the District is to secure a source of water for members of the District, whose well(s) have dried up, well(s) no longer produce enough, are concerned about the future of their well(s) and/or property, or rely wholly or partially on hauled water from outside this area. The goal is to secure a source of water and build two stand pipes so that water can be collected and delivered to its members via water haulers, both commercial haulers and individual members.  </w:t>
                  </w:r>
                  <w:r w:rsidRPr="0013387C">
                    <w:rPr>
                      <w:rFonts w:ascii="Arial" w:eastAsia="Times New Roman" w:hAnsi="Arial" w:cs="Arial"/>
                      <w:b/>
                      <w:bCs/>
                      <w:sz w:val="20"/>
                      <w:szCs w:val="20"/>
                      <w:highlight w:val="yellow"/>
                    </w:rPr>
                    <w:t>Additionally, this District is designed to only include those who want to be included since the majority of the existing community has a good source of water and would not benefit from the District.</w:t>
                  </w:r>
                  <w:r w:rsidRPr="0013387C">
                    <w:rPr>
                      <w:rFonts w:ascii="Arial" w:eastAsia="Times New Roman" w:hAnsi="Arial" w:cs="Arial"/>
                      <w:b/>
                      <w:bCs/>
                      <w:sz w:val="20"/>
                      <w:szCs w:val="20"/>
                    </w:rPr>
                    <w:t xml:space="preserve">  </w:t>
                  </w:r>
                  <w:r w:rsidRPr="0013387C">
                    <w:rPr>
                      <w:rFonts w:ascii="Arial" w:eastAsia="Times New Roman" w:hAnsi="Arial" w:cs="Arial"/>
                      <w:b/>
                      <w:bCs/>
                      <w:sz w:val="20"/>
                      <w:szCs w:val="20"/>
                    </w:rPr>
                    <w:br/>
                  </w:r>
                  <w:r w:rsidRPr="0013387C">
                    <w:rPr>
                      <w:rFonts w:ascii="Arial" w:eastAsia="Times New Roman" w:hAnsi="Arial" w:cs="Arial"/>
                      <w:b/>
                      <w:bCs/>
                      <w:sz w:val="20"/>
                      <w:szCs w:val="20"/>
                    </w:rPr>
                    <w:br/>
                    <w:t>C.  Future parcel additions to the District may be allowed once every other year.  The District Board will determine if the District has enough water for additional properties.  The District will create guidelines for those wanting to take on the Petition process, maps, hearings, public notices and costs necessary to Petition the Board of Supervisors of Maricopa County to have a parcel added to the District. Any parcel additions must be located within the original "Proposed Boundary Map". </w:t>
                  </w:r>
                  <w:r w:rsidRPr="0013387C">
                    <w:rPr>
                      <w:rFonts w:ascii="Arial" w:eastAsia="Times New Roman" w:hAnsi="Arial" w:cs="Arial"/>
                      <w:b/>
                      <w:bCs/>
                      <w:sz w:val="20"/>
                      <w:szCs w:val="20"/>
                    </w:rPr>
                    <w:br/>
                  </w:r>
                  <w:r w:rsidRPr="0013387C">
                    <w:rPr>
                      <w:rFonts w:ascii="Arial" w:eastAsia="Times New Roman" w:hAnsi="Arial" w:cs="Arial"/>
                      <w:sz w:val="20"/>
                      <w:szCs w:val="20"/>
                    </w:rPr>
                    <w:br/>
                  </w:r>
                  <w:r w:rsidRPr="0013387C">
                    <w:rPr>
                      <w:rFonts w:ascii="Arial" w:eastAsia="Times New Roman" w:hAnsi="Arial" w:cs="Arial"/>
                      <w:b/>
                      <w:bCs/>
                      <w:sz w:val="20"/>
                      <w:szCs w:val="20"/>
                      <w:highlight w:val="yellow"/>
                    </w:rPr>
                    <w:t>D. The water from the District will not be piped to homes but only available via standpipes.  Water from the District will not constitute a 100 year water supply for building purposes.</w:t>
                  </w:r>
                  <w:r w:rsidRPr="0013387C">
                    <w:rPr>
                      <w:rFonts w:ascii="Arial" w:eastAsia="Times New Roman" w:hAnsi="Arial" w:cs="Arial"/>
                      <w:sz w:val="20"/>
                      <w:szCs w:val="20"/>
                    </w:rPr>
                    <w:br/>
                  </w:r>
                  <w:r w:rsidRPr="0013387C">
                    <w:rPr>
                      <w:rFonts w:ascii="Arial" w:eastAsia="Times New Roman" w:hAnsi="Arial" w:cs="Arial"/>
                      <w:sz w:val="20"/>
                      <w:szCs w:val="20"/>
                    </w:rPr>
                    <w:br/>
                    <w:t>_______________________________________________________________________________________________________</w:t>
                  </w:r>
                  <w:r w:rsidRPr="0013387C">
                    <w:rPr>
                      <w:rFonts w:ascii="Arial" w:eastAsia="Times New Roman" w:hAnsi="Arial" w:cs="Arial"/>
                      <w:sz w:val="20"/>
                      <w:szCs w:val="20"/>
                    </w:rPr>
                    <w:br/>
                  </w:r>
                  <w:r w:rsidRPr="0013387C">
                    <w:rPr>
                      <w:rFonts w:ascii="Arial" w:eastAsia="Times New Roman" w:hAnsi="Arial" w:cs="Arial"/>
                      <w:sz w:val="20"/>
                      <w:szCs w:val="20"/>
                    </w:rPr>
                    <w:br/>
                    <w:t>HERE IS AN EXAMPLE OF LEGISLATION CREATED FOR A SPECIFIC DISTRICT</w:t>
                  </w:r>
                  <w:proofErr w:type="gramStart"/>
                  <w:r w:rsidRPr="0013387C">
                    <w:rPr>
                      <w:rFonts w:ascii="Arial" w:eastAsia="Times New Roman" w:hAnsi="Arial" w:cs="Arial"/>
                      <w:sz w:val="20"/>
                      <w:szCs w:val="20"/>
                    </w:rPr>
                    <w:t>:</w:t>
                  </w:r>
                  <w:proofErr w:type="gramEnd"/>
                  <w:r w:rsidRPr="0013387C">
                    <w:rPr>
                      <w:rFonts w:ascii="Arial" w:eastAsia="Times New Roman" w:hAnsi="Arial" w:cs="Arial"/>
                      <w:sz w:val="20"/>
                      <w:szCs w:val="20"/>
                    </w:rPr>
                    <w:br/>
                  </w:r>
                  <w:r w:rsidRPr="0013387C">
                    <w:rPr>
                      <w:rFonts w:ascii="Arial" w:eastAsia="Times New Roman" w:hAnsi="Arial" w:cs="Arial"/>
                      <w:sz w:val="20"/>
                      <w:szCs w:val="20"/>
                    </w:rPr>
                    <w:br/>
                    <w:t>48-6403. Establishment of upper San Pedro water district; map; goal; decreed and appropriative water rights</w:t>
                  </w:r>
                  <w:r w:rsidRPr="0013387C">
                    <w:rPr>
                      <w:rFonts w:ascii="Arial" w:eastAsia="Times New Roman" w:hAnsi="Arial" w:cs="Arial"/>
                      <w:sz w:val="20"/>
                      <w:szCs w:val="20"/>
                    </w:rPr>
                    <w:br/>
                  </w:r>
                  <w:r w:rsidRPr="0013387C">
                    <w:rPr>
                      <w:rFonts w:ascii="Arial" w:eastAsia="Times New Roman" w:hAnsi="Arial" w:cs="Arial"/>
                      <w:sz w:val="20"/>
                      <w:szCs w:val="20"/>
                    </w:rPr>
                    <w:br/>
                    <w:t>A. The upper San Pedro water district may be established by an election held pursuant to this article.  If the district is established, the lands in the district shall consist of the portion of the upper San Pedro groundwater basin delineated on the map that is dated April, 2007 and that is on file in the department.  The district includes Fort Huachuca, the lands in the corporate limits of the cities of Sierra Vista and Tombstone and the town of Huachuca City and the portion of the city of Bisbee located in the upper San Pedro groundwater basin, but not any lands in Santa Cruz county or Pima county and not including that portion of the city of Bisbee located in the Douglas groundwater basin.  If the district is established, a true copy of the map shall be recorded in the office of the county recorder in the county. The map prescribed by this section shall not be modified without the approval of the legislature.</w:t>
                  </w:r>
                  <w:r w:rsidRPr="0013387C">
                    <w:rPr>
                      <w:rFonts w:ascii="Arial" w:eastAsia="Times New Roman" w:hAnsi="Arial" w:cs="Arial"/>
                      <w:sz w:val="20"/>
                      <w:szCs w:val="20"/>
                    </w:rPr>
                    <w:br/>
                  </w:r>
                  <w:r w:rsidRPr="0013387C">
                    <w:rPr>
                      <w:rFonts w:ascii="Arial" w:eastAsia="Times New Roman" w:hAnsi="Arial" w:cs="Arial"/>
                      <w:sz w:val="20"/>
                      <w:szCs w:val="20"/>
                    </w:rPr>
                    <w:br/>
                    <w:t>B. The purpose and goal of the district are to maintain the aquifer and base flow conditions needed to sustain the upper San Pedro river and to assist in meeting the water supply needs and water conservation requirements for Fort Huachuca and the communities within the district.</w:t>
                  </w:r>
                  <w:r w:rsidRPr="0013387C">
                    <w:rPr>
                      <w:rFonts w:ascii="Arial" w:eastAsia="Times New Roman" w:hAnsi="Arial" w:cs="Arial"/>
                      <w:sz w:val="20"/>
                      <w:szCs w:val="20"/>
                    </w:rPr>
                    <w:br/>
                  </w:r>
                  <w:r w:rsidRPr="0013387C">
                    <w:rPr>
                      <w:rFonts w:ascii="Arial" w:eastAsia="Times New Roman" w:hAnsi="Arial" w:cs="Arial"/>
                      <w:sz w:val="20"/>
                      <w:szCs w:val="20"/>
                    </w:rPr>
                    <w:br/>
                    <w:t>C. This chapter shall not be construed to affect decreed and appropriative water rights.  This chapter shall not be construed to affect any of the following</w:t>
                  </w:r>
                  <w:proofErr w:type="gramStart"/>
                  <w:r w:rsidRPr="0013387C">
                    <w:rPr>
                      <w:rFonts w:ascii="Arial" w:eastAsia="Times New Roman" w:hAnsi="Arial" w:cs="Arial"/>
                      <w:sz w:val="20"/>
                      <w:szCs w:val="20"/>
                    </w:rPr>
                    <w:t>:</w:t>
                  </w:r>
                  <w:proofErr w:type="gramEnd"/>
                  <w:r w:rsidRPr="0013387C">
                    <w:rPr>
                      <w:rFonts w:ascii="Arial" w:eastAsia="Times New Roman" w:hAnsi="Arial" w:cs="Arial"/>
                      <w:sz w:val="20"/>
                      <w:szCs w:val="20"/>
                    </w:rPr>
                    <w:br/>
                  </w:r>
                  <w:r w:rsidRPr="0013387C">
                    <w:rPr>
                      <w:rFonts w:ascii="Arial" w:eastAsia="Times New Roman" w:hAnsi="Arial" w:cs="Arial"/>
                      <w:sz w:val="20"/>
                      <w:szCs w:val="20"/>
                    </w:rPr>
                    <w:lastRenderedPageBreak/>
                    <w:br/>
                    <w:t>1. The definition of surface water in section 45-101.</w:t>
                  </w:r>
                  <w:r w:rsidRPr="0013387C">
                    <w:rPr>
                      <w:rFonts w:ascii="Arial" w:eastAsia="Times New Roman" w:hAnsi="Arial" w:cs="Arial"/>
                      <w:sz w:val="20"/>
                      <w:szCs w:val="20"/>
                    </w:rPr>
                    <w:br/>
                  </w:r>
                  <w:r w:rsidRPr="0013387C">
                    <w:rPr>
                      <w:rFonts w:ascii="Arial" w:eastAsia="Times New Roman" w:hAnsi="Arial" w:cs="Arial"/>
                      <w:sz w:val="20"/>
                      <w:szCs w:val="20"/>
                    </w:rPr>
                    <w:br/>
                    <w:t>2. Water subject to appropriation in section 45-141.</w:t>
                  </w:r>
                  <w:r w:rsidRPr="0013387C">
                    <w:rPr>
                      <w:rFonts w:ascii="Arial" w:eastAsia="Times New Roman" w:hAnsi="Arial" w:cs="Arial"/>
                      <w:sz w:val="20"/>
                      <w:szCs w:val="20"/>
                    </w:rPr>
                    <w:br/>
                  </w:r>
                  <w:r w:rsidRPr="0013387C">
                    <w:rPr>
                      <w:rFonts w:ascii="Arial" w:eastAsia="Times New Roman" w:hAnsi="Arial" w:cs="Arial"/>
                      <w:sz w:val="20"/>
                      <w:szCs w:val="20"/>
                    </w:rPr>
                    <w:br/>
                    <w:t>3. Any provision of title 45, chapter 1, article 9.</w:t>
                  </w:r>
                </w:p>
              </w:tc>
            </w:tr>
          </w:tbl>
          <w:p w:rsidR="0013387C" w:rsidRPr="0013387C" w:rsidRDefault="0013387C" w:rsidP="0013387C">
            <w:pPr>
              <w:spacing w:after="0" w:line="240" w:lineRule="auto"/>
              <w:rPr>
                <w:rFonts w:ascii="Arial" w:eastAsia="Times New Roman" w:hAnsi="Arial" w:cs="Arial"/>
                <w:color w:val="000000"/>
                <w:sz w:val="20"/>
                <w:szCs w:val="20"/>
              </w:rPr>
            </w:pPr>
          </w:p>
        </w:tc>
      </w:tr>
    </w:tbl>
    <w:p w:rsidR="001B1005" w:rsidRDefault="0083444C"/>
    <w:sectPr w:rsidR="001B1005" w:rsidSect="0013387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7C"/>
    <w:rsid w:val="0013387C"/>
    <w:rsid w:val="00267FBD"/>
    <w:rsid w:val="003440B2"/>
    <w:rsid w:val="003C6BC7"/>
    <w:rsid w:val="003D7CED"/>
    <w:rsid w:val="005A18BF"/>
    <w:rsid w:val="005F316E"/>
    <w:rsid w:val="0083444C"/>
    <w:rsid w:val="008D1A0D"/>
    <w:rsid w:val="00901B97"/>
    <w:rsid w:val="00994F1F"/>
    <w:rsid w:val="00AD7564"/>
    <w:rsid w:val="00DD3A72"/>
    <w:rsid w:val="00DE7F7F"/>
    <w:rsid w:val="00E9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F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F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67478">
      <w:bodyDiv w:val="1"/>
      <w:marLeft w:val="0"/>
      <w:marRight w:val="0"/>
      <w:marTop w:val="0"/>
      <w:marBottom w:val="0"/>
      <w:divBdr>
        <w:top w:val="none" w:sz="0" w:space="0" w:color="auto"/>
        <w:left w:val="none" w:sz="0" w:space="0" w:color="auto"/>
        <w:bottom w:val="none" w:sz="0" w:space="0" w:color="auto"/>
        <w:right w:val="none" w:sz="0" w:space="0" w:color="auto"/>
      </w:divBdr>
      <w:divsChild>
        <w:div w:id="287274726">
          <w:marLeft w:val="0"/>
          <w:marRight w:val="0"/>
          <w:marTop w:val="0"/>
          <w:marBottom w:val="0"/>
          <w:divBdr>
            <w:top w:val="none" w:sz="0" w:space="0" w:color="auto"/>
            <w:left w:val="none" w:sz="0" w:space="0" w:color="auto"/>
            <w:bottom w:val="none" w:sz="0" w:space="0" w:color="auto"/>
            <w:right w:val="none" w:sz="0" w:space="0" w:color="auto"/>
          </w:divBdr>
        </w:div>
        <w:div w:id="236211474">
          <w:marLeft w:val="0"/>
          <w:marRight w:val="0"/>
          <w:marTop w:val="0"/>
          <w:marBottom w:val="0"/>
          <w:divBdr>
            <w:top w:val="none" w:sz="0" w:space="0" w:color="auto"/>
            <w:left w:val="none" w:sz="0" w:space="0" w:color="auto"/>
            <w:bottom w:val="none" w:sz="0" w:space="0" w:color="auto"/>
            <w:right w:val="none" w:sz="0" w:space="0" w:color="auto"/>
          </w:divBdr>
          <w:divsChild>
            <w:div w:id="2524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zag.gov/opinions/i20-011-r19-017" TargetMode="External"/><Relationship Id="rId5" Type="http://schemas.openxmlformats.org/officeDocument/2006/relationships/hyperlink" Target="https://apps.azleg.gov/BillStatus/BillOverview/731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2020-10-05T19:23:00Z</dcterms:created>
  <dcterms:modified xsi:type="dcterms:W3CDTF">2020-10-05T20:18:00Z</dcterms:modified>
</cp:coreProperties>
</file>