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BE14" w14:textId="56594143" w:rsidR="006E60CC" w:rsidRPr="006E60CC" w:rsidRDefault="006E60CC" w:rsidP="006E60CC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kern w:val="2"/>
          <w:sz w:val="32"/>
          <w:szCs w:val="32"/>
          <w:u w:val="single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sz w:val="32"/>
          <w:szCs w:val="32"/>
          <w:u w:val="single"/>
          <w:lang w:val="en-US"/>
          <w14:ligatures w14:val="standardContextual"/>
        </w:rPr>
        <w:t xml:space="preserve">Stud Book </w:t>
      </w:r>
      <w:r w:rsidR="00BE5D22" w:rsidRPr="006E60CC">
        <w:rPr>
          <w:rFonts w:ascii="Verdana" w:eastAsia="Calibri" w:hAnsi="Verdana" w:cs="Times New Roman"/>
          <w:b/>
          <w:bCs/>
          <w:kern w:val="2"/>
          <w:sz w:val="32"/>
          <w:szCs w:val="32"/>
          <w:u w:val="single"/>
          <w:lang w:val="en-US"/>
          <w14:ligatures w14:val="standardContextual"/>
        </w:rPr>
        <w:t>Guida</w:t>
      </w:r>
      <w:r w:rsidR="00BE5D22">
        <w:rPr>
          <w:rFonts w:ascii="Verdana" w:eastAsia="Calibri" w:hAnsi="Verdana" w:cs="Times New Roman"/>
          <w:b/>
          <w:bCs/>
          <w:kern w:val="2"/>
          <w:sz w:val="32"/>
          <w:szCs w:val="32"/>
          <w:u w:val="single"/>
          <w:lang w:val="en-US"/>
          <w14:ligatures w14:val="standardContextual"/>
        </w:rPr>
        <w:t>nce</w:t>
      </w:r>
    </w:p>
    <w:p w14:paraId="5A53C028" w14:textId="72F955AF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The Traditional Gypsy Cob Association strive to promote responsible breeding practices and support Breeders to help secure the future of the </w:t>
      </w:r>
      <w:r w:rsidR="00955AE6"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Breed.</w:t>
      </w:r>
    </w:p>
    <w:p w14:paraId="59FFB5E4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u w:val="single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u w:val="single"/>
          <w:lang w:val="en-US"/>
          <w14:ligatures w14:val="standardContextual"/>
        </w:rPr>
        <w:t xml:space="preserve">Registrations </w:t>
      </w:r>
    </w:p>
    <w:p w14:paraId="41F1D33B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 xml:space="preserve">BLUE BOOK </w:t>
      </w:r>
    </w:p>
    <w:p w14:paraId="75414B62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Equines that meet the Traditional Gypsy Cob Breed standard </w:t>
      </w:r>
    </w:p>
    <w:p w14:paraId="64F5DD58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Equines that do not have any verified or acknowledged breeding. </w:t>
      </w:r>
    </w:p>
    <w:p w14:paraId="473964CA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 xml:space="preserve">RED BOOK </w:t>
      </w:r>
    </w:p>
    <w:p w14:paraId="7FDC81D4" w14:textId="097915F3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Equines that have verified breeding /</w:t>
      </w:r>
      <w:r w:rsidR="00955AE6"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parentage.</w:t>
      </w:r>
    </w:p>
    <w:p w14:paraId="496DAA29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Offspring of Red Stud book parents- sires need to be registered and Breed Grade Evaluated, Dams need to be registered TGC</w:t>
      </w:r>
    </w:p>
    <w:p w14:paraId="0F25C263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Foal registrations – covering certificates and DNA profile must accompany </w:t>
      </w:r>
    </w:p>
    <w:p w14:paraId="369EFB20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Foal registration application. </w:t>
      </w:r>
    </w:p>
    <w:p w14:paraId="0C14C615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(Equines can be upgraded from a Blue Book to Red Book subject to meeting the registration requirements.)</w:t>
      </w:r>
    </w:p>
    <w:p w14:paraId="13FFC3BC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>PART BRED BOOK</w:t>
      </w:r>
    </w:p>
    <w:p w14:paraId="5604CE4D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Equines that are 50% part bred Traditional Gypsy Cob</w:t>
      </w:r>
    </w:p>
    <w:p w14:paraId="116B32FF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 xml:space="preserve">STALLION &amp; MARE </w:t>
      </w:r>
      <w:r w:rsidRPr="006E60CC">
        <w:rPr>
          <w:rFonts w:ascii="Verdana" w:eastAsia="Calibri" w:hAnsi="Verdana" w:cs="Times New Roman"/>
          <w:b/>
          <w:bCs/>
          <w:kern w:val="2"/>
          <w:u w:val="single"/>
          <w:lang w:val="en-US"/>
          <w14:ligatures w14:val="standardContextual"/>
        </w:rPr>
        <w:t>BREED</w:t>
      </w: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 xml:space="preserve"> GRADE EVALUATIONS </w:t>
      </w:r>
    </w:p>
    <w:p w14:paraId="58901E00" w14:textId="69D1AA36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The TGCA hold a minimum of 4 Grading Evaluation clinics per </w:t>
      </w:r>
      <w:r w:rsidR="00955AE6"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year.</w:t>
      </w: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</w:t>
      </w:r>
    </w:p>
    <w:p w14:paraId="2BDBDD23" w14:textId="680A55C5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Stallions who pass Breed Grading will be issued with Covering </w:t>
      </w:r>
      <w:r w:rsidR="00955AE6"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certificates</w:t>
      </w:r>
      <w:proofErr w:type="gramStart"/>
      <w:r w:rsidR="00955AE6"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.</w:t>
      </w: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 </w:t>
      </w:r>
      <w:proofErr w:type="gramEnd"/>
    </w:p>
    <w:p w14:paraId="2CBF5A36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 xml:space="preserve">STALLION, MARE AND GELDING </w:t>
      </w:r>
      <w:r w:rsidRPr="006E60CC">
        <w:rPr>
          <w:rFonts w:ascii="Verdana" w:eastAsia="Calibri" w:hAnsi="Verdana" w:cs="Times New Roman"/>
          <w:b/>
          <w:bCs/>
          <w:kern w:val="2"/>
          <w:u w:val="single"/>
          <w:lang w:val="en-US"/>
          <w14:ligatures w14:val="standardContextual"/>
        </w:rPr>
        <w:t>PERFORMANCE</w:t>
      </w: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 xml:space="preserve"> GRADE EVALUATIONS  </w:t>
      </w:r>
    </w:p>
    <w:p w14:paraId="43F4A2EF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Compulsory to stallion wishing to compete.</w:t>
      </w:r>
    </w:p>
    <w:p w14:paraId="1B1B7215" w14:textId="78F9FC88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Open to all encouraging mares and geldings to record their </w:t>
      </w:r>
      <w:r w:rsidR="00654601"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talents.</w:t>
      </w: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</w:t>
      </w:r>
    </w:p>
    <w:p w14:paraId="06F45F82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Gold performance books -star status </w:t>
      </w:r>
    </w:p>
    <w:p w14:paraId="6800A377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b/>
          <w:bCs/>
          <w:kern w:val="2"/>
          <w:lang w:val="en-US"/>
          <w14:ligatures w14:val="standardContextual"/>
        </w:rPr>
        <w:t>ASSURED BREEDERS SCHEME</w:t>
      </w:r>
    </w:p>
    <w:p w14:paraId="7B8BF0A2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The TGCA understands that some breeders have large herds so the logistics of expecting them to attend organized Grading events would not be possible. The TGCA will offer a herd tour, this will be undertaken by trained TGCA panel Judges.  A minimum of </w:t>
      </w:r>
      <w:proofErr w:type="gramStart"/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2</w:t>
      </w:r>
      <w:proofErr w:type="gramEnd"/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stallions are required. Mares can also </w:t>
      </w:r>
      <w:proofErr w:type="gramStart"/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>be evaluated</w:t>
      </w:r>
      <w:proofErr w:type="gramEnd"/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 if required at no additional cost.</w:t>
      </w:r>
    </w:p>
    <w:p w14:paraId="429B5FFA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r w:rsidRPr="006E60CC">
        <w:rPr>
          <w:rFonts w:ascii="Verdana" w:eastAsia="Calibri" w:hAnsi="Verdana" w:cs="Times New Roman"/>
          <w:kern w:val="2"/>
          <w:lang w:val="en-US"/>
          <w14:ligatures w14:val="standardContextual"/>
        </w:rPr>
        <w:t xml:space="preserve">For further information please see the below links </w:t>
      </w:r>
    </w:p>
    <w:p w14:paraId="5DBDCDAA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hyperlink r:id="rId8" w:history="1">
        <w:r w:rsidRPr="006E60CC">
          <w:rPr>
            <w:rFonts w:ascii="Verdana" w:eastAsia="Calibri" w:hAnsi="Verdana" w:cs="Times New Roman"/>
            <w:color w:val="0563C1"/>
            <w:kern w:val="2"/>
            <w:u w:val="single"/>
            <w:lang w:val="en-US"/>
            <w14:ligatures w14:val="standardContextual"/>
          </w:rPr>
          <w:t>https://www.tgca.co.uk/TGCA%20Health%20&amp;%20Welf</w:t>
        </w:r>
        <w:r w:rsidRPr="006E60CC">
          <w:rPr>
            <w:rFonts w:ascii="Verdana" w:eastAsia="Calibri" w:hAnsi="Verdana" w:cs="Times New Roman"/>
            <w:color w:val="0563C1"/>
            <w:kern w:val="2"/>
            <w:u w:val="single"/>
            <w:lang w:val="en-US"/>
            <w14:ligatures w14:val="standardContextual"/>
          </w:rPr>
          <w:t>a</w:t>
        </w:r>
        <w:r w:rsidRPr="006E60CC">
          <w:rPr>
            <w:rFonts w:ascii="Verdana" w:eastAsia="Calibri" w:hAnsi="Verdana" w:cs="Times New Roman"/>
            <w:color w:val="0563C1"/>
            <w:kern w:val="2"/>
            <w:u w:val="single"/>
            <w:lang w:val="en-US"/>
            <w14:ligatures w14:val="standardContextual"/>
          </w:rPr>
          <w:t>re.pdf</w:t>
        </w:r>
      </w:hyperlink>
    </w:p>
    <w:p w14:paraId="5587D669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hyperlink r:id="rId9" w:history="1">
        <w:r w:rsidRPr="006E60CC">
          <w:rPr>
            <w:rFonts w:ascii="Verdana" w:eastAsia="Calibri" w:hAnsi="Verdana" w:cs="Times New Roman"/>
            <w:color w:val="0563C1"/>
            <w:kern w:val="2"/>
            <w:u w:val="single"/>
            <w:lang w:val="en-US"/>
            <w14:ligatures w14:val="standardContextual"/>
          </w:rPr>
          <w:t>https://www.tgca.co.uk/grading-evaluation-details</w:t>
        </w:r>
      </w:hyperlink>
    </w:p>
    <w:p w14:paraId="57396A50" w14:textId="77777777" w:rsidR="006E60CC" w:rsidRPr="006E60CC" w:rsidRDefault="006E60CC" w:rsidP="006E60CC">
      <w:pPr>
        <w:spacing w:after="160" w:line="259" w:lineRule="auto"/>
        <w:rPr>
          <w:rFonts w:ascii="Verdana" w:eastAsia="Calibri" w:hAnsi="Verdana" w:cs="Times New Roman"/>
          <w:kern w:val="2"/>
          <w:lang w:val="en-US"/>
          <w14:ligatures w14:val="standardContextual"/>
        </w:rPr>
      </w:pPr>
      <w:hyperlink r:id="rId10" w:history="1">
        <w:r w:rsidRPr="006E60CC">
          <w:rPr>
            <w:rFonts w:ascii="Verdana" w:eastAsia="Calibri" w:hAnsi="Verdana" w:cs="Times New Roman"/>
            <w:color w:val="0563C1"/>
            <w:kern w:val="2"/>
            <w:u w:val="single"/>
            <w:lang w:val="en-US"/>
            <w14:ligatures w14:val="standardContextual"/>
          </w:rPr>
          <w:t>https://www.tgca.co.uk/breeder-assurance</w:t>
        </w:r>
      </w:hyperlink>
    </w:p>
    <w:p w14:paraId="74BBED17" w14:textId="5E33FB97" w:rsidR="009C2E25" w:rsidRPr="00955AE6" w:rsidRDefault="009C2E25" w:rsidP="006E60CC">
      <w:pPr>
        <w:rPr>
          <w:rFonts w:ascii="Verdana" w:hAnsi="Verdana"/>
        </w:rPr>
      </w:pPr>
    </w:p>
    <w:sectPr w:rsidR="009C2E25" w:rsidRPr="00955AE6" w:rsidSect="00074A38">
      <w:headerReference w:type="default" r:id="rId11"/>
      <w:footerReference w:type="default" r:id="rId12"/>
      <w:pgSz w:w="11906" w:h="16838"/>
      <w:pgMar w:top="1440" w:right="1440" w:bottom="1440" w:left="144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69D6" w14:textId="77777777" w:rsidR="00005BCB" w:rsidRDefault="00005BCB" w:rsidP="003B22CD">
      <w:pPr>
        <w:spacing w:after="0" w:line="240" w:lineRule="auto"/>
      </w:pPr>
      <w:r>
        <w:separator/>
      </w:r>
    </w:p>
  </w:endnote>
  <w:endnote w:type="continuationSeparator" w:id="0">
    <w:p w14:paraId="462DFC1F" w14:textId="77777777" w:rsidR="00005BCB" w:rsidRDefault="00005BCB" w:rsidP="003B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DEA1" w14:textId="108CFB2D" w:rsidR="00074A38" w:rsidRPr="00074A38" w:rsidRDefault="00074A38" w:rsidP="00C47ACB">
    <w:pPr>
      <w:pStyle w:val="Footer"/>
      <w:pBdr>
        <w:top w:val="single" w:sz="4" w:space="1" w:color="D9D9D9"/>
      </w:pBdr>
      <w:rPr>
        <w:b/>
        <w:bCs/>
      </w:rPr>
    </w:pPr>
    <w:r w:rsidRPr="00074A38">
      <w:t>TGCA Limited - Company Number: 7415438 Registered Office is: TGCA Ltd, PO BOX 1120, CT1 9U</w:t>
    </w:r>
    <w:r>
      <w:tab/>
    </w:r>
    <w:r>
      <w:tab/>
    </w:r>
    <w:sdt>
      <w:sdtPr>
        <w:id w:val="-1110275646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C47ACB">
          <w:rPr>
            <w:color w:val="7F7F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599A" w14:textId="77777777" w:rsidR="00005BCB" w:rsidRDefault="00005BCB" w:rsidP="003B22CD">
      <w:pPr>
        <w:spacing w:after="0" w:line="240" w:lineRule="auto"/>
      </w:pPr>
      <w:r>
        <w:separator/>
      </w:r>
    </w:p>
  </w:footnote>
  <w:footnote w:type="continuationSeparator" w:id="0">
    <w:p w14:paraId="575BC563" w14:textId="77777777" w:rsidR="00005BCB" w:rsidRDefault="00005BCB" w:rsidP="003B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B4C" w14:textId="43DD4850" w:rsidR="003B22CD" w:rsidRDefault="00332C50" w:rsidP="003B22C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5022D8" wp14:editId="261962F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51420" cy="1341120"/>
              <wp:effectExtent l="0" t="0" r="1143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3411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2052C" id="Rectangle 2" o:spid="_x0000_s1026" style="position:absolute;margin-left:0;margin-top:-35.4pt;width:594.6pt;height:105.6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" fillcolor="black [3200]" strokecolor="black [1600]" strokeweight="2pt">
              <w10:wrap anchorx="page"/>
            </v:rect>
          </w:pict>
        </mc:Fallback>
      </mc:AlternateContent>
    </w:r>
    <w:r w:rsidR="00EA62ED">
      <w:rPr>
        <w:noProof/>
      </w:rPr>
      <w:drawing>
        <wp:inline distT="0" distB="0" distL="0" distR="0" wp14:anchorId="0E534DAE" wp14:editId="582082C5">
          <wp:extent cx="864235" cy="90014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CA Logo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90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6A5E1" wp14:editId="65A4AD54">
              <wp:simplePos x="0" y="0"/>
              <wp:positionH relativeFrom="column">
                <wp:posOffset>-57150</wp:posOffset>
              </wp:positionH>
              <wp:positionV relativeFrom="paragraph">
                <wp:posOffset>226695</wp:posOffset>
              </wp:positionV>
              <wp:extent cx="5057775" cy="876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77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90BD4" w14:textId="784C6FF1" w:rsidR="003B22CD" w:rsidRPr="00C47ACB" w:rsidRDefault="003B22CD" w:rsidP="003B22CD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000000"/>
                              <w:sz w:val="46"/>
                              <w:szCs w:val="4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47ACB">
                            <w:rPr>
                              <w:b/>
                              <w:bCs/>
                              <w:noProof/>
                              <w:color w:val="EAAD00"/>
                              <w:sz w:val="46"/>
                              <w:szCs w:val="4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TRADITIONAL GYPSY COB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6A5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5pt;margin-top:17.85pt;width:398.25pt;height:6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" filled="f" stroked="f">
              <v:textbox style="mso-fit-shape-to-text:t">
                <w:txbxContent>
                  <w:p w14:paraId="1E690BD4" w14:textId="784C6FF1" w:rsidR="003B22CD" w:rsidRPr="00C47ACB" w:rsidRDefault="003B22CD" w:rsidP="003B22CD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000000"/>
                        <w:sz w:val="46"/>
                        <w:szCs w:val="4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47ACB">
                      <w:rPr>
                        <w:b/>
                        <w:bCs/>
                        <w:noProof/>
                        <w:color w:val="EAAD00"/>
                        <w:sz w:val="46"/>
                        <w:szCs w:val="4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TRADITIONAL GYPSY COB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AA"/>
    <w:multiLevelType w:val="hybridMultilevel"/>
    <w:tmpl w:val="F82C5316"/>
    <w:lvl w:ilvl="0" w:tplc="2B48D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C37"/>
    <w:multiLevelType w:val="hybridMultilevel"/>
    <w:tmpl w:val="C35A04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F4F"/>
    <w:multiLevelType w:val="hybridMultilevel"/>
    <w:tmpl w:val="CFB4AD78"/>
    <w:lvl w:ilvl="0" w:tplc="2B48D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CA0"/>
    <w:multiLevelType w:val="hybridMultilevel"/>
    <w:tmpl w:val="FF306FA2"/>
    <w:lvl w:ilvl="0" w:tplc="8C0628F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9E33709"/>
    <w:multiLevelType w:val="hybridMultilevel"/>
    <w:tmpl w:val="365601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7965"/>
    <w:multiLevelType w:val="hybridMultilevel"/>
    <w:tmpl w:val="50ECBEE8"/>
    <w:lvl w:ilvl="0" w:tplc="16426A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6317"/>
    <w:multiLevelType w:val="hybridMultilevel"/>
    <w:tmpl w:val="7C4A896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D7CD6"/>
    <w:multiLevelType w:val="hybridMultilevel"/>
    <w:tmpl w:val="DE6C7A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B4FC4"/>
    <w:multiLevelType w:val="hybridMultilevel"/>
    <w:tmpl w:val="AEAEB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23DFF"/>
    <w:multiLevelType w:val="hybridMultilevel"/>
    <w:tmpl w:val="291E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E0D"/>
    <w:multiLevelType w:val="hybridMultilevel"/>
    <w:tmpl w:val="8CC4DA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35DD"/>
    <w:multiLevelType w:val="hybridMultilevel"/>
    <w:tmpl w:val="2A846FEA"/>
    <w:lvl w:ilvl="0" w:tplc="3008F3F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253684">
    <w:abstractNumId w:val="9"/>
  </w:num>
  <w:num w:numId="2" w16cid:durableId="1569146445">
    <w:abstractNumId w:val="10"/>
  </w:num>
  <w:num w:numId="3" w16cid:durableId="82187515">
    <w:abstractNumId w:val="5"/>
  </w:num>
  <w:num w:numId="4" w16cid:durableId="2045404422">
    <w:abstractNumId w:val="2"/>
  </w:num>
  <w:num w:numId="5" w16cid:durableId="871725848">
    <w:abstractNumId w:val="0"/>
  </w:num>
  <w:num w:numId="6" w16cid:durableId="599215207">
    <w:abstractNumId w:val="11"/>
  </w:num>
  <w:num w:numId="7" w16cid:durableId="41760376">
    <w:abstractNumId w:val="6"/>
  </w:num>
  <w:num w:numId="8" w16cid:durableId="1148283590">
    <w:abstractNumId w:val="7"/>
  </w:num>
  <w:num w:numId="9" w16cid:durableId="1456753916">
    <w:abstractNumId w:val="3"/>
  </w:num>
  <w:num w:numId="10" w16cid:durableId="1511868977">
    <w:abstractNumId w:val="4"/>
  </w:num>
  <w:num w:numId="11" w16cid:durableId="778573547">
    <w:abstractNumId w:val="8"/>
  </w:num>
  <w:num w:numId="12" w16cid:durableId="193875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CD"/>
    <w:rsid w:val="00005BCB"/>
    <w:rsid w:val="00021284"/>
    <w:rsid w:val="00035F37"/>
    <w:rsid w:val="00044D34"/>
    <w:rsid w:val="00050C53"/>
    <w:rsid w:val="00060B0B"/>
    <w:rsid w:val="00065650"/>
    <w:rsid w:val="00074A38"/>
    <w:rsid w:val="00093C16"/>
    <w:rsid w:val="000C0772"/>
    <w:rsid w:val="000E3FEA"/>
    <w:rsid w:val="001137CA"/>
    <w:rsid w:val="00113E10"/>
    <w:rsid w:val="00130D4A"/>
    <w:rsid w:val="00162C7C"/>
    <w:rsid w:val="001927AE"/>
    <w:rsid w:val="001C19F6"/>
    <w:rsid w:val="001E2A9E"/>
    <w:rsid w:val="001E5789"/>
    <w:rsid w:val="0021477D"/>
    <w:rsid w:val="0022098A"/>
    <w:rsid w:val="0022749D"/>
    <w:rsid w:val="002342F0"/>
    <w:rsid w:val="002A1C82"/>
    <w:rsid w:val="002A4058"/>
    <w:rsid w:val="002A414C"/>
    <w:rsid w:val="002B0468"/>
    <w:rsid w:val="00312790"/>
    <w:rsid w:val="003266D6"/>
    <w:rsid w:val="00332C50"/>
    <w:rsid w:val="003A04F5"/>
    <w:rsid w:val="003B22CD"/>
    <w:rsid w:val="003B3BAF"/>
    <w:rsid w:val="003D6063"/>
    <w:rsid w:val="00410B1C"/>
    <w:rsid w:val="004354E2"/>
    <w:rsid w:val="00445C48"/>
    <w:rsid w:val="00476C1D"/>
    <w:rsid w:val="004825B2"/>
    <w:rsid w:val="004A01FA"/>
    <w:rsid w:val="004E0B27"/>
    <w:rsid w:val="00500292"/>
    <w:rsid w:val="00500C61"/>
    <w:rsid w:val="00522CFE"/>
    <w:rsid w:val="00542F29"/>
    <w:rsid w:val="005702F8"/>
    <w:rsid w:val="0057593C"/>
    <w:rsid w:val="005853A7"/>
    <w:rsid w:val="00587C77"/>
    <w:rsid w:val="005A1720"/>
    <w:rsid w:val="005C0FFC"/>
    <w:rsid w:val="005C284E"/>
    <w:rsid w:val="005C2866"/>
    <w:rsid w:val="005C4F32"/>
    <w:rsid w:val="005D6B88"/>
    <w:rsid w:val="005E5745"/>
    <w:rsid w:val="005F19FE"/>
    <w:rsid w:val="005F5F64"/>
    <w:rsid w:val="0061349B"/>
    <w:rsid w:val="006167AF"/>
    <w:rsid w:val="00623414"/>
    <w:rsid w:val="00652824"/>
    <w:rsid w:val="00654601"/>
    <w:rsid w:val="00655EB0"/>
    <w:rsid w:val="00670C54"/>
    <w:rsid w:val="006742DD"/>
    <w:rsid w:val="006A416A"/>
    <w:rsid w:val="006B0D81"/>
    <w:rsid w:val="006B6D9D"/>
    <w:rsid w:val="006C5058"/>
    <w:rsid w:val="006C6AEA"/>
    <w:rsid w:val="006E60CC"/>
    <w:rsid w:val="006F27CC"/>
    <w:rsid w:val="006F4CD7"/>
    <w:rsid w:val="006F77ED"/>
    <w:rsid w:val="00731B36"/>
    <w:rsid w:val="007427B3"/>
    <w:rsid w:val="00751454"/>
    <w:rsid w:val="00751711"/>
    <w:rsid w:val="00757FDB"/>
    <w:rsid w:val="00776897"/>
    <w:rsid w:val="007802AC"/>
    <w:rsid w:val="0078308F"/>
    <w:rsid w:val="0078499B"/>
    <w:rsid w:val="007A348F"/>
    <w:rsid w:val="007A3F93"/>
    <w:rsid w:val="007A56E7"/>
    <w:rsid w:val="007C57E4"/>
    <w:rsid w:val="008033C1"/>
    <w:rsid w:val="008077F8"/>
    <w:rsid w:val="00817DED"/>
    <w:rsid w:val="00821714"/>
    <w:rsid w:val="0082239E"/>
    <w:rsid w:val="00841E3C"/>
    <w:rsid w:val="00857BC7"/>
    <w:rsid w:val="00870442"/>
    <w:rsid w:val="00876656"/>
    <w:rsid w:val="00885782"/>
    <w:rsid w:val="00897D70"/>
    <w:rsid w:val="008F146F"/>
    <w:rsid w:val="008F79AE"/>
    <w:rsid w:val="009000C8"/>
    <w:rsid w:val="0091471D"/>
    <w:rsid w:val="00955AE6"/>
    <w:rsid w:val="009618D1"/>
    <w:rsid w:val="00983EF4"/>
    <w:rsid w:val="009845DF"/>
    <w:rsid w:val="00984DC3"/>
    <w:rsid w:val="0098742C"/>
    <w:rsid w:val="009C2E25"/>
    <w:rsid w:val="009D0223"/>
    <w:rsid w:val="009D15B8"/>
    <w:rsid w:val="009E45D9"/>
    <w:rsid w:val="00A17FFB"/>
    <w:rsid w:val="00A37506"/>
    <w:rsid w:val="00A429CB"/>
    <w:rsid w:val="00A612C5"/>
    <w:rsid w:val="00A90217"/>
    <w:rsid w:val="00A93B88"/>
    <w:rsid w:val="00A96A33"/>
    <w:rsid w:val="00AA70BB"/>
    <w:rsid w:val="00AA7AD9"/>
    <w:rsid w:val="00AB3C27"/>
    <w:rsid w:val="00AB5613"/>
    <w:rsid w:val="00AB63A0"/>
    <w:rsid w:val="00AC5836"/>
    <w:rsid w:val="00AD3B5A"/>
    <w:rsid w:val="00B071FE"/>
    <w:rsid w:val="00B35FFA"/>
    <w:rsid w:val="00B54267"/>
    <w:rsid w:val="00B70FDE"/>
    <w:rsid w:val="00B92BEE"/>
    <w:rsid w:val="00BB0B63"/>
    <w:rsid w:val="00BC7CF7"/>
    <w:rsid w:val="00BD412B"/>
    <w:rsid w:val="00BD4EC3"/>
    <w:rsid w:val="00BE07AA"/>
    <w:rsid w:val="00BE5D22"/>
    <w:rsid w:val="00C05C27"/>
    <w:rsid w:val="00C4429F"/>
    <w:rsid w:val="00C45595"/>
    <w:rsid w:val="00C47ACB"/>
    <w:rsid w:val="00C505BD"/>
    <w:rsid w:val="00C552EE"/>
    <w:rsid w:val="00C61ABC"/>
    <w:rsid w:val="00C62BCC"/>
    <w:rsid w:val="00C66AF8"/>
    <w:rsid w:val="00C73AA8"/>
    <w:rsid w:val="00C928EB"/>
    <w:rsid w:val="00CB4DE5"/>
    <w:rsid w:val="00CB740F"/>
    <w:rsid w:val="00CC44CC"/>
    <w:rsid w:val="00CE0AE4"/>
    <w:rsid w:val="00CE78DD"/>
    <w:rsid w:val="00CF5403"/>
    <w:rsid w:val="00D03983"/>
    <w:rsid w:val="00D11B78"/>
    <w:rsid w:val="00D157D2"/>
    <w:rsid w:val="00D273D4"/>
    <w:rsid w:val="00D42490"/>
    <w:rsid w:val="00D63F84"/>
    <w:rsid w:val="00D9524F"/>
    <w:rsid w:val="00DA301D"/>
    <w:rsid w:val="00DC24ED"/>
    <w:rsid w:val="00E03B0F"/>
    <w:rsid w:val="00E079FC"/>
    <w:rsid w:val="00E1190B"/>
    <w:rsid w:val="00E376CD"/>
    <w:rsid w:val="00E40827"/>
    <w:rsid w:val="00E573D3"/>
    <w:rsid w:val="00E61D55"/>
    <w:rsid w:val="00E74B12"/>
    <w:rsid w:val="00E81A32"/>
    <w:rsid w:val="00EA62ED"/>
    <w:rsid w:val="00EB51DE"/>
    <w:rsid w:val="00EB635D"/>
    <w:rsid w:val="00ED1F79"/>
    <w:rsid w:val="00ED281E"/>
    <w:rsid w:val="00EE501B"/>
    <w:rsid w:val="00F12668"/>
    <w:rsid w:val="00F31689"/>
    <w:rsid w:val="00F64A37"/>
    <w:rsid w:val="00F704FE"/>
    <w:rsid w:val="00F83B8A"/>
    <w:rsid w:val="00FB30D4"/>
    <w:rsid w:val="00FC2435"/>
    <w:rsid w:val="00FC76DB"/>
    <w:rsid w:val="00FD71B1"/>
    <w:rsid w:val="00FE042D"/>
    <w:rsid w:val="00FE2732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C1092"/>
  <w15:chartTrackingRefBased/>
  <w15:docId w15:val="{491A54FD-BBE0-44B2-97EA-2E3F5AC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CD"/>
  </w:style>
  <w:style w:type="paragraph" w:styleId="Footer">
    <w:name w:val="footer"/>
    <w:basedOn w:val="Normal"/>
    <w:link w:val="FooterChar"/>
    <w:uiPriority w:val="99"/>
    <w:unhideWhenUsed/>
    <w:rsid w:val="003B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CD"/>
  </w:style>
  <w:style w:type="paragraph" w:styleId="ListParagraph">
    <w:name w:val="List Paragraph"/>
    <w:basedOn w:val="Normal"/>
    <w:uiPriority w:val="34"/>
    <w:qFormat/>
    <w:rsid w:val="003B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E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E25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9C2E25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C2E25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C2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C2E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E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ca.co.uk/TGCA%20Health%20&amp;%20Welfa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gca.co.uk/breeder-as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ca.co.uk/grading-evaluation-detai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9B97-FC50-428A-8257-D4A715D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Herd Tour Help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 Book Guidance</dc:title>
  <dc:subject/>
  <dc:creator>Kerri</dc:creator>
  <cp:keywords/>
  <dc:description/>
  <cp:lastModifiedBy>kerri skelton</cp:lastModifiedBy>
  <cp:revision>7</cp:revision>
  <cp:lastPrinted>2023-03-08T20:27:00Z</cp:lastPrinted>
  <dcterms:created xsi:type="dcterms:W3CDTF">2023-03-08T20:27:00Z</dcterms:created>
  <dcterms:modified xsi:type="dcterms:W3CDTF">2023-03-08T20:31:00Z</dcterms:modified>
</cp:coreProperties>
</file>