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Our Free Minds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Equal Employment Opportunity Commission Statement</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At Our Free Minds we will ensure that we provide a safe and caring environment, free from discrimination, for everyone in our community. We are committed to creating a community where equality and diversity are fundamental priorities.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hd w:fill="ffffff" w:val="clear"/>
        <w:spacing w:after="220" w:lineRule="auto"/>
        <w:rPr>
          <w:sz w:val="24"/>
          <w:szCs w:val="24"/>
        </w:rPr>
      </w:pPr>
      <w:r w:rsidDel="00000000" w:rsidR="00000000" w:rsidRPr="00000000">
        <w:rPr>
          <w:sz w:val="24"/>
          <w:szCs w:val="24"/>
          <w:rtl w:val="0"/>
        </w:rPr>
        <w:t xml:space="preserve">Under the Equality Act 2010, it is unlawful to discriminate against someone in the workplace by reason of any one of nine protected characteristics. Our Free Minds is committed to ensuring that these legal requirements are met consistently throughout the organisation.</w:t>
      </w:r>
    </w:p>
    <w:p w:rsidR="00000000" w:rsidDel="00000000" w:rsidP="00000000" w:rsidRDefault="00000000" w:rsidRPr="00000000" w14:paraId="00000007">
      <w:pPr>
        <w:shd w:fill="ffffff" w:val="clear"/>
        <w:spacing w:after="220" w:lineRule="auto"/>
        <w:rPr>
          <w:sz w:val="24"/>
          <w:szCs w:val="24"/>
        </w:rPr>
      </w:pPr>
      <w:r w:rsidDel="00000000" w:rsidR="00000000" w:rsidRPr="00000000">
        <w:rPr>
          <w:sz w:val="24"/>
          <w:szCs w:val="24"/>
          <w:rtl w:val="0"/>
        </w:rPr>
        <w:t xml:space="preserve">These nine protected characteristics include:</w:t>
      </w:r>
    </w:p>
    <w:p w:rsidR="00000000" w:rsidDel="00000000" w:rsidP="00000000" w:rsidRDefault="00000000" w:rsidRPr="00000000" w14:paraId="00000008">
      <w:pPr>
        <w:numPr>
          <w:ilvl w:val="0"/>
          <w:numId w:val="2"/>
        </w:numPr>
        <w:shd w:fill="ffffff" w:val="clear"/>
        <w:ind w:left="720" w:hanging="360"/>
        <w:rPr>
          <w:color w:val="000000"/>
          <w:sz w:val="24"/>
          <w:szCs w:val="24"/>
        </w:rPr>
      </w:pPr>
      <w:r w:rsidDel="00000000" w:rsidR="00000000" w:rsidRPr="00000000">
        <w:rPr>
          <w:sz w:val="24"/>
          <w:szCs w:val="24"/>
          <w:rtl w:val="0"/>
        </w:rPr>
        <w:t xml:space="preserve">Age</w:t>
      </w:r>
    </w:p>
    <w:p w:rsidR="00000000" w:rsidDel="00000000" w:rsidP="00000000" w:rsidRDefault="00000000" w:rsidRPr="00000000" w14:paraId="00000009">
      <w:pPr>
        <w:numPr>
          <w:ilvl w:val="0"/>
          <w:numId w:val="2"/>
        </w:numPr>
        <w:shd w:fill="ffffff" w:val="clear"/>
        <w:ind w:left="720" w:hanging="360"/>
        <w:rPr>
          <w:color w:val="000000"/>
          <w:sz w:val="24"/>
          <w:szCs w:val="24"/>
        </w:rPr>
      </w:pPr>
      <w:r w:rsidDel="00000000" w:rsidR="00000000" w:rsidRPr="00000000">
        <w:rPr>
          <w:sz w:val="24"/>
          <w:szCs w:val="24"/>
          <w:rtl w:val="0"/>
        </w:rPr>
        <w:t xml:space="preserve">Disability</w:t>
      </w:r>
    </w:p>
    <w:p w:rsidR="00000000" w:rsidDel="00000000" w:rsidP="00000000" w:rsidRDefault="00000000" w:rsidRPr="00000000" w14:paraId="0000000A">
      <w:pPr>
        <w:numPr>
          <w:ilvl w:val="0"/>
          <w:numId w:val="2"/>
        </w:numPr>
        <w:shd w:fill="ffffff" w:val="clear"/>
        <w:ind w:left="720" w:hanging="360"/>
        <w:rPr>
          <w:color w:val="000000"/>
          <w:sz w:val="24"/>
          <w:szCs w:val="24"/>
        </w:rPr>
      </w:pPr>
      <w:r w:rsidDel="00000000" w:rsidR="00000000" w:rsidRPr="00000000">
        <w:rPr>
          <w:sz w:val="24"/>
          <w:szCs w:val="24"/>
          <w:rtl w:val="0"/>
        </w:rPr>
        <w:t xml:space="preserve">Gender reassignment</w:t>
      </w:r>
    </w:p>
    <w:p w:rsidR="00000000" w:rsidDel="00000000" w:rsidP="00000000" w:rsidRDefault="00000000" w:rsidRPr="00000000" w14:paraId="0000000B">
      <w:pPr>
        <w:numPr>
          <w:ilvl w:val="0"/>
          <w:numId w:val="2"/>
        </w:numPr>
        <w:shd w:fill="ffffff" w:val="clear"/>
        <w:ind w:left="720" w:hanging="360"/>
        <w:rPr>
          <w:color w:val="000000"/>
          <w:sz w:val="24"/>
          <w:szCs w:val="24"/>
        </w:rPr>
      </w:pPr>
      <w:r w:rsidDel="00000000" w:rsidR="00000000" w:rsidRPr="00000000">
        <w:rPr>
          <w:sz w:val="24"/>
          <w:szCs w:val="24"/>
          <w:rtl w:val="0"/>
        </w:rPr>
        <w:t xml:space="preserve">Marriage and civil partnership</w:t>
      </w:r>
    </w:p>
    <w:p w:rsidR="00000000" w:rsidDel="00000000" w:rsidP="00000000" w:rsidRDefault="00000000" w:rsidRPr="00000000" w14:paraId="0000000C">
      <w:pPr>
        <w:numPr>
          <w:ilvl w:val="0"/>
          <w:numId w:val="2"/>
        </w:numPr>
        <w:shd w:fill="ffffff" w:val="clear"/>
        <w:ind w:left="720" w:hanging="360"/>
        <w:rPr>
          <w:color w:val="000000"/>
          <w:sz w:val="24"/>
          <w:szCs w:val="24"/>
        </w:rPr>
      </w:pPr>
      <w:r w:rsidDel="00000000" w:rsidR="00000000" w:rsidRPr="00000000">
        <w:rPr>
          <w:sz w:val="24"/>
          <w:szCs w:val="24"/>
          <w:rtl w:val="0"/>
        </w:rPr>
        <w:t xml:space="preserve">Pregnancy and maternity</w:t>
      </w:r>
    </w:p>
    <w:p w:rsidR="00000000" w:rsidDel="00000000" w:rsidP="00000000" w:rsidRDefault="00000000" w:rsidRPr="00000000" w14:paraId="0000000D">
      <w:pPr>
        <w:numPr>
          <w:ilvl w:val="0"/>
          <w:numId w:val="2"/>
        </w:numPr>
        <w:shd w:fill="ffffff" w:val="clear"/>
        <w:ind w:left="720" w:hanging="360"/>
        <w:rPr>
          <w:color w:val="000000"/>
          <w:sz w:val="24"/>
          <w:szCs w:val="24"/>
        </w:rPr>
      </w:pPr>
      <w:r w:rsidDel="00000000" w:rsidR="00000000" w:rsidRPr="00000000">
        <w:rPr>
          <w:sz w:val="24"/>
          <w:szCs w:val="24"/>
          <w:rtl w:val="0"/>
        </w:rPr>
        <w:t xml:space="preserve">Race</w:t>
      </w:r>
    </w:p>
    <w:p w:rsidR="00000000" w:rsidDel="00000000" w:rsidP="00000000" w:rsidRDefault="00000000" w:rsidRPr="00000000" w14:paraId="0000000E">
      <w:pPr>
        <w:numPr>
          <w:ilvl w:val="0"/>
          <w:numId w:val="2"/>
        </w:numPr>
        <w:shd w:fill="ffffff" w:val="clear"/>
        <w:ind w:left="720" w:hanging="360"/>
        <w:rPr>
          <w:color w:val="000000"/>
          <w:sz w:val="24"/>
          <w:szCs w:val="24"/>
        </w:rPr>
      </w:pPr>
      <w:r w:rsidDel="00000000" w:rsidR="00000000" w:rsidRPr="00000000">
        <w:rPr>
          <w:sz w:val="24"/>
          <w:szCs w:val="24"/>
          <w:rtl w:val="0"/>
        </w:rPr>
        <w:t xml:space="preserve">Religion or belief</w:t>
      </w:r>
    </w:p>
    <w:p w:rsidR="00000000" w:rsidDel="00000000" w:rsidP="00000000" w:rsidRDefault="00000000" w:rsidRPr="00000000" w14:paraId="0000000F">
      <w:pPr>
        <w:numPr>
          <w:ilvl w:val="0"/>
          <w:numId w:val="2"/>
        </w:numPr>
        <w:shd w:fill="ffffff" w:val="clear"/>
        <w:ind w:left="720" w:hanging="360"/>
        <w:rPr>
          <w:color w:val="000000"/>
          <w:sz w:val="24"/>
          <w:szCs w:val="24"/>
        </w:rPr>
      </w:pPr>
      <w:r w:rsidDel="00000000" w:rsidR="00000000" w:rsidRPr="00000000">
        <w:rPr>
          <w:sz w:val="24"/>
          <w:szCs w:val="24"/>
          <w:rtl w:val="0"/>
        </w:rPr>
        <w:t xml:space="preserve">Sex, and</w:t>
      </w:r>
    </w:p>
    <w:p w:rsidR="00000000" w:rsidDel="00000000" w:rsidP="00000000" w:rsidRDefault="00000000" w:rsidRPr="00000000" w14:paraId="00000010">
      <w:pPr>
        <w:numPr>
          <w:ilvl w:val="0"/>
          <w:numId w:val="2"/>
        </w:numPr>
        <w:shd w:fill="ffffff" w:val="clear"/>
        <w:ind w:left="720" w:hanging="360"/>
        <w:rPr>
          <w:color w:val="000000"/>
          <w:sz w:val="24"/>
          <w:szCs w:val="24"/>
        </w:rPr>
      </w:pPr>
      <w:r w:rsidDel="00000000" w:rsidR="00000000" w:rsidRPr="00000000">
        <w:rPr>
          <w:sz w:val="24"/>
          <w:szCs w:val="24"/>
          <w:rtl w:val="0"/>
        </w:rPr>
        <w:t xml:space="preserve">Sexual orientation.</w:t>
      </w:r>
    </w:p>
    <w:p w:rsidR="00000000" w:rsidDel="00000000" w:rsidP="00000000" w:rsidRDefault="00000000" w:rsidRPr="00000000" w14:paraId="00000011">
      <w:pPr>
        <w:shd w:fill="ffffff" w:val="clear"/>
        <w:spacing w:after="22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2">
      <w:pPr>
        <w:shd w:fill="ffffff" w:val="clear"/>
        <w:spacing w:after="220" w:lineRule="auto"/>
        <w:rPr>
          <w:color w:val="333333"/>
          <w:sz w:val="24"/>
          <w:szCs w:val="24"/>
        </w:rPr>
      </w:pPr>
      <w:r w:rsidDel="00000000" w:rsidR="00000000" w:rsidRPr="00000000">
        <w:rPr>
          <w:color w:val="333333"/>
          <w:sz w:val="24"/>
          <w:szCs w:val="24"/>
          <w:rtl w:val="0"/>
        </w:rPr>
        <w:t xml:space="preserve">Under the 2010 Act, unlawful discrimination can take place in the following different forms:</w:t>
      </w:r>
    </w:p>
    <w:p w:rsidR="00000000" w:rsidDel="00000000" w:rsidP="00000000" w:rsidRDefault="00000000" w:rsidRPr="00000000" w14:paraId="00000013">
      <w:pPr>
        <w:numPr>
          <w:ilvl w:val="0"/>
          <w:numId w:val="1"/>
        </w:numPr>
        <w:shd w:fill="ffffff" w:val="clear"/>
        <w:ind w:left="720" w:hanging="360"/>
        <w:rPr>
          <w:sz w:val="24"/>
          <w:szCs w:val="24"/>
        </w:rPr>
      </w:pPr>
      <w:r w:rsidDel="00000000" w:rsidR="00000000" w:rsidRPr="00000000">
        <w:rPr>
          <w:color w:val="007581"/>
          <w:sz w:val="24"/>
          <w:szCs w:val="24"/>
          <w:rtl w:val="0"/>
        </w:rPr>
        <w:t xml:space="preserve">Direct discrimination:</w:t>
      </w:r>
      <w:r w:rsidDel="00000000" w:rsidR="00000000" w:rsidRPr="00000000">
        <w:rPr>
          <w:color w:val="333333"/>
          <w:sz w:val="24"/>
          <w:szCs w:val="24"/>
          <w:rtl w:val="0"/>
        </w:rPr>
        <w:t xml:space="preserve"> when someone is treated less favourably than others because they possess a protected characteristic, or because they are perceived to have, or they are associated with someone who has, a protected characteristic.</w:t>
      </w:r>
    </w:p>
    <w:p w:rsidR="00000000" w:rsidDel="00000000" w:rsidP="00000000" w:rsidRDefault="00000000" w:rsidRPr="00000000" w14:paraId="00000014">
      <w:pPr>
        <w:numPr>
          <w:ilvl w:val="0"/>
          <w:numId w:val="1"/>
        </w:numPr>
        <w:shd w:fill="ffffff" w:val="clear"/>
        <w:ind w:left="720" w:hanging="360"/>
        <w:rPr>
          <w:sz w:val="24"/>
          <w:szCs w:val="24"/>
        </w:rPr>
      </w:pPr>
      <w:r w:rsidDel="00000000" w:rsidR="00000000" w:rsidRPr="00000000">
        <w:rPr>
          <w:color w:val="007581"/>
          <w:sz w:val="24"/>
          <w:szCs w:val="24"/>
          <w:rtl w:val="0"/>
        </w:rPr>
        <w:t xml:space="preserve">Indirect discrimination: </w:t>
      </w:r>
      <w:r w:rsidDel="00000000" w:rsidR="00000000" w:rsidRPr="00000000">
        <w:rPr>
          <w:color w:val="333333"/>
          <w:sz w:val="24"/>
          <w:szCs w:val="24"/>
          <w:rtl w:val="0"/>
        </w:rPr>
        <w:t xml:space="preserve">when there is a policy, rule or procedure in place at work that applies equally to everyone, but puts someone who possesses a protected characteristic at an unfair disadvantage when compared with others.</w:t>
      </w:r>
    </w:p>
    <w:p w:rsidR="00000000" w:rsidDel="00000000" w:rsidP="00000000" w:rsidRDefault="00000000" w:rsidRPr="00000000" w14:paraId="00000015">
      <w:pPr>
        <w:numPr>
          <w:ilvl w:val="0"/>
          <w:numId w:val="1"/>
        </w:numPr>
        <w:shd w:fill="ffffff" w:val="clear"/>
        <w:ind w:left="720" w:hanging="360"/>
        <w:rPr>
          <w:sz w:val="24"/>
          <w:szCs w:val="24"/>
        </w:rPr>
      </w:pPr>
      <w:r w:rsidDel="00000000" w:rsidR="00000000" w:rsidRPr="00000000">
        <w:rPr>
          <w:color w:val="007581"/>
          <w:sz w:val="24"/>
          <w:szCs w:val="24"/>
          <w:rtl w:val="0"/>
        </w:rPr>
        <w:t xml:space="preserve">Harassment:</w:t>
      </w:r>
      <w:r w:rsidDel="00000000" w:rsidR="00000000" w:rsidRPr="00000000">
        <w:rPr>
          <w:color w:val="333333"/>
          <w:sz w:val="24"/>
          <w:szCs w:val="24"/>
          <w:rtl w:val="0"/>
        </w:rPr>
        <w:t xml:space="preserve"> when someone’s dignity is being violated at work through unwanted conduct linked to a protected characteristic, or where this conduct creates an intimidating, hostile, degrading, humiliating or offensive environment for them.</w:t>
      </w:r>
    </w:p>
    <w:p w:rsidR="00000000" w:rsidDel="00000000" w:rsidP="00000000" w:rsidRDefault="00000000" w:rsidRPr="00000000" w14:paraId="00000016">
      <w:pPr>
        <w:numPr>
          <w:ilvl w:val="0"/>
          <w:numId w:val="1"/>
        </w:numPr>
        <w:shd w:fill="ffffff" w:val="clear"/>
        <w:ind w:left="720" w:hanging="360"/>
        <w:rPr>
          <w:sz w:val="24"/>
          <w:szCs w:val="24"/>
        </w:rPr>
      </w:pPr>
      <w:r w:rsidDel="00000000" w:rsidR="00000000" w:rsidRPr="00000000">
        <w:rPr>
          <w:color w:val="007581"/>
          <w:sz w:val="24"/>
          <w:szCs w:val="24"/>
          <w:rtl w:val="0"/>
        </w:rPr>
        <w:t xml:space="preserve">Victimisation: </w:t>
      </w:r>
      <w:r w:rsidDel="00000000" w:rsidR="00000000" w:rsidRPr="00000000">
        <w:rPr>
          <w:color w:val="333333"/>
          <w:sz w:val="24"/>
          <w:szCs w:val="24"/>
          <w:rtl w:val="0"/>
        </w:rPr>
        <w:t xml:space="preserve">when someone is being treated unfairly at work because they have complained about, or supported a complaint in relation to, discrimination or harassment.</w:t>
      </w:r>
    </w:p>
    <w:p w:rsidR="00000000" w:rsidDel="00000000" w:rsidP="00000000" w:rsidRDefault="00000000" w:rsidRPr="00000000" w14:paraId="00000017">
      <w:pPr>
        <w:shd w:fill="ffffff" w:val="clear"/>
        <w:spacing w:after="220" w:lineRule="auto"/>
        <w:rPr>
          <w:color w:val="333333"/>
          <w:sz w:val="24"/>
          <w:szCs w:val="24"/>
        </w:rPr>
      </w:pPr>
      <w:r w:rsidDel="00000000" w:rsidR="00000000" w:rsidRPr="00000000">
        <w:rPr>
          <w:rtl w:val="0"/>
        </w:rPr>
      </w:r>
    </w:p>
    <w:p w:rsidR="00000000" w:rsidDel="00000000" w:rsidP="00000000" w:rsidRDefault="00000000" w:rsidRPr="00000000" w14:paraId="00000018">
      <w:pPr>
        <w:shd w:fill="ffffff" w:val="clear"/>
        <w:spacing w:after="220" w:lineRule="auto"/>
        <w:rPr>
          <w:color w:val="333333"/>
          <w:sz w:val="24"/>
          <w:szCs w:val="24"/>
        </w:rPr>
      </w:pPr>
      <w:r w:rsidDel="00000000" w:rsidR="00000000" w:rsidRPr="00000000">
        <w:rPr>
          <w:color w:val="333333"/>
          <w:sz w:val="24"/>
          <w:szCs w:val="24"/>
          <w:rtl w:val="0"/>
        </w:rPr>
        <w:t xml:space="preserve">We also respect our duty to make reasonable adjustments for disabled employees. . </w:t>
      </w:r>
    </w:p>
    <w:p w:rsidR="00000000" w:rsidDel="00000000" w:rsidP="00000000" w:rsidRDefault="00000000" w:rsidRPr="00000000" w14:paraId="00000019">
      <w:pPr>
        <w:shd w:fill="ffffff" w:val="clear"/>
        <w:rPr>
          <w:b w:val="1"/>
          <w:color w:val="333333"/>
          <w:sz w:val="24"/>
          <w:szCs w:val="24"/>
        </w:rPr>
      </w:pPr>
      <w:r w:rsidDel="00000000" w:rsidR="00000000" w:rsidRPr="00000000">
        <w:rPr>
          <w:rtl w:val="0"/>
        </w:rPr>
      </w:r>
    </w:p>
    <w:p w:rsidR="00000000" w:rsidDel="00000000" w:rsidP="00000000" w:rsidRDefault="00000000" w:rsidRPr="00000000" w14:paraId="0000001A">
      <w:pPr>
        <w:shd w:fill="ffffff" w:val="clear"/>
        <w:rPr>
          <w:b w:val="1"/>
          <w:color w:val="333333"/>
          <w:sz w:val="24"/>
          <w:szCs w:val="24"/>
        </w:rPr>
      </w:pPr>
      <w:r w:rsidDel="00000000" w:rsidR="00000000" w:rsidRPr="00000000">
        <w:rPr>
          <w:b w:val="1"/>
          <w:color w:val="333333"/>
          <w:sz w:val="24"/>
          <w:szCs w:val="24"/>
          <w:rtl w:val="0"/>
        </w:rPr>
        <w:t xml:space="preserve">Disciplinary sanctions</w:t>
      </w:r>
    </w:p>
    <w:p w:rsidR="00000000" w:rsidDel="00000000" w:rsidP="00000000" w:rsidRDefault="00000000" w:rsidRPr="00000000" w14:paraId="0000001B">
      <w:pPr>
        <w:shd w:fill="ffffff" w:val="clear"/>
        <w:rPr>
          <w:color w:val="333333"/>
          <w:sz w:val="24"/>
          <w:szCs w:val="24"/>
        </w:rPr>
      </w:pPr>
      <w:r w:rsidDel="00000000" w:rsidR="00000000" w:rsidRPr="00000000">
        <w:rPr>
          <w:color w:val="333333"/>
          <w:sz w:val="24"/>
          <w:szCs w:val="24"/>
          <w:rtl w:val="0"/>
        </w:rPr>
        <w:t xml:space="preserve">All members of staff are expected to respect and act in accordance with the law and this policy, and any discriminatory behaviour could result in action being taken against them.</w:t>
      </w:r>
    </w:p>
    <w:p w:rsidR="00000000" w:rsidDel="00000000" w:rsidP="00000000" w:rsidRDefault="00000000" w:rsidRPr="00000000" w14:paraId="0000001C">
      <w:pPr>
        <w:shd w:fill="ffffff" w:val="clear"/>
        <w:rPr>
          <w:color w:val="333333"/>
          <w:sz w:val="24"/>
          <w:szCs w:val="24"/>
        </w:rPr>
      </w:pPr>
      <w:r w:rsidDel="00000000" w:rsidR="00000000" w:rsidRPr="00000000">
        <w:rPr>
          <w:rtl w:val="0"/>
        </w:rPr>
      </w:r>
    </w:p>
    <w:p w:rsidR="00000000" w:rsidDel="00000000" w:rsidP="00000000" w:rsidRDefault="00000000" w:rsidRPr="00000000" w14:paraId="0000001D">
      <w:pPr>
        <w:shd w:fill="ffffff" w:val="clear"/>
        <w:rPr>
          <w:b w:val="1"/>
          <w:color w:val="333333"/>
          <w:sz w:val="24"/>
          <w:szCs w:val="24"/>
        </w:rPr>
      </w:pPr>
      <w:r w:rsidDel="00000000" w:rsidR="00000000" w:rsidRPr="00000000">
        <w:rPr>
          <w:b w:val="1"/>
          <w:color w:val="333333"/>
          <w:sz w:val="24"/>
          <w:szCs w:val="24"/>
          <w:rtl w:val="0"/>
        </w:rPr>
        <w:t xml:space="preserve">Reporting discriminatory behaviour</w:t>
      </w:r>
    </w:p>
    <w:p w:rsidR="00000000" w:rsidDel="00000000" w:rsidP="00000000" w:rsidRDefault="00000000" w:rsidRPr="00000000" w14:paraId="0000001E">
      <w:pPr>
        <w:shd w:fill="ffffff" w:val="clear"/>
        <w:rPr>
          <w:color w:val="333333"/>
          <w:sz w:val="24"/>
          <w:szCs w:val="24"/>
        </w:rPr>
      </w:pPr>
      <w:r w:rsidDel="00000000" w:rsidR="00000000" w:rsidRPr="00000000">
        <w:rPr>
          <w:rtl w:val="0"/>
        </w:rPr>
      </w:r>
    </w:p>
    <w:p w:rsidR="00000000" w:rsidDel="00000000" w:rsidP="00000000" w:rsidRDefault="00000000" w:rsidRPr="00000000" w14:paraId="0000001F">
      <w:pPr>
        <w:shd w:fill="ffffff" w:val="clear"/>
        <w:rPr>
          <w:color w:val="333333"/>
          <w:sz w:val="24"/>
          <w:szCs w:val="24"/>
        </w:rPr>
      </w:pPr>
      <w:r w:rsidDel="00000000" w:rsidR="00000000" w:rsidRPr="00000000">
        <w:rPr>
          <w:color w:val="333333"/>
          <w:sz w:val="24"/>
          <w:szCs w:val="24"/>
          <w:rtl w:val="0"/>
        </w:rPr>
        <w:t xml:space="preserve">In the event of witnessing or experiencing any discriminatory behaviour, lodge a formal complaint using our complaints procedures. </w:t>
      </w:r>
    </w:p>
    <w:p w:rsidR="00000000" w:rsidDel="00000000" w:rsidP="00000000" w:rsidRDefault="00000000" w:rsidRPr="00000000" w14:paraId="00000020">
      <w:pPr>
        <w:shd w:fill="ffffff" w:val="clear"/>
        <w:rPr>
          <w:color w:val="333333"/>
          <w:sz w:val="24"/>
          <w:szCs w:val="24"/>
        </w:rPr>
      </w:pPr>
      <w:r w:rsidDel="00000000" w:rsidR="00000000" w:rsidRPr="00000000">
        <w:rPr>
          <w:rtl w:val="0"/>
        </w:rPr>
      </w:r>
    </w:p>
    <w:p w:rsidR="00000000" w:rsidDel="00000000" w:rsidP="00000000" w:rsidRDefault="00000000" w:rsidRPr="00000000" w14:paraId="00000021">
      <w:pPr>
        <w:shd w:fill="ffffff" w:val="clear"/>
        <w:rPr>
          <w:color w:val="333333"/>
          <w:sz w:val="24"/>
          <w:szCs w:val="24"/>
        </w:rPr>
      </w:pPr>
      <w:r w:rsidDel="00000000" w:rsidR="00000000" w:rsidRPr="00000000">
        <w:rPr>
          <w:color w:val="333333"/>
          <w:sz w:val="24"/>
          <w:szCs w:val="24"/>
          <w:rtl w:val="0"/>
        </w:rPr>
        <w:t xml:space="preserve">The individual with overall responsibility for such matters is:</w:t>
      </w:r>
    </w:p>
    <w:p w:rsidR="00000000" w:rsidDel="00000000" w:rsidP="00000000" w:rsidRDefault="00000000" w:rsidRPr="00000000" w14:paraId="00000022">
      <w:pPr>
        <w:shd w:fill="ffffff" w:val="clear"/>
        <w:ind w:left="720" w:firstLine="720"/>
        <w:rPr>
          <w:color w:val="333333"/>
          <w:sz w:val="24"/>
          <w:szCs w:val="24"/>
        </w:rPr>
      </w:pPr>
      <w:r w:rsidDel="00000000" w:rsidR="00000000" w:rsidRPr="00000000">
        <w:rPr>
          <w:color w:val="333333"/>
          <w:sz w:val="24"/>
          <w:szCs w:val="24"/>
          <w:rtl w:val="0"/>
        </w:rPr>
        <w:t xml:space="preserve">Guy Asherson Taylor</w:t>
      </w:r>
    </w:p>
    <w:p w:rsidR="00000000" w:rsidDel="00000000" w:rsidP="00000000" w:rsidRDefault="00000000" w:rsidRPr="00000000" w14:paraId="00000023">
      <w:pPr>
        <w:shd w:fill="ffffff" w:val="clear"/>
        <w:ind w:left="720" w:firstLine="720"/>
        <w:rPr>
          <w:color w:val="333333"/>
          <w:sz w:val="24"/>
          <w:szCs w:val="24"/>
        </w:rPr>
      </w:pPr>
      <w:r w:rsidDel="00000000" w:rsidR="00000000" w:rsidRPr="00000000">
        <w:rPr>
          <w:rtl w:val="0"/>
        </w:rPr>
      </w:r>
    </w:p>
    <w:p w:rsidR="00000000" w:rsidDel="00000000" w:rsidP="00000000" w:rsidRDefault="00000000" w:rsidRPr="00000000" w14:paraId="00000024">
      <w:pPr>
        <w:shd w:fill="ffffff" w:val="clear"/>
        <w:rPr>
          <w:color w:val="333333"/>
          <w:sz w:val="24"/>
          <w:szCs w:val="24"/>
        </w:rPr>
      </w:pPr>
      <w:r w:rsidDel="00000000" w:rsidR="00000000" w:rsidRPr="00000000">
        <w:rPr>
          <w:color w:val="333333"/>
          <w:sz w:val="24"/>
          <w:szCs w:val="24"/>
          <w:rtl w:val="0"/>
        </w:rPr>
        <w:t xml:space="preserve">You may also report any grievance to our Board of Trustees via the Secretary:</w:t>
      </w:r>
    </w:p>
    <w:p w:rsidR="00000000" w:rsidDel="00000000" w:rsidP="00000000" w:rsidRDefault="00000000" w:rsidRPr="00000000" w14:paraId="00000025">
      <w:pPr>
        <w:shd w:fill="ffffff" w:val="clear"/>
        <w:ind w:left="720" w:firstLine="720"/>
        <w:rPr>
          <w:color w:val="333333"/>
          <w:sz w:val="24"/>
          <w:szCs w:val="24"/>
        </w:rPr>
      </w:pPr>
      <w:r w:rsidDel="00000000" w:rsidR="00000000" w:rsidRPr="00000000">
        <w:rPr>
          <w:color w:val="333333"/>
          <w:sz w:val="24"/>
          <w:szCs w:val="24"/>
          <w:rtl w:val="0"/>
        </w:rPr>
        <w:t xml:space="preserve">Sze Wai Wong.</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23.7677001953125"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Last Reviewed </w:t>
            </w:r>
          </w:p>
          <w:p w:rsidR="00000000" w:rsidDel="00000000" w:rsidP="00000000" w:rsidRDefault="00000000" w:rsidRPr="00000000" w14:paraId="0000002B">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Date: </w:t>
            </w:r>
            <w:r w:rsidDel="00000000" w:rsidR="00000000" w:rsidRPr="00000000">
              <w:rPr>
                <w:rFonts w:ascii="Trebuchet MS" w:cs="Trebuchet MS" w:eastAsia="Trebuchet MS" w:hAnsi="Trebuchet MS"/>
                <w:color w:val="0000ff"/>
                <w:sz w:val="24"/>
                <w:szCs w:val="24"/>
                <w:rtl w:val="0"/>
              </w:rPr>
              <w:t xml:space="preserve">23.08.2023</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w:t>
            </w:r>
            <w:r w:rsidDel="00000000" w:rsidR="00000000" w:rsidRPr="00000000">
              <w:rPr>
                <w:rFonts w:ascii="Trebuchet MS" w:cs="Trebuchet MS" w:eastAsia="Trebuchet MS" w:hAnsi="Trebuchet MS"/>
                <w:color w:val="0000ff"/>
                <w:sz w:val="24"/>
                <w:szCs w:val="24"/>
                <w:rtl w:val="0"/>
              </w:rPr>
              <w:t xml:space="preserve">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r w:rsidDel="00000000" w:rsidR="00000000" w:rsidRPr="00000000">
              <w:rPr>
                <w:rFonts w:ascii="Trebuchet MS" w:cs="Trebuchet MS" w:eastAsia="Trebuchet MS" w:hAnsi="Trebuchet MS"/>
                <w:color w:val="0000ff"/>
                <w:sz w:val="24"/>
                <w:szCs w:val="24"/>
                <w:rtl w:val="0"/>
              </w:rPr>
              <w:t xml:space="preserve">Sze Wai WONG</w:t>
            </w:r>
          </w:p>
        </w:tc>
      </w:tr>
    </w:tbl>
    <w:p w:rsidR="00000000" w:rsidDel="00000000" w:rsidP="00000000" w:rsidRDefault="00000000" w:rsidRPr="00000000" w14:paraId="0000002E">
      <w:pPr>
        <w:widowControl w:val="0"/>
        <w:spacing w:line="223.4400987625122" w:lineRule="auto"/>
        <w:ind w:right="-4.000244140625"/>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