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C618E" w14:textId="1B115EB4" w:rsidR="004652A9" w:rsidRPr="004936EC" w:rsidRDefault="004652A9" w:rsidP="004936E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936EC">
        <w:rPr>
          <w:rFonts w:cstheme="minorHAnsi"/>
          <w:b/>
          <w:bCs/>
          <w:sz w:val="24"/>
          <w:szCs w:val="24"/>
        </w:rPr>
        <w:t xml:space="preserve">IDSA </w:t>
      </w:r>
      <w:r w:rsidR="003F48BA">
        <w:rPr>
          <w:rFonts w:cstheme="minorHAnsi"/>
          <w:b/>
          <w:bCs/>
          <w:sz w:val="24"/>
          <w:szCs w:val="24"/>
        </w:rPr>
        <w:t xml:space="preserve">Urinary Tract Infections </w:t>
      </w:r>
      <w:r w:rsidRPr="004936EC">
        <w:rPr>
          <w:rFonts w:cstheme="minorHAnsi"/>
          <w:b/>
          <w:bCs/>
          <w:sz w:val="24"/>
          <w:szCs w:val="24"/>
        </w:rPr>
        <w:t xml:space="preserve">Clinical Practice Guidelines </w:t>
      </w:r>
    </w:p>
    <w:p w14:paraId="16B740A0" w14:textId="472DC779" w:rsidR="004652A9" w:rsidRPr="004936EC" w:rsidRDefault="004652A9" w:rsidP="004936EC">
      <w:pPr>
        <w:pBdr>
          <w:bottom w:val="double" w:sz="6" w:space="13" w:color="auto"/>
        </w:pBd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936EC">
        <w:rPr>
          <w:rFonts w:cstheme="minorHAnsi"/>
          <w:b/>
          <w:bCs/>
          <w:sz w:val="24"/>
          <w:szCs w:val="24"/>
        </w:rPr>
        <w:t>Patient Representative Description</w:t>
      </w:r>
      <w:bookmarkStart w:id="0" w:name="_GoBack"/>
      <w:bookmarkEnd w:id="0"/>
    </w:p>
    <w:p w14:paraId="2F574E6C" w14:textId="77777777" w:rsidR="004936EC" w:rsidRPr="000535F6" w:rsidRDefault="004936EC" w:rsidP="004936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4DE6B44" w14:textId="0639C322" w:rsidR="002D6996" w:rsidRPr="004936EC" w:rsidRDefault="002D6996" w:rsidP="004936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936EC">
        <w:rPr>
          <w:rFonts w:cstheme="minorHAnsi"/>
        </w:rPr>
        <w:t>IDSA is committed to the development of patient-centered clinical practice guidelines to help guide the delivery of high</w:t>
      </w:r>
      <w:r w:rsidR="004936EC">
        <w:rPr>
          <w:rFonts w:cstheme="minorHAnsi"/>
        </w:rPr>
        <w:t>-</w:t>
      </w:r>
      <w:r w:rsidRPr="004936EC">
        <w:rPr>
          <w:rFonts w:cstheme="minorHAnsi"/>
        </w:rPr>
        <w:t>quality care.</w:t>
      </w:r>
      <w:r w:rsidR="00DF48B0" w:rsidRPr="004936EC">
        <w:rPr>
          <w:rFonts w:cstheme="minorHAnsi"/>
        </w:rPr>
        <w:t xml:space="preserve">  Patient and public involvement is facilitated by including a current or former patient </w:t>
      </w:r>
      <w:r w:rsidR="0038019F" w:rsidRPr="004936EC">
        <w:rPr>
          <w:rFonts w:cstheme="minorHAnsi"/>
        </w:rPr>
        <w:t>or patient organization representative</w:t>
      </w:r>
      <w:r w:rsidR="007A11B6" w:rsidRPr="004936EC">
        <w:rPr>
          <w:rFonts w:cstheme="minorHAnsi"/>
        </w:rPr>
        <w:t xml:space="preserve"> in the guideline development process.  </w:t>
      </w:r>
    </w:p>
    <w:p w14:paraId="1488C5CE" w14:textId="77777777" w:rsidR="007A11B6" w:rsidRPr="004936EC" w:rsidRDefault="007A11B6" w:rsidP="004936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5794902" w14:textId="77777777" w:rsidR="00D84F8B" w:rsidRPr="00CF3AE2" w:rsidRDefault="00D84F8B" w:rsidP="004936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F3AE2">
        <w:rPr>
          <w:rFonts w:cstheme="minorHAnsi"/>
          <w:b/>
          <w:bCs/>
        </w:rPr>
        <w:t>Application Process:</w:t>
      </w:r>
    </w:p>
    <w:p w14:paraId="3D17B49A" w14:textId="77777777" w:rsidR="00D84F8B" w:rsidRDefault="00D84F8B" w:rsidP="004936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72DE40D" w14:textId="68F293A9" w:rsidR="00ED0399" w:rsidRDefault="007A11B6" w:rsidP="004936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936EC">
        <w:rPr>
          <w:rFonts w:cstheme="minorHAnsi"/>
        </w:rPr>
        <w:t xml:space="preserve">Individuals interested in serving as a Patient Representative </w:t>
      </w:r>
      <w:r w:rsidR="00FE0B4E" w:rsidRPr="004936EC">
        <w:rPr>
          <w:rFonts w:cstheme="minorHAnsi"/>
        </w:rPr>
        <w:t xml:space="preserve">on an IDSA guideline project </w:t>
      </w:r>
      <w:r w:rsidR="00AF445F" w:rsidRPr="004936EC">
        <w:rPr>
          <w:rFonts w:cstheme="minorHAnsi"/>
        </w:rPr>
        <w:t xml:space="preserve">are asked to </w:t>
      </w:r>
      <w:r w:rsidR="00994518" w:rsidRPr="004936EC">
        <w:rPr>
          <w:rFonts w:cstheme="minorHAnsi"/>
        </w:rPr>
        <w:t xml:space="preserve">submit </w:t>
      </w:r>
      <w:r w:rsidR="00ED0399">
        <w:rPr>
          <w:rFonts w:cstheme="minorHAnsi"/>
        </w:rPr>
        <w:t>the following information:</w:t>
      </w:r>
    </w:p>
    <w:p w14:paraId="7054DAEF" w14:textId="77777777" w:rsidR="00ED0399" w:rsidRDefault="00ED0399" w:rsidP="004936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DD224B8" w14:textId="53BB6329" w:rsidR="00D05765" w:rsidRDefault="00C55545" w:rsidP="004936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</w:t>
      </w:r>
      <w:r w:rsidR="004936EC" w:rsidRPr="00ED0399">
        <w:rPr>
          <w:rFonts w:cstheme="minorHAnsi"/>
        </w:rPr>
        <w:t xml:space="preserve"> letter of interest </w:t>
      </w:r>
      <w:r w:rsidR="00C52173" w:rsidRPr="00ED0399">
        <w:rPr>
          <w:rFonts w:cstheme="minorHAnsi"/>
        </w:rPr>
        <w:t>including</w:t>
      </w:r>
      <w:r w:rsidR="00ED0399" w:rsidRPr="00ED0399">
        <w:rPr>
          <w:rFonts w:cstheme="minorHAnsi"/>
        </w:rPr>
        <w:t xml:space="preserve"> </w:t>
      </w:r>
      <w:r w:rsidR="0004790C">
        <w:rPr>
          <w:rFonts w:cstheme="minorHAnsi"/>
        </w:rPr>
        <w:t xml:space="preserve">their </w:t>
      </w:r>
      <w:r w:rsidR="00994518" w:rsidRPr="00ED0399">
        <w:rPr>
          <w:rFonts w:cstheme="minorHAnsi"/>
        </w:rPr>
        <w:t xml:space="preserve">name, contact information and </w:t>
      </w:r>
      <w:r w:rsidR="00ED0399" w:rsidRPr="00ED0399">
        <w:rPr>
          <w:rFonts w:cstheme="minorHAnsi"/>
        </w:rPr>
        <w:t>a brief statement</w:t>
      </w:r>
      <w:r w:rsidR="00ED0399">
        <w:rPr>
          <w:rFonts w:cstheme="minorHAnsi"/>
        </w:rPr>
        <w:t xml:space="preserve"> </w:t>
      </w:r>
      <w:r w:rsidR="00B476D8" w:rsidRPr="00ED0399">
        <w:rPr>
          <w:rFonts w:cstheme="minorHAnsi"/>
        </w:rPr>
        <w:t>de</w:t>
      </w:r>
      <w:r w:rsidR="00D14C76" w:rsidRPr="00ED0399">
        <w:rPr>
          <w:rFonts w:cstheme="minorHAnsi"/>
        </w:rPr>
        <w:t>scrib</w:t>
      </w:r>
      <w:r w:rsidR="00B476D8" w:rsidRPr="00ED0399">
        <w:rPr>
          <w:rFonts w:cstheme="minorHAnsi"/>
        </w:rPr>
        <w:t>in</w:t>
      </w:r>
      <w:r w:rsidR="00C0435B">
        <w:rPr>
          <w:rFonts w:cstheme="minorHAnsi"/>
        </w:rPr>
        <w:t>g</w:t>
      </w:r>
      <w:r w:rsidR="00D14C76" w:rsidRPr="00ED0399">
        <w:rPr>
          <w:rFonts w:cstheme="minorHAnsi"/>
        </w:rPr>
        <w:t xml:space="preserve"> </w:t>
      </w:r>
      <w:r w:rsidR="00F34B32">
        <w:rPr>
          <w:rFonts w:cstheme="minorHAnsi"/>
        </w:rPr>
        <w:t xml:space="preserve">1) </w:t>
      </w:r>
      <w:r w:rsidR="0004790C">
        <w:rPr>
          <w:rFonts w:cstheme="minorHAnsi"/>
        </w:rPr>
        <w:t>their</w:t>
      </w:r>
      <w:r w:rsidR="00D14C76" w:rsidRPr="00ED0399">
        <w:rPr>
          <w:rFonts w:cstheme="minorHAnsi"/>
        </w:rPr>
        <w:t xml:space="preserve"> knowledge and perspective</w:t>
      </w:r>
      <w:r w:rsidR="0004790C">
        <w:rPr>
          <w:rFonts w:cstheme="minorHAnsi"/>
        </w:rPr>
        <w:t>s</w:t>
      </w:r>
      <w:r w:rsidR="00D14C76" w:rsidRPr="00ED0399">
        <w:rPr>
          <w:rFonts w:cstheme="minorHAnsi"/>
        </w:rPr>
        <w:t xml:space="preserve"> </w:t>
      </w:r>
      <w:r w:rsidR="00F34B32">
        <w:rPr>
          <w:rFonts w:cstheme="minorHAnsi"/>
        </w:rPr>
        <w:t>about th</w:t>
      </w:r>
      <w:r w:rsidR="00D14C76" w:rsidRPr="00ED0399">
        <w:rPr>
          <w:rFonts w:cstheme="minorHAnsi"/>
        </w:rPr>
        <w:t xml:space="preserve">eir own and others’ experience </w:t>
      </w:r>
      <w:r w:rsidR="00F34B32">
        <w:rPr>
          <w:rFonts w:cstheme="minorHAnsi"/>
        </w:rPr>
        <w:t>r</w:t>
      </w:r>
      <w:r w:rsidR="00D14C76" w:rsidRPr="00ED0399">
        <w:rPr>
          <w:rFonts w:cstheme="minorHAnsi"/>
        </w:rPr>
        <w:t xml:space="preserve">egarding </w:t>
      </w:r>
      <w:r w:rsidR="003F48BA">
        <w:rPr>
          <w:rFonts w:cstheme="minorHAnsi"/>
        </w:rPr>
        <w:t xml:space="preserve">urinary tract infections </w:t>
      </w:r>
      <w:r w:rsidR="00D14C76" w:rsidRPr="00ED0399">
        <w:rPr>
          <w:rFonts w:cstheme="minorHAnsi"/>
        </w:rPr>
        <w:t>as well as their interaction with health care</w:t>
      </w:r>
      <w:r w:rsidR="00F34B32">
        <w:rPr>
          <w:rFonts w:cstheme="minorHAnsi"/>
        </w:rPr>
        <w:t xml:space="preserve">, and 2) their </w:t>
      </w:r>
      <w:r w:rsidR="00B476D8" w:rsidRPr="0064513F">
        <w:rPr>
          <w:rFonts w:cstheme="minorHAnsi"/>
        </w:rPr>
        <w:t>e</w:t>
      </w:r>
      <w:r w:rsidR="00D14C76" w:rsidRPr="0064513F">
        <w:rPr>
          <w:rFonts w:cstheme="minorHAnsi"/>
        </w:rPr>
        <w:t>xperience</w:t>
      </w:r>
      <w:r w:rsidR="00F34B32">
        <w:rPr>
          <w:rFonts w:cstheme="minorHAnsi"/>
        </w:rPr>
        <w:t>, if any,</w:t>
      </w:r>
      <w:r w:rsidR="00D14C76" w:rsidRPr="0064513F">
        <w:rPr>
          <w:rFonts w:cstheme="minorHAnsi"/>
        </w:rPr>
        <w:t xml:space="preserve"> serving as</w:t>
      </w:r>
      <w:r w:rsidR="00D05765">
        <w:rPr>
          <w:rFonts w:cstheme="minorHAnsi"/>
        </w:rPr>
        <w:t xml:space="preserve"> an</w:t>
      </w:r>
      <w:r w:rsidR="00D14C76" w:rsidRPr="0064513F">
        <w:rPr>
          <w:rFonts w:cstheme="minorHAnsi"/>
        </w:rPr>
        <w:t xml:space="preserve"> advisor and/or </w:t>
      </w:r>
      <w:r w:rsidR="00D05765">
        <w:rPr>
          <w:rFonts w:cstheme="minorHAnsi"/>
        </w:rPr>
        <w:t xml:space="preserve">patient representative </w:t>
      </w:r>
      <w:r w:rsidR="00D14C76" w:rsidRPr="0064513F">
        <w:rPr>
          <w:rFonts w:cstheme="minorHAnsi"/>
        </w:rPr>
        <w:t>on a guideline panel, quality improvement committee, research group, etc.</w:t>
      </w:r>
    </w:p>
    <w:p w14:paraId="039BA94F" w14:textId="77777777" w:rsidR="00D05765" w:rsidRDefault="00D05765" w:rsidP="00D05765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0C998CB" w14:textId="41D781CF" w:rsidR="00D14C76" w:rsidRPr="00D05765" w:rsidRDefault="00D14C76" w:rsidP="004936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05765">
        <w:rPr>
          <w:rFonts w:cstheme="minorHAnsi"/>
        </w:rPr>
        <w:t>Financial and Intellectual COI</w:t>
      </w:r>
      <w:r w:rsidR="00181967" w:rsidRPr="00D05765">
        <w:rPr>
          <w:rFonts w:cstheme="minorHAnsi"/>
        </w:rPr>
        <w:t xml:space="preserve"> Disclosure</w:t>
      </w:r>
    </w:p>
    <w:p w14:paraId="5A8B788F" w14:textId="77777777" w:rsidR="006447BD" w:rsidRDefault="006447BD" w:rsidP="004936EC">
      <w:pPr>
        <w:spacing w:after="0" w:line="240" w:lineRule="auto"/>
        <w:rPr>
          <w:rFonts w:cstheme="minorHAnsi"/>
        </w:rPr>
      </w:pPr>
    </w:p>
    <w:p w14:paraId="47F66956" w14:textId="724A969A" w:rsidR="007364CD" w:rsidRPr="000535F6" w:rsidRDefault="008008DD" w:rsidP="004936EC">
      <w:pPr>
        <w:spacing w:after="0" w:line="240" w:lineRule="auto"/>
        <w:rPr>
          <w:rFonts w:cstheme="minorHAnsi"/>
        </w:rPr>
      </w:pPr>
      <w:r w:rsidRPr="000535F6">
        <w:rPr>
          <w:rFonts w:cstheme="minorHAnsi"/>
        </w:rPr>
        <w:t xml:space="preserve">Applications </w:t>
      </w:r>
      <w:r w:rsidR="00D6384E">
        <w:rPr>
          <w:rFonts w:cstheme="minorHAnsi"/>
        </w:rPr>
        <w:t xml:space="preserve">should be submitted to </w:t>
      </w:r>
      <w:hyperlink r:id="rId8" w:tgtFrame="_blank" w:history="1">
        <w:r w:rsidR="003F48BA" w:rsidRPr="003F48BA">
          <w:rPr>
            <w:rFonts w:ascii="Roboto" w:hAnsi="Roboto"/>
            <w:color w:val="1A73E8"/>
            <w:sz w:val="20"/>
            <w:szCs w:val="20"/>
            <w:u w:val="single"/>
            <w:shd w:val="clear" w:color="auto" w:fill="FFFFFF"/>
          </w:rPr>
          <w:t>gdemisashi@idsociety.org</w:t>
        </w:r>
      </w:hyperlink>
      <w:r w:rsidR="006447BD">
        <w:rPr>
          <w:rFonts w:cstheme="minorHAnsi"/>
        </w:rPr>
        <w:t xml:space="preserve">.  They </w:t>
      </w:r>
      <w:r w:rsidRPr="000535F6">
        <w:rPr>
          <w:rFonts w:cstheme="minorHAnsi"/>
        </w:rPr>
        <w:t>will be reviewed by IDSA</w:t>
      </w:r>
      <w:r w:rsidR="007364CD" w:rsidRPr="000535F6">
        <w:rPr>
          <w:rFonts w:cstheme="minorHAnsi"/>
        </w:rPr>
        <w:t xml:space="preserve"> upon receip</w:t>
      </w:r>
      <w:r w:rsidR="006447BD">
        <w:rPr>
          <w:rFonts w:cstheme="minorHAnsi"/>
        </w:rPr>
        <w:t xml:space="preserve">t, </w:t>
      </w:r>
      <w:r w:rsidR="00A85BDF" w:rsidRPr="000535F6">
        <w:rPr>
          <w:rFonts w:cstheme="minorHAnsi"/>
        </w:rPr>
        <w:t>and applicants will be contacted when an opportunity for patient representative participation becomes available</w:t>
      </w:r>
      <w:r w:rsidR="007364CD" w:rsidRPr="000535F6">
        <w:rPr>
          <w:rFonts w:cstheme="minorHAnsi"/>
        </w:rPr>
        <w:t>.</w:t>
      </w:r>
    </w:p>
    <w:p w14:paraId="20E120C2" w14:textId="77777777" w:rsidR="00A85BDF" w:rsidRPr="000535F6" w:rsidRDefault="008008DD" w:rsidP="004936EC">
      <w:pPr>
        <w:spacing w:after="0" w:line="240" w:lineRule="auto"/>
        <w:rPr>
          <w:rFonts w:cstheme="minorHAnsi"/>
        </w:rPr>
      </w:pPr>
      <w:r w:rsidRPr="000535F6">
        <w:rPr>
          <w:rFonts w:cstheme="minorHAnsi"/>
        </w:rPr>
        <w:t xml:space="preserve"> </w:t>
      </w:r>
    </w:p>
    <w:p w14:paraId="5986886F" w14:textId="77777777" w:rsidR="00D47220" w:rsidRPr="00CF3AE2" w:rsidRDefault="00D84F8B" w:rsidP="004936EC">
      <w:pPr>
        <w:spacing w:after="0" w:line="240" w:lineRule="auto"/>
        <w:rPr>
          <w:rFonts w:cstheme="minorHAnsi"/>
          <w:b/>
          <w:bCs/>
        </w:rPr>
      </w:pPr>
      <w:r w:rsidRPr="00CF3AE2">
        <w:rPr>
          <w:rFonts w:cstheme="minorHAnsi"/>
          <w:b/>
          <w:bCs/>
        </w:rPr>
        <w:t>Patient Representative Responsibilities &amp; Req</w:t>
      </w:r>
      <w:r w:rsidR="00D47220" w:rsidRPr="00CF3AE2">
        <w:rPr>
          <w:rFonts w:cstheme="minorHAnsi"/>
          <w:b/>
          <w:bCs/>
        </w:rPr>
        <w:t xml:space="preserve">uirements:  </w:t>
      </w:r>
    </w:p>
    <w:p w14:paraId="6E2AE389" w14:textId="77777777" w:rsidR="00D47220" w:rsidRDefault="00D47220" w:rsidP="004936EC">
      <w:pPr>
        <w:spacing w:after="0" w:line="240" w:lineRule="auto"/>
        <w:rPr>
          <w:rFonts w:cstheme="minorHAnsi"/>
        </w:rPr>
      </w:pPr>
    </w:p>
    <w:p w14:paraId="1E92B7B8" w14:textId="192CFE77" w:rsidR="00D84F8B" w:rsidRDefault="000B6D3A" w:rsidP="004936EC">
      <w:pPr>
        <w:spacing w:after="0" w:line="240" w:lineRule="auto"/>
        <w:rPr>
          <w:rFonts w:cstheme="minorHAnsi"/>
        </w:rPr>
      </w:pPr>
      <w:r>
        <w:rPr>
          <w:rFonts w:cstheme="minorHAnsi"/>
        </w:rPr>
        <w:t>P</w:t>
      </w:r>
      <w:r w:rsidR="006447BD">
        <w:rPr>
          <w:rFonts w:cstheme="minorHAnsi"/>
        </w:rPr>
        <w:t xml:space="preserve">atient representatives will </w:t>
      </w:r>
      <w:r w:rsidR="00761EFD">
        <w:rPr>
          <w:rFonts w:cstheme="minorHAnsi"/>
        </w:rPr>
        <w:t xml:space="preserve">need access to a computer with internet access </w:t>
      </w:r>
      <w:r>
        <w:rPr>
          <w:rFonts w:cstheme="minorHAnsi"/>
        </w:rPr>
        <w:t>in order to join calls</w:t>
      </w:r>
      <w:r w:rsidR="00B50848">
        <w:rPr>
          <w:rFonts w:cstheme="minorHAnsi"/>
        </w:rPr>
        <w:t>, which will occur at varying levels of frequency depending on the guideline project scope and stage of development</w:t>
      </w:r>
      <w:r>
        <w:rPr>
          <w:rFonts w:cstheme="minorHAnsi"/>
        </w:rPr>
        <w:t>.</w:t>
      </w:r>
      <w:r w:rsidR="00B50848">
        <w:rPr>
          <w:rFonts w:cstheme="minorHAnsi"/>
        </w:rPr>
        <w:t xml:space="preserve">  If attendance at an in-person meeting is required, patient representatives will be informed of this up front, and all travel </w:t>
      </w:r>
      <w:r w:rsidR="00D84F8B">
        <w:rPr>
          <w:rFonts w:cstheme="minorHAnsi"/>
        </w:rPr>
        <w:t>expenses incurred will be reimbursed by IDSA in accordance with IDSA’s travel reimbursement policy.</w:t>
      </w:r>
    </w:p>
    <w:p w14:paraId="531142EB" w14:textId="77777777" w:rsidR="00D84F8B" w:rsidRDefault="00D84F8B" w:rsidP="004936EC">
      <w:pPr>
        <w:spacing w:after="0" w:line="240" w:lineRule="auto"/>
        <w:rPr>
          <w:rFonts w:cstheme="minorHAnsi"/>
        </w:rPr>
      </w:pPr>
    </w:p>
    <w:p w14:paraId="16619B6D" w14:textId="77777777" w:rsidR="00D47220" w:rsidRPr="00CF3AE2" w:rsidRDefault="00D47220" w:rsidP="004936EC">
      <w:pPr>
        <w:spacing w:after="0" w:line="240" w:lineRule="auto"/>
        <w:rPr>
          <w:rFonts w:cstheme="minorHAnsi"/>
          <w:b/>
          <w:bCs/>
        </w:rPr>
      </w:pPr>
      <w:r w:rsidRPr="00CF3AE2">
        <w:rPr>
          <w:rFonts w:cstheme="minorHAnsi"/>
          <w:b/>
          <w:bCs/>
        </w:rPr>
        <w:t>Acknowledgment:</w:t>
      </w:r>
      <w:r w:rsidRPr="00CF3AE2">
        <w:rPr>
          <w:rFonts w:cstheme="minorHAnsi"/>
          <w:b/>
          <w:bCs/>
        </w:rPr>
        <w:br/>
      </w:r>
    </w:p>
    <w:p w14:paraId="6F84F940" w14:textId="7A8689CE" w:rsidR="000535F6" w:rsidRPr="000535F6" w:rsidRDefault="00D84F8B" w:rsidP="004936EC">
      <w:pPr>
        <w:spacing w:after="0" w:line="240" w:lineRule="auto"/>
        <w:rPr>
          <w:rFonts w:cstheme="minorHAnsi"/>
        </w:rPr>
      </w:pPr>
      <w:r>
        <w:rPr>
          <w:rFonts w:cstheme="minorHAnsi"/>
        </w:rPr>
        <w:t>P</w:t>
      </w:r>
      <w:r w:rsidR="00A85BDF" w:rsidRPr="000535F6">
        <w:rPr>
          <w:rFonts w:cstheme="minorHAnsi"/>
        </w:rPr>
        <w:t xml:space="preserve">atient representatives will be acknowledged in the resulting guideline </w:t>
      </w:r>
      <w:r w:rsidR="000535F6" w:rsidRPr="000535F6">
        <w:rPr>
          <w:rFonts w:cstheme="minorHAnsi"/>
        </w:rPr>
        <w:t>publication for their contributions to the guideline development process.</w:t>
      </w:r>
    </w:p>
    <w:p w14:paraId="4D308460" w14:textId="2D418CC5" w:rsidR="000535F6" w:rsidRPr="000535F6" w:rsidRDefault="000535F6" w:rsidP="00A85BDF">
      <w:pPr>
        <w:spacing w:after="0" w:line="240" w:lineRule="auto"/>
        <w:rPr>
          <w:rFonts w:cstheme="minorHAnsi"/>
        </w:rPr>
      </w:pPr>
    </w:p>
    <w:p w14:paraId="68E60539" w14:textId="77777777" w:rsidR="00CF3AE2" w:rsidRPr="00CF3AE2" w:rsidRDefault="00CF3AE2" w:rsidP="005D5D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F3AE2">
        <w:rPr>
          <w:rFonts w:cstheme="minorHAnsi"/>
          <w:b/>
          <w:bCs/>
        </w:rPr>
        <w:t>Patient Engagement Overview:</w:t>
      </w:r>
    </w:p>
    <w:p w14:paraId="0DE969E6" w14:textId="77777777" w:rsidR="00CF3AE2" w:rsidRDefault="00CF3AE2" w:rsidP="005D5D4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BBF912" w14:textId="5B635CBB" w:rsidR="005D5D4B" w:rsidRPr="004C2FFD" w:rsidRDefault="009F0FFA" w:rsidP="005D5D4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2FFD">
        <w:rPr>
          <w:rFonts w:cstheme="minorHAnsi"/>
        </w:rPr>
        <w:t>Below are the key steps in which</w:t>
      </w:r>
      <w:r w:rsidR="005D5D4B" w:rsidRPr="004C2FFD">
        <w:rPr>
          <w:rFonts w:cstheme="minorHAnsi"/>
        </w:rPr>
        <w:t xml:space="preserve"> patient engagement </w:t>
      </w:r>
      <w:r w:rsidR="004C2FFD" w:rsidRPr="004C2FFD">
        <w:rPr>
          <w:rFonts w:cstheme="minorHAnsi"/>
        </w:rPr>
        <w:t>in IDSA</w:t>
      </w:r>
      <w:r w:rsidR="005D5D4B" w:rsidRPr="004C2FFD">
        <w:rPr>
          <w:rFonts w:cstheme="minorHAnsi"/>
        </w:rPr>
        <w:t xml:space="preserve"> guideline development</w:t>
      </w:r>
      <w:r w:rsidR="004C2FFD" w:rsidRPr="004C2FFD">
        <w:rPr>
          <w:rFonts w:cstheme="minorHAnsi"/>
        </w:rPr>
        <w:t xml:space="preserve"> will be sought:</w:t>
      </w:r>
    </w:p>
    <w:p w14:paraId="054F1251" w14:textId="77777777" w:rsidR="005D5D4B" w:rsidRPr="000535F6" w:rsidRDefault="005D5D4B" w:rsidP="005D5D4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leGrid"/>
        <w:tblW w:w="9720" w:type="dxa"/>
        <w:tblInd w:w="-275" w:type="dxa"/>
        <w:tblLook w:val="04A0" w:firstRow="1" w:lastRow="0" w:firstColumn="1" w:lastColumn="0" w:noHBand="0" w:noVBand="1"/>
      </w:tblPr>
      <w:tblGrid>
        <w:gridCol w:w="2126"/>
        <w:gridCol w:w="7594"/>
      </w:tblGrid>
      <w:tr w:rsidR="00CF3AE2" w:rsidRPr="000535F6" w14:paraId="47B888A9" w14:textId="77777777" w:rsidTr="00CF3AE2">
        <w:tc>
          <w:tcPr>
            <w:tcW w:w="2126" w:type="dxa"/>
          </w:tcPr>
          <w:p w14:paraId="457E5AAF" w14:textId="77777777" w:rsidR="00CF3AE2" w:rsidRPr="000535F6" w:rsidRDefault="00CF3AE2" w:rsidP="004C2FF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0535F6">
              <w:rPr>
                <w:rFonts w:cstheme="minorHAnsi"/>
                <w:b/>
                <w:bCs/>
              </w:rPr>
              <w:t>Step in guideline process</w:t>
            </w:r>
          </w:p>
        </w:tc>
        <w:tc>
          <w:tcPr>
            <w:tcW w:w="7594" w:type="dxa"/>
          </w:tcPr>
          <w:p w14:paraId="1B69BA54" w14:textId="77777777" w:rsidR="00CF3AE2" w:rsidRPr="000535F6" w:rsidRDefault="00CF3AE2" w:rsidP="004C2FF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0535F6">
              <w:rPr>
                <w:rFonts w:cstheme="minorHAnsi"/>
                <w:b/>
                <w:bCs/>
              </w:rPr>
              <w:t>Purpose of patient engagement</w:t>
            </w:r>
          </w:p>
        </w:tc>
      </w:tr>
      <w:tr w:rsidR="00CF3AE2" w:rsidRPr="000535F6" w14:paraId="11FC68F1" w14:textId="77777777" w:rsidTr="00CF3AE2">
        <w:tc>
          <w:tcPr>
            <w:tcW w:w="2126" w:type="dxa"/>
          </w:tcPr>
          <w:p w14:paraId="7ED946D4" w14:textId="72C9C11E" w:rsidR="00CF3AE2" w:rsidRPr="004C2FFD" w:rsidRDefault="00CF3AE2" w:rsidP="004C2FF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2FFD">
              <w:rPr>
                <w:rFonts w:cstheme="minorHAnsi"/>
              </w:rPr>
              <w:t>Framing the question (including selection of comparators and</w:t>
            </w:r>
          </w:p>
          <w:p w14:paraId="707F2760" w14:textId="77777777" w:rsidR="00CF3AE2" w:rsidRPr="004C2FFD" w:rsidRDefault="00CF3AE2" w:rsidP="004C2FF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2FFD">
              <w:rPr>
                <w:rFonts w:cstheme="minorHAnsi"/>
              </w:rPr>
              <w:lastRenderedPageBreak/>
              <w:t>outcomes)</w:t>
            </w:r>
          </w:p>
          <w:p w14:paraId="59169186" w14:textId="77777777" w:rsidR="00CF3AE2" w:rsidRPr="004C2FFD" w:rsidRDefault="00CF3AE2" w:rsidP="004C2FF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594" w:type="dxa"/>
          </w:tcPr>
          <w:p w14:paraId="51D9A110" w14:textId="6C1C9CCF" w:rsidR="00CF3AE2" w:rsidRPr="004C2FFD" w:rsidRDefault="00CF3AE2" w:rsidP="004C2FF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2FFD">
              <w:rPr>
                <w:rFonts w:cstheme="minorHAnsi"/>
              </w:rPr>
              <w:lastRenderedPageBreak/>
              <w:t>-Ascertain questions’ relevance and usefulness</w:t>
            </w:r>
          </w:p>
          <w:p w14:paraId="2504C56C" w14:textId="20B89D79" w:rsidR="00CF3AE2" w:rsidRPr="004C2FFD" w:rsidRDefault="00CF3AE2" w:rsidP="004C2FF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2FFD">
              <w:rPr>
                <w:rFonts w:cstheme="minorHAnsi"/>
              </w:rPr>
              <w:t>-Assess ‘real-world’ applicability</w:t>
            </w:r>
          </w:p>
          <w:p w14:paraId="4F9B5C34" w14:textId="156C6251" w:rsidR="00CF3AE2" w:rsidRPr="004C2FFD" w:rsidRDefault="00CF3AE2" w:rsidP="004C2FF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2FFD">
              <w:rPr>
                <w:rFonts w:cstheme="minorHAnsi"/>
              </w:rPr>
              <w:t>-Identify outcomes of relevance to patients, caregivers, and the community</w:t>
            </w:r>
          </w:p>
          <w:p w14:paraId="162D0A97" w14:textId="1159A521" w:rsidR="00CF3AE2" w:rsidRPr="004C2FFD" w:rsidRDefault="00CF3AE2" w:rsidP="004C2FF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2FFD">
              <w:rPr>
                <w:rFonts w:cstheme="minorHAnsi"/>
              </w:rPr>
              <w:lastRenderedPageBreak/>
              <w:t>-Incorporate other aspects of treatment</w:t>
            </w:r>
          </w:p>
          <w:p w14:paraId="58FBF235" w14:textId="77777777" w:rsidR="00CF3AE2" w:rsidRPr="004C2FFD" w:rsidRDefault="00CF3AE2" w:rsidP="004C2FF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CF3AE2" w:rsidRPr="000535F6" w14:paraId="16D3525D" w14:textId="77777777" w:rsidTr="00CF3AE2">
        <w:tc>
          <w:tcPr>
            <w:tcW w:w="2126" w:type="dxa"/>
          </w:tcPr>
          <w:p w14:paraId="5F6BAA0E" w14:textId="1E48DEFE" w:rsidR="00CF3AE2" w:rsidRPr="004C2FFD" w:rsidRDefault="00CF3AE2" w:rsidP="004C2FF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2FFD">
              <w:rPr>
                <w:rFonts w:cstheme="minorHAnsi"/>
              </w:rPr>
              <w:lastRenderedPageBreak/>
              <w:t>Developing</w:t>
            </w:r>
          </w:p>
          <w:p w14:paraId="4067D18C" w14:textId="77777777" w:rsidR="00CF3AE2" w:rsidRPr="004C2FFD" w:rsidRDefault="00CF3AE2" w:rsidP="004C2FF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2FFD">
              <w:rPr>
                <w:rFonts w:cstheme="minorHAnsi"/>
              </w:rPr>
              <w:t>recommendations</w:t>
            </w:r>
          </w:p>
          <w:p w14:paraId="69DEC85D" w14:textId="77777777" w:rsidR="00CF3AE2" w:rsidRPr="004C2FFD" w:rsidRDefault="00CF3AE2" w:rsidP="004C2FF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594" w:type="dxa"/>
          </w:tcPr>
          <w:p w14:paraId="22B99631" w14:textId="296824FE" w:rsidR="00CF3AE2" w:rsidRPr="004C2FFD" w:rsidRDefault="00CF3AE2" w:rsidP="004C2FF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2FFD">
              <w:rPr>
                <w:rFonts w:cstheme="minorHAnsi"/>
              </w:rPr>
              <w:t>-Assist in translating evidence-based conclusions into meaningful, clear, and respectful recommendations</w:t>
            </w:r>
          </w:p>
          <w:p w14:paraId="44C399B0" w14:textId="757D707B" w:rsidR="00CF3AE2" w:rsidRPr="004C2FFD" w:rsidRDefault="00CF3AE2" w:rsidP="004C2FF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2FFD">
              <w:rPr>
                <w:rFonts w:cstheme="minorHAnsi"/>
              </w:rPr>
              <w:t>-Assist in ensuring that recommendations foster partnership between physicians, patients and families</w:t>
            </w:r>
          </w:p>
          <w:p w14:paraId="1EEBBE25" w14:textId="480FA4F9" w:rsidR="00CF3AE2" w:rsidRPr="004C2FFD" w:rsidRDefault="00CF3AE2" w:rsidP="004C2FF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2FFD">
              <w:rPr>
                <w:rFonts w:cstheme="minorHAnsi"/>
              </w:rPr>
              <w:t>-Describe variability in patient preferences</w:t>
            </w:r>
          </w:p>
          <w:p w14:paraId="54EA56AD" w14:textId="1B38B741" w:rsidR="00CF3AE2" w:rsidRPr="004C2FFD" w:rsidRDefault="00CF3AE2" w:rsidP="004C2FF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2FFD">
              <w:rPr>
                <w:rFonts w:cstheme="minorHAnsi"/>
              </w:rPr>
              <w:t>-Help make recommendations easy to understand</w:t>
            </w:r>
          </w:p>
          <w:p w14:paraId="102B307A" w14:textId="739DC832" w:rsidR="00CF3AE2" w:rsidRPr="004C2FFD" w:rsidRDefault="00CF3AE2" w:rsidP="004C2FF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2FFD">
              <w:rPr>
                <w:rFonts w:cstheme="minorHAnsi"/>
              </w:rPr>
              <w:t>-Provide input when there are gaps in the evidence</w:t>
            </w:r>
          </w:p>
          <w:p w14:paraId="63EF6C3E" w14:textId="12B930D4" w:rsidR="00CF3AE2" w:rsidRPr="004C2FFD" w:rsidRDefault="00CF3AE2" w:rsidP="004C2FF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2FFD">
              <w:rPr>
                <w:rFonts w:cstheme="minorHAnsi"/>
              </w:rPr>
              <w:t>-Indicate which recommendations are</w:t>
            </w:r>
          </w:p>
          <w:p w14:paraId="73188201" w14:textId="77777777" w:rsidR="00CF3AE2" w:rsidRPr="004C2FFD" w:rsidRDefault="00CF3AE2" w:rsidP="004C2FF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2FFD">
              <w:rPr>
                <w:rFonts w:cstheme="minorHAnsi"/>
              </w:rPr>
              <w:t>counterintuitive (e.g. so that additional</w:t>
            </w:r>
          </w:p>
          <w:p w14:paraId="52FF97E0" w14:textId="6592E006" w:rsidR="00CF3AE2" w:rsidRPr="004C2FFD" w:rsidRDefault="00CF3AE2" w:rsidP="004C2FF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2FFD">
              <w:rPr>
                <w:rFonts w:cstheme="minorHAnsi"/>
              </w:rPr>
              <w:t>explanation can be provided)</w:t>
            </w:r>
          </w:p>
        </w:tc>
      </w:tr>
      <w:tr w:rsidR="00CF3AE2" w:rsidRPr="000535F6" w14:paraId="537A25B3" w14:textId="77777777" w:rsidTr="00CF3AE2">
        <w:tc>
          <w:tcPr>
            <w:tcW w:w="2126" w:type="dxa"/>
          </w:tcPr>
          <w:p w14:paraId="04E45B18" w14:textId="60FD72A1" w:rsidR="00CF3AE2" w:rsidRPr="004C2FFD" w:rsidRDefault="00CF3AE2" w:rsidP="004C2FF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2FFD">
              <w:rPr>
                <w:rFonts w:cstheme="minorHAnsi"/>
              </w:rPr>
              <w:t>Disseminating and implementing</w:t>
            </w:r>
          </w:p>
          <w:p w14:paraId="47875C9E" w14:textId="77777777" w:rsidR="00CF3AE2" w:rsidRPr="004C2FFD" w:rsidRDefault="00CF3AE2" w:rsidP="004C2FF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2FFD">
              <w:rPr>
                <w:rFonts w:cstheme="minorHAnsi"/>
              </w:rPr>
              <w:t>recommendations</w:t>
            </w:r>
          </w:p>
          <w:p w14:paraId="2EF8FC61" w14:textId="77777777" w:rsidR="00CF3AE2" w:rsidRPr="004C2FFD" w:rsidRDefault="00CF3AE2" w:rsidP="004C2FF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594" w:type="dxa"/>
          </w:tcPr>
          <w:p w14:paraId="28B6DC88" w14:textId="47B9F6D2" w:rsidR="00CF3AE2" w:rsidRPr="004C2FFD" w:rsidRDefault="00CF3AE2" w:rsidP="004C2FF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2FFD">
              <w:rPr>
                <w:rFonts w:cstheme="minorHAnsi"/>
              </w:rPr>
              <w:t>-Endorse guidelines from patient perspective (either individually or in representation of patient groups)</w:t>
            </w:r>
          </w:p>
          <w:p w14:paraId="2A58EC0C" w14:textId="28D00427" w:rsidR="00CF3AE2" w:rsidRPr="004C2FFD" w:rsidRDefault="00CF3AE2" w:rsidP="004C2FF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2FFD">
              <w:rPr>
                <w:rFonts w:cstheme="minorHAnsi"/>
              </w:rPr>
              <w:t>-Assist in developing patient- and family-level summaries of systematic review findings and guideline recommendations</w:t>
            </w:r>
          </w:p>
          <w:p w14:paraId="30645D1B" w14:textId="4F3C105A" w:rsidR="00CF3AE2" w:rsidRPr="004C2FFD" w:rsidRDefault="00CF3AE2" w:rsidP="004C2FF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2FFD">
              <w:rPr>
                <w:rFonts w:cstheme="minorHAnsi"/>
              </w:rPr>
              <w:t>-Assist in developing patient decision aids</w:t>
            </w:r>
          </w:p>
          <w:p w14:paraId="155498FF" w14:textId="4E4C31C6" w:rsidR="00CF3AE2" w:rsidRPr="004C2FFD" w:rsidRDefault="00CF3AE2" w:rsidP="004C2FF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2FFD">
              <w:rPr>
                <w:rFonts w:cstheme="minorHAnsi"/>
              </w:rPr>
              <w:t>-Identify barriers to implementation and possible solutions</w:t>
            </w:r>
          </w:p>
          <w:p w14:paraId="289EB0CF" w14:textId="078005CE" w:rsidR="00CF3AE2" w:rsidRPr="004C2FFD" w:rsidRDefault="00CF3AE2" w:rsidP="004C2FF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2FFD">
              <w:rPr>
                <w:rFonts w:cstheme="minorHAnsi"/>
              </w:rPr>
              <w:t>-Facilitate engagement of other patients in dissemination</w:t>
            </w:r>
          </w:p>
          <w:p w14:paraId="20D5C990" w14:textId="3AC66DFB" w:rsidR="00CF3AE2" w:rsidRPr="004C2FFD" w:rsidRDefault="00CF3AE2" w:rsidP="004C2FF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2FFD">
              <w:rPr>
                <w:rFonts w:cstheme="minorHAnsi"/>
              </w:rPr>
              <w:t>-Improve legitimacy and trustworthiness of guideline process such that recommendations are more likely to be implemented</w:t>
            </w:r>
          </w:p>
        </w:tc>
      </w:tr>
      <w:tr w:rsidR="00CF3AE2" w:rsidRPr="000535F6" w14:paraId="6C5C844B" w14:textId="77777777" w:rsidTr="00CF3AE2">
        <w:tc>
          <w:tcPr>
            <w:tcW w:w="2126" w:type="dxa"/>
          </w:tcPr>
          <w:p w14:paraId="7E46F73D" w14:textId="3E29F57B" w:rsidR="00CF3AE2" w:rsidRPr="004C2FFD" w:rsidRDefault="00CF3AE2" w:rsidP="004C2FF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2FFD">
              <w:rPr>
                <w:rFonts w:cstheme="minorHAnsi"/>
              </w:rPr>
              <w:t>Evaluating methods and impact of engagement</w:t>
            </w:r>
          </w:p>
          <w:p w14:paraId="0387EDC1" w14:textId="77777777" w:rsidR="00CF3AE2" w:rsidRPr="004C2FFD" w:rsidRDefault="00CF3AE2" w:rsidP="004C2FF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594" w:type="dxa"/>
          </w:tcPr>
          <w:p w14:paraId="10B8ABB4" w14:textId="2667CA9D" w:rsidR="00CF3AE2" w:rsidRPr="004C2FFD" w:rsidRDefault="00CF3AE2" w:rsidP="004C2FF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2FFD">
              <w:rPr>
                <w:rFonts w:cstheme="minorHAnsi"/>
              </w:rPr>
              <w:t>-Identify if patients were engaged in a meaningful way</w:t>
            </w:r>
          </w:p>
          <w:p w14:paraId="7B2DEBAC" w14:textId="3EACEE01" w:rsidR="00CF3AE2" w:rsidRPr="004C2FFD" w:rsidRDefault="00CF3AE2" w:rsidP="004C2FF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2FFD">
              <w:rPr>
                <w:rFonts w:cstheme="minorHAnsi"/>
              </w:rPr>
              <w:t>-Suggest options for improvement in future engagement strategies</w:t>
            </w:r>
          </w:p>
        </w:tc>
      </w:tr>
    </w:tbl>
    <w:p w14:paraId="4DAA499A" w14:textId="5279FF3C" w:rsidR="00AB5522" w:rsidRPr="000535F6" w:rsidRDefault="00AB5522" w:rsidP="000535F6">
      <w:pPr>
        <w:autoSpaceDE w:val="0"/>
        <w:autoSpaceDN w:val="0"/>
        <w:adjustRightInd w:val="0"/>
        <w:spacing w:after="0" w:line="240" w:lineRule="auto"/>
        <w:rPr>
          <w:rFonts w:cstheme="minorHAnsi"/>
          <w:color w:val="2C5CFB"/>
        </w:rPr>
      </w:pPr>
    </w:p>
    <w:sectPr w:rsidR="00AB5522" w:rsidRPr="000535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B421B"/>
    <w:multiLevelType w:val="hybridMultilevel"/>
    <w:tmpl w:val="54D626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22"/>
    <w:rsid w:val="0004790C"/>
    <w:rsid w:val="000535F6"/>
    <w:rsid w:val="00064B62"/>
    <w:rsid w:val="000B5E5A"/>
    <w:rsid w:val="000B6D3A"/>
    <w:rsid w:val="000B73AD"/>
    <w:rsid w:val="000E5937"/>
    <w:rsid w:val="00141893"/>
    <w:rsid w:val="0016688C"/>
    <w:rsid w:val="00181967"/>
    <w:rsid w:val="001D07DF"/>
    <w:rsid w:val="002923B6"/>
    <w:rsid w:val="002D6996"/>
    <w:rsid w:val="0038019F"/>
    <w:rsid w:val="003D2F9C"/>
    <w:rsid w:val="003F48BA"/>
    <w:rsid w:val="00407447"/>
    <w:rsid w:val="00430DB3"/>
    <w:rsid w:val="00436DF4"/>
    <w:rsid w:val="004652A9"/>
    <w:rsid w:val="00467F07"/>
    <w:rsid w:val="004936EC"/>
    <w:rsid w:val="004968F4"/>
    <w:rsid w:val="004C2FFD"/>
    <w:rsid w:val="00530A36"/>
    <w:rsid w:val="00581D6D"/>
    <w:rsid w:val="005D5D4B"/>
    <w:rsid w:val="006447BD"/>
    <w:rsid w:val="0064513F"/>
    <w:rsid w:val="006916DC"/>
    <w:rsid w:val="007364CD"/>
    <w:rsid w:val="00744823"/>
    <w:rsid w:val="00761EFD"/>
    <w:rsid w:val="00762E92"/>
    <w:rsid w:val="00774BA8"/>
    <w:rsid w:val="007A11B6"/>
    <w:rsid w:val="007C257F"/>
    <w:rsid w:val="007F6A0E"/>
    <w:rsid w:val="008008DD"/>
    <w:rsid w:val="008365AF"/>
    <w:rsid w:val="009148B8"/>
    <w:rsid w:val="0095401C"/>
    <w:rsid w:val="00994518"/>
    <w:rsid w:val="009F0FFA"/>
    <w:rsid w:val="00A12627"/>
    <w:rsid w:val="00A660AD"/>
    <w:rsid w:val="00A85BDF"/>
    <w:rsid w:val="00AB5522"/>
    <w:rsid w:val="00AF445F"/>
    <w:rsid w:val="00B03E8E"/>
    <w:rsid w:val="00B476D8"/>
    <w:rsid w:val="00B50848"/>
    <w:rsid w:val="00BD4748"/>
    <w:rsid w:val="00BE70FE"/>
    <w:rsid w:val="00C0435B"/>
    <w:rsid w:val="00C10CE8"/>
    <w:rsid w:val="00C52173"/>
    <w:rsid w:val="00C55545"/>
    <w:rsid w:val="00CC2254"/>
    <w:rsid w:val="00CF3AE2"/>
    <w:rsid w:val="00D05765"/>
    <w:rsid w:val="00D14C76"/>
    <w:rsid w:val="00D47220"/>
    <w:rsid w:val="00D6384E"/>
    <w:rsid w:val="00D84F8B"/>
    <w:rsid w:val="00DF48B0"/>
    <w:rsid w:val="00E413EB"/>
    <w:rsid w:val="00E66E69"/>
    <w:rsid w:val="00EC023D"/>
    <w:rsid w:val="00ED0399"/>
    <w:rsid w:val="00EE3CD8"/>
    <w:rsid w:val="00F13946"/>
    <w:rsid w:val="00F34B32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2C264"/>
  <w15:chartTrackingRefBased/>
  <w15:docId w15:val="{AB175ADB-5434-4026-BE8F-5D541704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2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923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3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3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3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3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3B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03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47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emisashi@idsociety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A1302E82DD32489136EAFA6A7810E7" ma:contentTypeVersion="12" ma:contentTypeDescription="Create a new document." ma:contentTypeScope="" ma:versionID="504d326b53223518f1edcbe1c8f76844">
  <xsd:schema xmlns:xsd="http://www.w3.org/2001/XMLSchema" xmlns:xs="http://www.w3.org/2001/XMLSchema" xmlns:p="http://schemas.microsoft.com/office/2006/metadata/properties" xmlns:ns2="b3c5fa69-1097-4494-ad9c-741929997f40" xmlns:ns3="fafe2aba-2b51-4c6c-a94d-622ce50cd04d" targetNamespace="http://schemas.microsoft.com/office/2006/metadata/properties" ma:root="true" ma:fieldsID="63f62fa028811d6a1b964398751648ed" ns2:_="" ns3:_="">
    <xsd:import namespace="b3c5fa69-1097-4494-ad9c-741929997f40"/>
    <xsd:import namespace="fafe2aba-2b51-4c6c-a94d-622ce50cd0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5fa69-1097-4494-ad9c-741929997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e2aba-2b51-4c6c-a94d-622ce50cd04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B55C5-1B91-42AA-AFBE-065CA124D0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5C030A-109F-4DAE-ABDD-BD314B617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1B356C-E19D-4BF5-A635-00A81D5C5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5fa69-1097-4494-ad9c-741929997f40"/>
    <ds:schemaRef ds:uri="fafe2aba-2b51-4c6c-a94d-622ce50cd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Lavergne</dc:creator>
  <cp:keywords/>
  <dc:description/>
  <cp:lastModifiedBy>Valery Lavergne</cp:lastModifiedBy>
  <cp:revision>3</cp:revision>
  <dcterms:created xsi:type="dcterms:W3CDTF">2020-02-15T17:09:00Z</dcterms:created>
  <dcterms:modified xsi:type="dcterms:W3CDTF">2020-02-16T18:54:00Z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0x010100EAA1302E82DD32489136EAFA6A7810E7</vt:lpwstr>
  </property>
</Properties>
</file>