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B5F1B" w14:textId="77777777" w:rsidR="003A6288" w:rsidRDefault="005E2F4C">
      <w:pPr>
        <w:ind w:left="614"/>
      </w:pPr>
      <w:r>
        <w:t>128-2-3. Contestant. (a) Each applicant seeking a contestant's license from the commission shall meet the following requirements, in addition to the requirements specified in K.A.R. 128-2-</w:t>
      </w:r>
      <w:proofErr w:type="gramStart"/>
      <w:r>
        <w:t>1 :</w:t>
      </w:r>
      <w:proofErr w:type="gramEnd"/>
    </w:p>
    <w:p w14:paraId="45DC6341" w14:textId="77777777" w:rsidR="003A6288" w:rsidRDefault="005E2F4C">
      <w:pPr>
        <w:spacing w:after="181" w:line="259" w:lineRule="auto"/>
        <w:ind w:left="1354"/>
      </w:pPr>
      <w:r>
        <w:t>(l) Submit the written certification of a physician meeting the requirements of</w:t>
      </w:r>
    </w:p>
    <w:p w14:paraId="32D8834A" w14:textId="77777777" w:rsidR="003A6288" w:rsidRDefault="005E2F4C">
      <w:pPr>
        <w:ind w:left="614" w:right="216"/>
      </w:pPr>
      <w:r>
        <w:t xml:space="preserve">K.A.R. 128-2-7 </w:t>
      </w:r>
      <w:proofErr w:type="gramStart"/>
      <w:r>
        <w:t>stating</w:t>
      </w:r>
      <w:proofErr w:type="gramEnd"/>
      <w:r>
        <w:t xml:space="preserve"> that the applicant is physically able to compete in a contest. The written certification shall be based on a complete physical examination performed by that physician, which shall include the following:</w:t>
      </w:r>
    </w:p>
    <w:p w14:paraId="37317D15" w14:textId="77777777" w:rsidR="003A6288" w:rsidRDefault="005E2F4C">
      <w:pPr>
        <w:numPr>
          <w:ilvl w:val="0"/>
          <w:numId w:val="1"/>
        </w:numPr>
        <w:spacing w:after="252" w:line="259" w:lineRule="auto"/>
        <w:ind w:firstLine="734"/>
      </w:pPr>
      <w:r>
        <w:t xml:space="preserve">Neurological and cardiac testing within 30 days of the date of the </w:t>
      </w:r>
      <w:proofErr w:type="gramStart"/>
      <w:r>
        <w:t>application;</w:t>
      </w:r>
      <w:proofErr w:type="gramEnd"/>
    </w:p>
    <w:p w14:paraId="0098683F" w14:textId="44B815BA" w:rsidR="003A6288" w:rsidRDefault="005E2F4C">
      <w:pPr>
        <w:numPr>
          <w:ilvl w:val="0"/>
          <w:numId w:val="1"/>
        </w:numPr>
        <w:ind w:firstLine="734"/>
      </w:pPr>
      <w:r>
        <w:t xml:space="preserve">a negative test for HIV, hepatitis B surface antigen, and hepatitis C antibody </w:t>
      </w:r>
      <w:r>
        <w:rPr>
          <w:u w:val="single" w:color="000000"/>
        </w:rPr>
        <w:t>conducted</w:t>
      </w:r>
      <w:r>
        <w:t xml:space="preserve"> </w:t>
      </w:r>
      <w:r w:rsidRPr="005E2F4C">
        <w:t>within</w:t>
      </w:r>
      <w:r w:rsidRPr="005E2F4C">
        <w:rPr>
          <w:strike/>
        </w:rPr>
        <w:t xml:space="preserve"> o</w:t>
      </w:r>
      <w:r w:rsidRPr="005E2F4C">
        <w:rPr>
          <w:strike/>
        </w:rPr>
        <w:t>ne-year o</w:t>
      </w:r>
      <w:r w:rsidRPr="005E2F4C">
        <w:rPr>
          <w:strike/>
        </w:rPr>
        <w:t>f t</w:t>
      </w:r>
      <w:r w:rsidRPr="005E2F4C">
        <w:rPr>
          <w:strike/>
        </w:rPr>
        <w:t xml:space="preserve">he </w:t>
      </w:r>
      <w:r w:rsidRPr="005E2F4C">
        <w:rPr>
          <w:strike/>
        </w:rPr>
        <w:t>date o</w:t>
      </w:r>
      <w:r w:rsidRPr="005E2F4C">
        <w:rPr>
          <w:strike/>
        </w:rPr>
        <w:t>f t</w:t>
      </w:r>
      <w:r w:rsidRPr="005E2F4C">
        <w:rPr>
          <w:strike/>
        </w:rPr>
        <w:t>he examination</w:t>
      </w:r>
      <w:r w:rsidRPr="005E2F4C">
        <w:rPr>
          <w:strike/>
        </w:rPr>
        <w:t>-</w:t>
      </w:r>
      <w:r>
        <w:rPr>
          <w:u w:val="single" w:color="000000"/>
        </w:rPr>
        <w:t>six months of a professional contestant's scheduled bout or event or within twelve months of an amateur contestant's scheduled bout or event</w:t>
      </w:r>
      <w:r>
        <w:t>. If the contestant fails the hepatitis B surface antigen test, the contestant shall be required to pass a hepatitis B "PCR" quantitative test. The quantitative limit shall be within permissible limits according to the laboratory where the test was administered; and</w:t>
      </w:r>
    </w:p>
    <w:p w14:paraId="71E3F5A7" w14:textId="77777777" w:rsidR="003A6288" w:rsidRDefault="005E2F4C">
      <w:pPr>
        <w:numPr>
          <w:ilvl w:val="0"/>
          <w:numId w:val="1"/>
        </w:numPr>
        <w:ind w:firstLine="734"/>
      </w:pPr>
      <w:r>
        <w:t>an eye examination. No applicant shall be issued a license if the applicant is found to be blind in one eye or both eyes; and</w:t>
      </w:r>
    </w:p>
    <w:p w14:paraId="5153ED6C" w14:textId="77777777" w:rsidR="003A6288" w:rsidRDefault="005E2F4C">
      <w:pPr>
        <w:spacing w:after="1350" w:line="464" w:lineRule="auto"/>
        <w:ind w:left="600" w:firstLine="730"/>
        <w:jc w:val="left"/>
      </w:pPr>
      <w:r>
        <w:t>(2) provide the commission with the applicant's legal name and, if any, the applicant's "ring name," which is the name that the applicant intends to use after receiving a contestant's license but only when competing in any contest. Each applicant with a ring name shall use the same ring name in each contest.</w:t>
      </w:r>
    </w:p>
    <w:p w14:paraId="1BC820E1" w14:textId="77777777" w:rsidR="003A6288" w:rsidRDefault="005E2F4C">
      <w:pPr>
        <w:tabs>
          <w:tab w:val="center" w:pos="3828"/>
          <w:tab w:val="center" w:pos="6449"/>
        </w:tabs>
        <w:spacing w:after="0" w:line="259" w:lineRule="auto"/>
        <w:ind w:left="0" w:firstLine="0"/>
        <w:jc w:val="left"/>
      </w:pPr>
      <w:r>
        <w:rPr>
          <w:sz w:val="20"/>
        </w:rPr>
        <w:tab/>
      </w:r>
      <w:proofErr w:type="gramStart"/>
      <w:r>
        <w:rPr>
          <w:sz w:val="20"/>
        </w:rPr>
        <w:t>APPROVED</w:t>
      </w:r>
      <w:r>
        <w:rPr>
          <w:sz w:val="20"/>
        </w:rPr>
        <w:tab/>
      </w:r>
      <w:proofErr w:type="spellStart"/>
      <w:r>
        <w:rPr>
          <w:sz w:val="20"/>
        </w:rPr>
        <w:t>APPROVED</w:t>
      </w:r>
      <w:proofErr w:type="spellEnd"/>
      <w:proofErr w:type="gramEnd"/>
    </w:p>
    <w:p w14:paraId="67A206A4" w14:textId="77777777" w:rsidR="003A6288" w:rsidRDefault="005E2F4C">
      <w:pPr>
        <w:pStyle w:val="Heading1"/>
      </w:pPr>
      <w:r>
        <w:t>APPROVED</w:t>
      </w:r>
    </w:p>
    <w:p w14:paraId="4DE5B68A" w14:textId="77777777" w:rsidR="003A6288" w:rsidRDefault="005E2F4C">
      <w:pPr>
        <w:tabs>
          <w:tab w:val="center" w:pos="3797"/>
          <w:tab w:val="center" w:pos="6478"/>
        </w:tabs>
        <w:spacing w:after="3" w:line="259" w:lineRule="auto"/>
        <w:ind w:left="0" w:firstLine="0"/>
        <w:jc w:val="left"/>
      </w:pPr>
      <w:r>
        <w:rPr>
          <w:sz w:val="22"/>
        </w:rPr>
        <w:tab/>
      </w:r>
      <w:r>
        <w:rPr>
          <w:noProof/>
        </w:rPr>
        <w:drawing>
          <wp:inline distT="0" distB="0" distL="0" distR="0" wp14:anchorId="33E47A3D" wp14:editId="5F32498E">
            <wp:extent cx="9144" cy="15245"/>
            <wp:effectExtent l="0" t="0" r="0" b="0"/>
            <wp:docPr id="6169" name="Picture 6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9" name="Picture 616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NOV 1 3 2025</w:t>
      </w:r>
      <w:r>
        <w:rPr>
          <w:sz w:val="22"/>
        </w:rPr>
        <w:tab/>
        <w:t>DEC 1 1</w:t>
      </w:r>
      <w:r>
        <w:rPr>
          <w:noProof/>
        </w:rPr>
        <w:drawing>
          <wp:inline distT="0" distB="0" distL="0" distR="0" wp14:anchorId="273CACCC" wp14:editId="5DBDCA46">
            <wp:extent cx="240792" cy="143300"/>
            <wp:effectExtent l="0" t="0" r="0" b="0"/>
            <wp:docPr id="6171" name="Picture 6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1" name="Picture 617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792" cy="1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8BABB" w14:textId="77777777" w:rsidR="003A6288" w:rsidRDefault="005E2F4C">
      <w:pPr>
        <w:spacing w:after="40" w:line="216" w:lineRule="auto"/>
        <w:ind w:left="610" w:right="2822" w:hanging="10"/>
        <w:jc w:val="left"/>
      </w:pPr>
      <w:r>
        <w:rPr>
          <w:sz w:val="22"/>
        </w:rPr>
        <w:t>JUL 25</w:t>
      </w:r>
      <w:proofErr w:type="gramStart"/>
      <w:r>
        <w:rPr>
          <w:sz w:val="22"/>
        </w:rPr>
        <w:t xml:space="preserve"> 2025</w:t>
      </w:r>
      <w:proofErr w:type="gramEnd"/>
    </w:p>
    <w:p w14:paraId="7E404F4D" w14:textId="77777777" w:rsidR="003A6288" w:rsidRDefault="005E2F4C">
      <w:pPr>
        <w:spacing w:after="40" w:line="216" w:lineRule="auto"/>
        <w:ind w:left="-63" w:right="2165" w:firstLine="2381"/>
        <w:jc w:val="left"/>
      </w:pPr>
      <w:r>
        <w:rPr>
          <w:sz w:val="22"/>
        </w:rPr>
        <w:t xml:space="preserve">ATTORNEY GENERAL </w:t>
      </w:r>
      <w:r>
        <w:rPr>
          <w:sz w:val="22"/>
        </w:rPr>
        <w:t xml:space="preserve">DIVISION OF THE </w:t>
      </w:r>
      <w:proofErr w:type="spellStart"/>
      <w:r>
        <w:rPr>
          <w:sz w:val="22"/>
        </w:rPr>
        <w:t>BUDGEr</w:t>
      </w:r>
      <w:proofErr w:type="spellEnd"/>
      <w:r>
        <w:rPr>
          <w:sz w:val="22"/>
        </w:rPr>
        <w:t xml:space="preserve"> </w:t>
      </w:r>
      <w:r>
        <w:rPr>
          <w:noProof/>
        </w:rPr>
        <w:drawing>
          <wp:inline distT="0" distB="0" distL="0" distR="0" wp14:anchorId="5505DA29" wp14:editId="5C8F44F6">
            <wp:extent cx="320040" cy="143299"/>
            <wp:effectExtent l="0" t="0" r="0" b="0"/>
            <wp:docPr id="6173" name="Picture 6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3" name="Picture 61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143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OF ADMINISTRATION</w:t>
      </w:r>
    </w:p>
    <w:p w14:paraId="042F4619" w14:textId="77777777" w:rsidR="003A6288" w:rsidRDefault="005E2F4C">
      <w:pPr>
        <w:spacing w:after="375" w:line="259" w:lineRule="auto"/>
        <w:ind w:left="0" w:firstLine="0"/>
        <w:jc w:val="right"/>
      </w:pPr>
      <w:r>
        <w:rPr>
          <w:sz w:val="26"/>
        </w:rPr>
        <w:lastRenderedPageBreak/>
        <w:t>I</w:t>
      </w:r>
      <w:proofErr w:type="gramStart"/>
      <w:r>
        <w:rPr>
          <w:sz w:val="26"/>
        </w:rPr>
        <w:t>&lt;.A.R.</w:t>
      </w:r>
      <w:proofErr w:type="gramEnd"/>
      <w:r>
        <w:rPr>
          <w:sz w:val="26"/>
        </w:rPr>
        <w:t xml:space="preserve"> 128-2-3 Pg. 3</w:t>
      </w:r>
    </w:p>
    <w:p w14:paraId="24A0D52C" w14:textId="50CF09FB" w:rsidR="003A6288" w:rsidRDefault="005E2F4C">
      <w:pPr>
        <w:spacing w:after="0" w:line="488" w:lineRule="auto"/>
        <w:ind w:left="634" w:right="19" w:firstLine="734"/>
        <w:jc w:val="left"/>
      </w:pPr>
      <w:r>
        <w:rPr>
          <w:u w:val="single" w:color="000000"/>
        </w:rPr>
        <w:t>(b) Each applicant shall submit proof of current medical cert</w:t>
      </w:r>
      <w:r>
        <w:rPr>
          <w:u w:val="single" w:color="000000"/>
        </w:rPr>
        <w:t xml:space="preserve">ification, as described in </w:t>
      </w:r>
      <w:r>
        <w:t>section (</w:t>
      </w:r>
      <w:r>
        <w:t>a)</w:t>
      </w:r>
      <w:r>
        <w:t xml:space="preserve"> (</w:t>
      </w:r>
      <w:r>
        <w:t>I)</w:t>
      </w:r>
      <w:r>
        <w:t xml:space="preserve"> no later than 48 hours p</w:t>
      </w:r>
      <w:r>
        <w:t>rior to the scheduled weig</w:t>
      </w:r>
      <w:r>
        <w:t>h-in. The commission may</w:t>
      </w:r>
      <w:r>
        <w:t xml:space="preserve"> refuse to issue or renew a license if any</w:t>
      </w:r>
      <w:r>
        <w:t xml:space="preserve"> req</w:t>
      </w:r>
      <w:r>
        <w:t>uired medical documentation is incomp</w:t>
      </w:r>
      <w:r>
        <w:t>lete missing</w:t>
      </w:r>
      <w:r>
        <w:t xml:space="preserve"> </w:t>
      </w:r>
      <w:r>
        <w:rPr>
          <w:u w:val="single" w:color="000000"/>
        </w:rPr>
        <w:t>or fails to demonstrate the applicant's fitness to safely participate. No athlete shall be licensed or otherwise p</w:t>
      </w:r>
      <w:r>
        <w:rPr>
          <w:u w:val="single" w:color="000000"/>
        </w:rPr>
        <w:t>ermitted to comp</w:t>
      </w:r>
      <w:r>
        <w:rPr>
          <w:u w:val="single" w:color="000000"/>
        </w:rPr>
        <w:t xml:space="preserve">ete when the athlete's medical certification is submitted after the </w:t>
      </w:r>
      <w:proofErr w:type="gramStart"/>
      <w:r>
        <w:rPr>
          <w:u w:val="single" w:color="000000"/>
        </w:rPr>
        <w:t>48hour</w:t>
      </w:r>
      <w:proofErr w:type="gramEnd"/>
      <w:r>
        <w:rPr>
          <w:u w:val="single" w:color="000000"/>
        </w:rPr>
        <w:t xml:space="preserve"> deadline set forth herein, absent the prior written approval of </w:t>
      </w:r>
      <w:proofErr w:type="gramStart"/>
      <w:r>
        <w:rPr>
          <w:u w:val="single" w:color="000000"/>
        </w:rPr>
        <w:t>the commission</w:t>
      </w:r>
      <w:proofErr w:type="gramEnd"/>
      <w:r>
        <w:rPr>
          <w:u w:val="single" w:color="000000"/>
        </w:rPr>
        <w:t xml:space="preserve"> executive director or chairperson.</w:t>
      </w:r>
    </w:p>
    <w:p w14:paraId="491EB347" w14:textId="77777777" w:rsidR="003A6288" w:rsidRDefault="005E2F4C">
      <w:pPr>
        <w:ind w:left="614" w:firstLine="706"/>
      </w:pPr>
      <w:r>
        <w:rPr>
          <w:noProof/>
        </w:rPr>
        <w:drawing>
          <wp:inline distT="0" distB="0" distL="0" distR="0" wp14:anchorId="7F558B0C" wp14:editId="0FC44AF7">
            <wp:extent cx="347472" cy="140251"/>
            <wp:effectExtent l="0" t="0" r="0" b="0"/>
            <wp:docPr id="2958" name="Picture 2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8" name="Picture 29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40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For each regulated sport in which the applicant intends to participate as a contestant, the applicant shall complete a separate application and submit the application and the applicable fee to the commission. (Authorized by K.S.A. 204-3-Sepp-r74-50, 187; implementing</w:t>
      </w:r>
    </w:p>
    <w:p w14:paraId="39D090C5" w14:textId="77777777" w:rsidR="003A6288" w:rsidRDefault="005E2F4C">
      <w:pPr>
        <w:spacing w:after="5331"/>
        <w:ind w:left="614"/>
      </w:pPr>
      <w:r>
        <w:t xml:space="preserve">K.S.A. </w:t>
      </w:r>
      <w:r>
        <w:rPr>
          <w:noProof/>
        </w:rPr>
        <w:drawing>
          <wp:inline distT="0" distB="0" distL="0" distR="0" wp14:anchorId="787CA617" wp14:editId="60FCC1AE">
            <wp:extent cx="1319784" cy="143299"/>
            <wp:effectExtent l="0" t="0" r="0" b="0"/>
            <wp:docPr id="3110" name="Picture 3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0" name="Picture 31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9784" cy="143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and </w:t>
      </w:r>
      <w:r>
        <w:tab/>
        <w:t>187; effective April 4, 2008; amended Sept. 26, 2014; amended</w:t>
      </w:r>
      <w:r>
        <w:rPr>
          <w:noProof/>
        </w:rPr>
        <w:drawing>
          <wp:inline distT="0" distB="0" distL="0" distR="0" wp14:anchorId="5B9F1DD4" wp14:editId="02484442">
            <wp:extent cx="1200912" cy="143300"/>
            <wp:effectExtent l="0" t="0" r="0" b="0"/>
            <wp:docPr id="6178" name="Picture 6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8" name="Picture 617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0912" cy="1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EB793" w14:textId="77777777" w:rsidR="003A6288" w:rsidRDefault="005E2F4C">
      <w:pPr>
        <w:tabs>
          <w:tab w:val="center" w:pos="1286"/>
          <w:tab w:val="center" w:pos="3977"/>
        </w:tabs>
        <w:spacing w:after="0" w:line="259" w:lineRule="auto"/>
        <w:ind w:left="0" w:firstLine="0"/>
        <w:jc w:val="left"/>
      </w:pPr>
      <w:r>
        <w:rPr>
          <w:sz w:val="34"/>
        </w:rPr>
        <w:tab/>
      </w:r>
      <w:proofErr w:type="spellStart"/>
      <w:r>
        <w:rPr>
          <w:sz w:val="34"/>
        </w:rPr>
        <w:t>AppHOVED</w:t>
      </w:r>
      <w:proofErr w:type="spellEnd"/>
      <w:r>
        <w:rPr>
          <w:sz w:val="34"/>
        </w:rPr>
        <w:tab/>
        <w:t>APPROVED</w:t>
      </w:r>
    </w:p>
    <w:p w14:paraId="13E54C5C" w14:textId="77777777" w:rsidR="003A6288" w:rsidRDefault="005E2F4C">
      <w:pPr>
        <w:pStyle w:val="Heading2"/>
      </w:pPr>
      <w:r>
        <w:lastRenderedPageBreak/>
        <w:t>APPROVED</w:t>
      </w:r>
    </w:p>
    <w:p w14:paraId="5EAF239C" w14:textId="77777777" w:rsidR="003A6288" w:rsidRDefault="005E2F4C">
      <w:pPr>
        <w:tabs>
          <w:tab w:val="center" w:pos="1296"/>
          <w:tab w:val="center" w:pos="3948"/>
        </w:tabs>
        <w:spacing w:after="0" w:line="259" w:lineRule="auto"/>
        <w:ind w:left="0" w:firstLine="0"/>
        <w:jc w:val="left"/>
      </w:pPr>
      <w:r>
        <w:rPr>
          <w:sz w:val="20"/>
        </w:rPr>
        <w:tab/>
        <w:t>JUL 25</w:t>
      </w:r>
      <w:proofErr w:type="gramStart"/>
      <w:r>
        <w:rPr>
          <w:sz w:val="20"/>
        </w:rPr>
        <w:t xml:space="preserve"> 2025</w:t>
      </w:r>
      <w:proofErr w:type="gramEnd"/>
      <w:r>
        <w:rPr>
          <w:sz w:val="20"/>
        </w:rPr>
        <w:tab/>
        <w:t>NOV 1 3 2025</w:t>
      </w:r>
    </w:p>
    <w:p w14:paraId="7FF60EBB" w14:textId="77777777" w:rsidR="003A6288" w:rsidRDefault="005E2F4C">
      <w:pPr>
        <w:spacing w:after="13" w:line="259" w:lineRule="auto"/>
        <w:ind w:left="2371" w:firstLine="0"/>
        <w:jc w:val="center"/>
      </w:pPr>
      <w:r>
        <w:rPr>
          <w:sz w:val="14"/>
        </w:rPr>
        <w:t>DEC 1 1 2025</w:t>
      </w:r>
    </w:p>
    <w:p w14:paraId="1DA00DD4" w14:textId="77777777" w:rsidR="003A6288" w:rsidRDefault="005E2F4C">
      <w:pPr>
        <w:tabs>
          <w:tab w:val="center" w:pos="3941"/>
        </w:tabs>
        <w:spacing w:after="35" w:line="259" w:lineRule="auto"/>
        <w:ind w:left="-15" w:firstLine="0"/>
        <w:jc w:val="left"/>
      </w:pPr>
      <w:r>
        <w:rPr>
          <w:sz w:val="20"/>
        </w:rPr>
        <w:t>DEPT, OF ADMINISTRATION</w:t>
      </w:r>
      <w:r>
        <w:rPr>
          <w:sz w:val="20"/>
        </w:rPr>
        <w:tab/>
        <w:t>ATTORNEY GENERAL</w:t>
      </w:r>
    </w:p>
    <w:p w14:paraId="203F3517" w14:textId="77777777" w:rsidR="003A6288" w:rsidRDefault="005E2F4C">
      <w:pPr>
        <w:spacing w:after="3" w:line="259" w:lineRule="auto"/>
        <w:ind w:left="2304" w:hanging="10"/>
        <w:jc w:val="center"/>
      </w:pPr>
      <w:r>
        <w:rPr>
          <w:sz w:val="22"/>
        </w:rPr>
        <w:t>DIVISION OF THE BUDGET</w:t>
      </w:r>
    </w:p>
    <w:sectPr w:rsidR="003A6288">
      <w:pgSz w:w="12240" w:h="15840"/>
      <w:pgMar w:top="870" w:right="1450" w:bottom="639" w:left="8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F01B9"/>
    <w:multiLevelType w:val="hybridMultilevel"/>
    <w:tmpl w:val="9AF2A2D8"/>
    <w:lvl w:ilvl="0" w:tplc="DF9E52A4">
      <w:start w:val="1"/>
      <w:numFmt w:val="upperLetter"/>
      <w:lvlText w:val="(%1)"/>
      <w:lvlJc w:val="left"/>
      <w:pPr>
        <w:ind w:left="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2C94DA">
      <w:start w:val="1"/>
      <w:numFmt w:val="lowerLetter"/>
      <w:lvlText w:val="%2"/>
      <w:lvlJc w:val="left"/>
      <w:pPr>
        <w:ind w:left="1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58087E">
      <w:start w:val="1"/>
      <w:numFmt w:val="lowerRoman"/>
      <w:lvlText w:val="%3"/>
      <w:lvlJc w:val="left"/>
      <w:pPr>
        <w:ind w:left="2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E8C9E6">
      <w:start w:val="1"/>
      <w:numFmt w:val="decimal"/>
      <w:lvlText w:val="%4"/>
      <w:lvlJc w:val="left"/>
      <w:pPr>
        <w:ind w:left="3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FAA69C">
      <w:start w:val="1"/>
      <w:numFmt w:val="lowerLetter"/>
      <w:lvlText w:val="%5"/>
      <w:lvlJc w:val="left"/>
      <w:pPr>
        <w:ind w:left="4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B8DA84">
      <w:start w:val="1"/>
      <w:numFmt w:val="lowerRoman"/>
      <w:lvlText w:val="%6"/>
      <w:lvlJc w:val="left"/>
      <w:pPr>
        <w:ind w:left="4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068E28">
      <w:start w:val="1"/>
      <w:numFmt w:val="decimal"/>
      <w:lvlText w:val="%7"/>
      <w:lvlJc w:val="left"/>
      <w:pPr>
        <w:ind w:left="5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9C9B60">
      <w:start w:val="1"/>
      <w:numFmt w:val="lowerLetter"/>
      <w:lvlText w:val="%8"/>
      <w:lvlJc w:val="left"/>
      <w:pPr>
        <w:ind w:left="6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8233B8">
      <w:start w:val="1"/>
      <w:numFmt w:val="lowerRoman"/>
      <w:lvlText w:val="%9"/>
      <w:lvlJc w:val="left"/>
      <w:pPr>
        <w:ind w:left="6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826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288"/>
    <w:rsid w:val="003A6288"/>
    <w:rsid w:val="00572A65"/>
    <w:rsid w:val="005E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746A3"/>
  <w15:docId w15:val="{B1B6A143-71EE-4EB6-9456-7A9A0268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471" w:lineRule="auto"/>
      <w:ind w:left="629" w:firstLine="9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499"/>
      <w:outlineLvl w:val="0"/>
    </w:pPr>
    <w:rPr>
      <w:rFonts w:ascii="Calibri" w:eastAsia="Calibri" w:hAnsi="Calibri" w:cs="Calibri"/>
      <w:color w:val="000000"/>
      <w:sz w:val="3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2304"/>
      <w:jc w:val="center"/>
      <w:outlineLvl w:val="1"/>
    </w:pPr>
    <w:rPr>
      <w:rFonts w:ascii="Calibri" w:eastAsia="Calibri" w:hAnsi="Calibri" w:cs="Calibri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3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440</Words>
  <Characters>2333</Characters>
  <Application>Microsoft Office Word</Application>
  <DocSecurity>0</DocSecurity>
  <Lines>45</Lines>
  <Paragraphs>26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Guinn [KDC]</dc:creator>
  <cp:keywords/>
  <cp:lastModifiedBy>Justin Guinn [KDC]</cp:lastModifiedBy>
  <cp:revision>2</cp:revision>
  <dcterms:created xsi:type="dcterms:W3CDTF">2026-05-13T17:46:00Z</dcterms:created>
  <dcterms:modified xsi:type="dcterms:W3CDTF">2026-05-13T17:46:00Z</dcterms:modified>
</cp:coreProperties>
</file>