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C7F20" w14:textId="5656B6C3" w:rsidR="004B661C" w:rsidRDefault="00BE5039">
      <w:pPr>
        <w:pStyle w:val="BodyText"/>
        <w:rPr>
          <w:rFonts w:ascii="Times New Roman"/>
        </w:rPr>
      </w:pPr>
      <w:r>
        <w:rPr>
          <w:rFonts w:ascii="Times New Roman"/>
        </w:rPr>
        <w:t xml:space="preserve">  </w:t>
      </w:r>
    </w:p>
    <w:p w14:paraId="2F459FA1" w14:textId="77777777" w:rsidR="004B661C" w:rsidRDefault="004B661C">
      <w:pPr>
        <w:pStyle w:val="BodyText"/>
        <w:rPr>
          <w:rFonts w:ascii="Times New Roman"/>
        </w:rPr>
      </w:pPr>
    </w:p>
    <w:p w14:paraId="0FC55F6C" w14:textId="77777777" w:rsidR="004B661C" w:rsidRDefault="004B661C">
      <w:pPr>
        <w:pStyle w:val="BodyText"/>
        <w:rPr>
          <w:rFonts w:ascii="Times New Roman"/>
        </w:rPr>
      </w:pPr>
    </w:p>
    <w:p w14:paraId="0F296631" w14:textId="77777777" w:rsidR="004B661C" w:rsidRDefault="004B661C">
      <w:pPr>
        <w:pStyle w:val="BodyText"/>
        <w:spacing w:before="8"/>
        <w:rPr>
          <w:rFonts w:ascii="Arial Narrow"/>
          <w:b/>
          <w:sz w:val="10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146"/>
      </w:tblGrid>
      <w:tr w:rsidR="004B661C" w14:paraId="24252335" w14:textId="77777777" w:rsidTr="002D4907">
        <w:trPr>
          <w:trHeight w:val="520"/>
        </w:trPr>
        <w:tc>
          <w:tcPr>
            <w:tcW w:w="5220" w:type="dxa"/>
          </w:tcPr>
          <w:p w14:paraId="424223D7" w14:textId="77777777" w:rsidR="004B661C" w:rsidRDefault="00000000">
            <w:pPr>
              <w:pStyle w:val="TableParagraph"/>
              <w:spacing w:before="122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Student Name:</w:t>
            </w:r>
            <w:r>
              <w:rPr>
                <w:b/>
                <w:color w:val="231F20"/>
                <w:spacing w:val="53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XXX</w:t>
            </w:r>
          </w:p>
        </w:tc>
        <w:tc>
          <w:tcPr>
            <w:tcW w:w="5146" w:type="dxa"/>
          </w:tcPr>
          <w:p w14:paraId="7E65D83A" w14:textId="77777777" w:rsidR="004B661C" w:rsidRDefault="00000000">
            <w:pPr>
              <w:pStyle w:val="TableParagraph"/>
              <w:spacing w:before="122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Student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Application ID #:</w:t>
            </w:r>
            <w:r>
              <w:rPr>
                <w:b/>
                <w:color w:val="231F20"/>
                <w:spacing w:val="5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00000</w:t>
            </w:r>
          </w:p>
        </w:tc>
      </w:tr>
      <w:tr w:rsidR="004B661C" w14:paraId="313F2D53" w14:textId="77777777" w:rsidTr="002D4907">
        <w:trPr>
          <w:trHeight w:val="855"/>
        </w:trPr>
        <w:tc>
          <w:tcPr>
            <w:tcW w:w="10366" w:type="dxa"/>
            <w:gridSpan w:val="2"/>
          </w:tcPr>
          <w:p w14:paraId="3FC45EBA" w14:textId="77777777" w:rsidR="004B661C" w:rsidRDefault="004B661C">
            <w:pPr>
              <w:pStyle w:val="TableParagraph"/>
              <w:spacing w:before="14"/>
              <w:ind w:left="0"/>
              <w:rPr>
                <w:b/>
                <w:sz w:val="24"/>
              </w:rPr>
            </w:pPr>
          </w:p>
          <w:p w14:paraId="6B72E16E" w14:textId="1BCBA892" w:rsidR="004B661C" w:rsidRDefault="00000000" w:rsidP="002D4907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Subject:</w:t>
            </w:r>
            <w:r>
              <w:rPr>
                <w:b/>
                <w:color w:val="231F20"/>
                <w:spacing w:val="49"/>
                <w:sz w:val="24"/>
              </w:rPr>
              <w:t xml:space="preserve"> </w:t>
            </w:r>
            <w:r w:rsidR="002D4907" w:rsidRPr="002D4907">
              <w:rPr>
                <w:color w:val="231F20"/>
                <w:sz w:val="24"/>
              </w:rPr>
              <w:t>Health and Wellness</w:t>
            </w:r>
            <w:r w:rsidR="002D4907">
              <w:rPr>
                <w:color w:val="231F20"/>
                <w:sz w:val="24"/>
              </w:rPr>
              <w:t xml:space="preserve">: </w:t>
            </w:r>
            <w:r w:rsidR="002D4907" w:rsidRPr="002D4907">
              <w:rPr>
                <w:color w:val="231F20"/>
                <w:sz w:val="24"/>
              </w:rPr>
              <w:t>Category: Physical and Heath Education | Subcategory: Health Education | Subject: Human Anatomy and Physiology | EEID:</w:t>
            </w:r>
            <w:r w:rsidR="002D4907">
              <w:rPr>
                <w:color w:val="231F20"/>
                <w:sz w:val="24"/>
              </w:rPr>
              <w:t xml:space="preserve"> </w:t>
            </w:r>
            <w:r w:rsidR="002D4907" w:rsidRPr="002D4907">
              <w:rPr>
                <w:color w:val="231F20"/>
                <w:sz w:val="24"/>
              </w:rPr>
              <w:t>EE000252</w:t>
            </w:r>
            <w:r w:rsidR="002D4907">
              <w:rPr>
                <w:color w:val="231F20"/>
                <w:sz w:val="24"/>
              </w:rPr>
              <w:t>. S</w:t>
            </w:r>
            <w:r w:rsidR="001660E8">
              <w:rPr>
                <w:color w:val="231F20"/>
                <w:sz w:val="24"/>
              </w:rPr>
              <w:t>elf-Defense/ Martial Arts</w:t>
            </w:r>
          </w:p>
        </w:tc>
      </w:tr>
      <w:tr w:rsidR="004B661C" w14:paraId="2BDD1347" w14:textId="77777777" w:rsidTr="002D4907">
        <w:trPr>
          <w:trHeight w:val="1160"/>
        </w:trPr>
        <w:tc>
          <w:tcPr>
            <w:tcW w:w="10366" w:type="dxa"/>
            <w:gridSpan w:val="2"/>
          </w:tcPr>
          <w:p w14:paraId="59BCEC14" w14:textId="5AEE8518" w:rsidR="004B661C" w:rsidRPr="00BE5039" w:rsidRDefault="00000000" w:rsidP="00BE5039">
            <w:pPr>
              <w:pStyle w:val="TableParagraph"/>
              <w:ind w:right="123"/>
              <w:rPr>
                <w:b/>
                <w:color w:val="231F20"/>
                <w:spacing w:val="40"/>
                <w:sz w:val="24"/>
              </w:rPr>
            </w:pPr>
            <w:r w:rsidRPr="00BE5039">
              <w:rPr>
                <w:b/>
                <w:color w:val="231F20"/>
                <w:sz w:val="24"/>
              </w:rPr>
              <w:t>Scope</w:t>
            </w:r>
            <w:r w:rsidRPr="00BE5039">
              <w:rPr>
                <w:b/>
                <w:color w:val="231F20"/>
                <w:spacing w:val="-3"/>
                <w:sz w:val="24"/>
              </w:rPr>
              <w:t xml:space="preserve"> </w:t>
            </w:r>
            <w:r w:rsidRPr="00BE5039">
              <w:rPr>
                <w:b/>
                <w:color w:val="231F20"/>
                <w:sz w:val="24"/>
              </w:rPr>
              <w:t>/</w:t>
            </w:r>
            <w:r w:rsidRPr="00BE5039">
              <w:rPr>
                <w:b/>
                <w:color w:val="231F20"/>
                <w:spacing w:val="-3"/>
                <w:sz w:val="24"/>
              </w:rPr>
              <w:t xml:space="preserve"> </w:t>
            </w:r>
            <w:r w:rsidRPr="00BE5039">
              <w:rPr>
                <w:b/>
                <w:color w:val="231F20"/>
                <w:sz w:val="24"/>
              </w:rPr>
              <w:t>Overview</w:t>
            </w:r>
            <w:r w:rsidRPr="00BE5039">
              <w:rPr>
                <w:b/>
                <w:color w:val="231F20"/>
                <w:spacing w:val="-3"/>
                <w:sz w:val="24"/>
              </w:rPr>
              <w:t xml:space="preserve"> </w:t>
            </w:r>
            <w:r w:rsidRPr="00BE5039">
              <w:rPr>
                <w:b/>
                <w:color w:val="231F20"/>
                <w:sz w:val="24"/>
              </w:rPr>
              <w:t>of</w:t>
            </w:r>
            <w:r w:rsidRPr="00BE5039">
              <w:rPr>
                <w:b/>
                <w:color w:val="231F20"/>
                <w:spacing w:val="-2"/>
                <w:sz w:val="24"/>
              </w:rPr>
              <w:t xml:space="preserve"> </w:t>
            </w:r>
            <w:r w:rsidRPr="00BE5039">
              <w:rPr>
                <w:b/>
                <w:color w:val="231F20"/>
                <w:sz w:val="24"/>
              </w:rPr>
              <w:t>Class:</w:t>
            </w:r>
          </w:p>
          <w:p w14:paraId="44097EE6" w14:textId="017E7F7E" w:rsidR="00BE5039" w:rsidRPr="00BE5039" w:rsidRDefault="002D4907" w:rsidP="002D4907">
            <w:pPr>
              <w:pStyle w:val="TableParagraph"/>
              <w:ind w:right="123"/>
              <w:rPr>
                <w:sz w:val="24"/>
              </w:rPr>
            </w:pPr>
            <w:r w:rsidRPr="002D4907">
              <w:rPr>
                <w:sz w:val="24"/>
              </w:rPr>
              <w:t>Health and Wellness: Recognize the importance of taking care of the body through exercise, nutrition, sufficient sleep, and</w:t>
            </w:r>
            <w:r>
              <w:rPr>
                <w:sz w:val="24"/>
              </w:rPr>
              <w:t xml:space="preserve"> </w:t>
            </w:r>
            <w:r w:rsidRPr="002D4907">
              <w:rPr>
                <w:sz w:val="24"/>
              </w:rPr>
              <w:t>proper hygiene. Develop this understanding by learning about healthy lifestyle practices and their benefits. Health and</w:t>
            </w:r>
            <w:r>
              <w:rPr>
                <w:sz w:val="24"/>
              </w:rPr>
              <w:t xml:space="preserve"> </w:t>
            </w:r>
            <w:r w:rsidRPr="002D4907">
              <w:rPr>
                <w:sz w:val="24"/>
              </w:rPr>
              <w:t xml:space="preserve">wellness knowledge </w:t>
            </w:r>
            <w:r>
              <w:rPr>
                <w:sz w:val="24"/>
              </w:rPr>
              <w:t xml:space="preserve">relating to fitness and exercise </w:t>
            </w:r>
            <w:r w:rsidRPr="002D4907">
              <w:rPr>
                <w:sz w:val="24"/>
              </w:rPr>
              <w:t>is essential for disease prevention and maintaining overall well-being.</w:t>
            </w:r>
            <w:r w:rsidR="00CE1699">
              <w:rPr>
                <w:sz w:val="24"/>
              </w:rPr>
              <w:t xml:space="preserve"> </w:t>
            </w:r>
            <w:r w:rsidR="00BE5039" w:rsidRPr="00BE5039">
              <w:rPr>
                <w:sz w:val="24"/>
              </w:rPr>
              <w:t xml:space="preserve">This </w:t>
            </w:r>
            <w:r w:rsidR="00BE5039">
              <w:rPr>
                <w:sz w:val="24"/>
              </w:rPr>
              <w:t>curriculum comb</w:t>
            </w:r>
            <w:r w:rsidR="00BE5039" w:rsidRPr="00BE5039">
              <w:rPr>
                <w:sz w:val="24"/>
              </w:rPr>
              <w:t>ines principles from various areas to understand how the body moves and how it can be optimized for health and performance</w:t>
            </w:r>
            <w:r w:rsidR="00CE1699">
              <w:rPr>
                <w:sz w:val="24"/>
              </w:rPr>
              <w:t xml:space="preserve"> through martial arts training to teach these principles</w:t>
            </w:r>
            <w:r w:rsidR="00BE5039" w:rsidRPr="00BE5039">
              <w:rPr>
                <w:sz w:val="24"/>
              </w:rPr>
              <w:t>, including:</w:t>
            </w:r>
          </w:p>
          <w:p w14:paraId="3B56246F" w14:textId="77777777" w:rsidR="00BE5039" w:rsidRPr="00BE5039" w:rsidRDefault="00BE5039" w:rsidP="00BE5039">
            <w:pPr>
              <w:pStyle w:val="TableParagraph"/>
              <w:ind w:right="123"/>
              <w:rPr>
                <w:sz w:val="24"/>
              </w:rPr>
            </w:pPr>
          </w:p>
          <w:p w14:paraId="72C078DC" w14:textId="58F8D254" w:rsidR="00BE5039" w:rsidRPr="00BE5039" w:rsidRDefault="00BE5039" w:rsidP="002D4907">
            <w:pPr>
              <w:pStyle w:val="TableParagraph"/>
              <w:numPr>
                <w:ilvl w:val="0"/>
                <w:numId w:val="6"/>
              </w:numPr>
              <w:ind w:left="585" w:right="123"/>
              <w:rPr>
                <w:sz w:val="24"/>
              </w:rPr>
            </w:pPr>
            <w:r w:rsidRPr="00BE5039">
              <w:rPr>
                <w:sz w:val="24"/>
              </w:rPr>
              <w:t xml:space="preserve">Human anatomy: Gain in-depth knowledge of the body's structure and </w:t>
            </w:r>
            <w:r w:rsidR="002D4907" w:rsidRPr="00BE5039">
              <w:rPr>
                <w:sz w:val="24"/>
              </w:rPr>
              <w:t>function and</w:t>
            </w:r>
            <w:r w:rsidRPr="00BE5039">
              <w:rPr>
                <w:sz w:val="24"/>
              </w:rPr>
              <w:t xml:space="preserve"> learn how different systems work together to make the body move. </w:t>
            </w:r>
          </w:p>
          <w:p w14:paraId="5CE97526" w14:textId="77777777" w:rsidR="00BE5039" w:rsidRPr="00BE5039" w:rsidRDefault="00BE5039" w:rsidP="002D4907">
            <w:pPr>
              <w:pStyle w:val="TableParagraph"/>
              <w:numPr>
                <w:ilvl w:val="0"/>
                <w:numId w:val="6"/>
              </w:numPr>
              <w:ind w:left="585" w:right="123"/>
              <w:rPr>
                <w:sz w:val="24"/>
              </w:rPr>
            </w:pPr>
            <w:r w:rsidRPr="00BE5039">
              <w:rPr>
                <w:sz w:val="24"/>
              </w:rPr>
              <w:t xml:space="preserve">Exercise physiology: Discover how exercise, health, and sports impact the body. </w:t>
            </w:r>
          </w:p>
          <w:p w14:paraId="03401BEF" w14:textId="77777777" w:rsidR="00BE5039" w:rsidRPr="00BE5039" w:rsidRDefault="00BE5039" w:rsidP="002D4907">
            <w:pPr>
              <w:pStyle w:val="TableParagraph"/>
              <w:numPr>
                <w:ilvl w:val="0"/>
                <w:numId w:val="6"/>
              </w:numPr>
              <w:ind w:left="585" w:right="123"/>
              <w:rPr>
                <w:sz w:val="24"/>
              </w:rPr>
            </w:pPr>
            <w:r w:rsidRPr="00BE5039">
              <w:rPr>
                <w:sz w:val="24"/>
              </w:rPr>
              <w:t>Biomechanics: Know why the body moves the way it does</w:t>
            </w:r>
          </w:p>
          <w:p w14:paraId="4D7C4D3B" w14:textId="77777777" w:rsidR="00BE5039" w:rsidRPr="00BE5039" w:rsidRDefault="00BE5039" w:rsidP="002D4907">
            <w:pPr>
              <w:pStyle w:val="TableParagraph"/>
              <w:numPr>
                <w:ilvl w:val="0"/>
                <w:numId w:val="6"/>
              </w:numPr>
              <w:ind w:left="585" w:right="123"/>
              <w:rPr>
                <w:sz w:val="24"/>
              </w:rPr>
            </w:pPr>
            <w:r w:rsidRPr="00BE5039">
              <w:rPr>
                <w:sz w:val="24"/>
              </w:rPr>
              <w:t xml:space="preserve">Neuromotor control: Understand how the brain develops and controls the body's movements, as well as the psychological factors that influence physical activity. </w:t>
            </w:r>
          </w:p>
          <w:p w14:paraId="34ABAD20" w14:textId="77777777" w:rsidR="00BE5039" w:rsidRPr="00BE5039" w:rsidRDefault="00BE5039" w:rsidP="002D4907">
            <w:pPr>
              <w:pStyle w:val="TableParagraph"/>
              <w:numPr>
                <w:ilvl w:val="0"/>
                <w:numId w:val="6"/>
              </w:numPr>
              <w:ind w:left="585" w:right="123"/>
              <w:rPr>
                <w:sz w:val="24"/>
              </w:rPr>
            </w:pPr>
            <w:r w:rsidRPr="00BE5039">
              <w:rPr>
                <w:sz w:val="24"/>
              </w:rPr>
              <w:t xml:space="preserve">Sport and exercise psychology: Study how thoughts, feelings, and behaviors impact physical activity and sports. </w:t>
            </w:r>
          </w:p>
          <w:p w14:paraId="168FF600" w14:textId="391D6331" w:rsidR="0039248D" w:rsidRDefault="00BE5039" w:rsidP="002D4907">
            <w:pPr>
              <w:pStyle w:val="TableParagraph"/>
              <w:numPr>
                <w:ilvl w:val="0"/>
                <w:numId w:val="6"/>
              </w:numPr>
              <w:ind w:left="585" w:right="123"/>
              <w:rPr>
                <w:sz w:val="24"/>
              </w:rPr>
            </w:pPr>
            <w:r w:rsidRPr="00BE5039">
              <w:rPr>
                <w:sz w:val="24"/>
              </w:rPr>
              <w:t>Sport sociology: Grasp how various communities impact, and are impacted by, sport participation</w:t>
            </w:r>
          </w:p>
        </w:tc>
      </w:tr>
      <w:tr w:rsidR="004B661C" w14:paraId="68F0E0DD" w14:textId="77777777" w:rsidTr="002D4907">
        <w:trPr>
          <w:trHeight w:val="1909"/>
        </w:trPr>
        <w:tc>
          <w:tcPr>
            <w:tcW w:w="10366" w:type="dxa"/>
            <w:gridSpan w:val="2"/>
          </w:tcPr>
          <w:p w14:paraId="7A669C12" w14:textId="4B362620" w:rsidR="00E953AB" w:rsidRPr="00BE5039" w:rsidRDefault="00000000" w:rsidP="00BE5039">
            <w:pPr>
              <w:pStyle w:val="TableParagraph"/>
              <w:spacing w:before="26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Sequence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/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Method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Teaching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/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Lessons:</w:t>
            </w:r>
          </w:p>
          <w:p w14:paraId="085B85D3" w14:textId="1AF6062E" w:rsidR="00E953AB" w:rsidRPr="00E953AB" w:rsidRDefault="001660E8" w:rsidP="002D4907">
            <w:pPr>
              <w:ind w:left="240"/>
              <w:rPr>
                <w:rFonts w:ascii="Arial Narrow" w:eastAsia="Arial Narrow" w:hAnsi="Arial Narrow" w:cs="Arial Narrow"/>
                <w:sz w:val="24"/>
              </w:rPr>
            </w:pPr>
            <w:r w:rsidRPr="001660E8">
              <w:rPr>
                <w:rFonts w:ascii="Arial Narrow" w:eastAsia="Arial Narrow" w:hAnsi="Arial Narrow" w:cs="Arial Narrow"/>
                <w:sz w:val="24"/>
              </w:rPr>
              <w:t>Students will learn in a group setting as they learn new Katas and Techniques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consistent with their individual level of experience</w:t>
            </w:r>
            <w:r w:rsidRPr="001660E8">
              <w:rPr>
                <w:rFonts w:ascii="Arial Narrow" w:eastAsia="Arial Narrow" w:hAnsi="Arial Narrow" w:cs="Arial Narrow"/>
                <w:sz w:val="24"/>
              </w:rPr>
              <w:t>. They will also work with partners and small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 w:rsidRPr="001660E8">
              <w:rPr>
                <w:rFonts w:ascii="Arial Narrow" w:eastAsia="Arial Narrow" w:hAnsi="Arial Narrow" w:cs="Arial Narrow"/>
                <w:sz w:val="24"/>
              </w:rPr>
              <w:t xml:space="preserve">groups. </w:t>
            </w:r>
            <w:proofErr w:type="gramStart"/>
            <w:r w:rsidRPr="001660E8">
              <w:rPr>
                <w:rFonts w:ascii="Arial Narrow" w:eastAsia="Arial Narrow" w:hAnsi="Arial Narrow" w:cs="Arial Narrow"/>
                <w:sz w:val="24"/>
              </w:rPr>
              <w:t>Students will</w:t>
            </w:r>
            <w:proofErr w:type="gramEnd"/>
            <w:r w:rsidRPr="001660E8">
              <w:rPr>
                <w:rFonts w:ascii="Arial Narrow" w:eastAsia="Arial Narrow" w:hAnsi="Arial Narrow" w:cs="Arial Narrow"/>
                <w:sz w:val="24"/>
              </w:rPr>
              <w:t xml:space="preserve"> occasionally work independently to practice self-</w:t>
            </w:r>
            <w:r w:rsidRPr="001660E8">
              <w:rPr>
                <w:rFonts w:ascii="Arial Narrow" w:eastAsia="Arial Narrow" w:hAnsi="Arial Narrow" w:cs="Arial Narrow"/>
                <w:sz w:val="24"/>
              </w:rPr>
              <w:t>discipline.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Lea</w:t>
            </w:r>
            <w:r w:rsidRPr="00E953AB">
              <w:rPr>
                <w:rFonts w:ascii="Arial Narrow" w:eastAsia="Arial Narrow" w:hAnsi="Arial Narrow" w:cs="Arial Narrow"/>
                <w:sz w:val="24"/>
              </w:rPr>
              <w:t>rner</w:t>
            </w:r>
            <w:r w:rsidR="00E953AB" w:rsidRPr="00E953AB">
              <w:rPr>
                <w:rFonts w:ascii="Arial Narrow" w:eastAsia="Arial Narrow" w:hAnsi="Arial Narrow" w:cs="Arial Narrow"/>
                <w:sz w:val="24"/>
              </w:rPr>
              <w:t>-centered design</w:t>
            </w:r>
            <w:r w:rsidR="00BE5039">
              <w:rPr>
                <w:rFonts w:ascii="Arial Narrow" w:eastAsia="Arial Narrow" w:hAnsi="Arial Narrow" w:cs="Arial Narrow"/>
                <w:sz w:val="24"/>
              </w:rPr>
              <w:t xml:space="preserve"> implemented through community engagement with reflection, and effective role models as leaders and educators: </w:t>
            </w:r>
            <w:r w:rsidR="00E953AB" w:rsidRPr="00E953AB">
              <w:rPr>
                <w:rFonts w:ascii="Arial Narrow" w:eastAsia="Arial Narrow" w:hAnsi="Arial Narrow" w:cs="Arial Narrow"/>
                <w:sz w:val="24"/>
              </w:rPr>
              <w:t>App</w:t>
            </w:r>
            <w:r w:rsidR="000D4C50">
              <w:rPr>
                <w:rFonts w:ascii="Arial Narrow" w:eastAsia="Arial Narrow" w:hAnsi="Arial Narrow" w:cs="Arial Narrow"/>
                <w:sz w:val="24"/>
              </w:rPr>
              <w:t xml:space="preserve">lied through scaffolding and hierarchal sequencing </w:t>
            </w:r>
            <w:r w:rsidR="00E953AB">
              <w:rPr>
                <w:rFonts w:ascii="Arial Narrow" w:eastAsia="Arial Narrow" w:hAnsi="Arial Narrow" w:cs="Arial Narrow"/>
                <w:sz w:val="24"/>
              </w:rPr>
              <w:t>t</w:t>
            </w:r>
            <w:r w:rsidR="00E953AB" w:rsidRPr="00E953AB">
              <w:rPr>
                <w:rFonts w:ascii="Arial Narrow" w:eastAsia="Arial Narrow" w:hAnsi="Arial Narrow" w:cs="Arial Narrow"/>
                <w:sz w:val="24"/>
              </w:rPr>
              <w:t>he following</w:t>
            </w:r>
            <w:r w:rsidR="000D4C50">
              <w:rPr>
                <w:rFonts w:ascii="Arial Narrow" w:eastAsia="Arial Narrow" w:hAnsi="Arial Narrow" w:cs="Arial Narrow"/>
                <w:sz w:val="24"/>
              </w:rPr>
              <w:t xml:space="preserve"> high impact methods of learning (Fink, 2016)</w:t>
            </w:r>
            <w:r>
              <w:rPr>
                <w:rFonts w:ascii="Arial Narrow" w:eastAsia="Arial Narrow" w:hAnsi="Arial Narrow" w:cs="Arial Narrow"/>
                <w:sz w:val="24"/>
              </w:rPr>
              <w:t>:</w:t>
            </w:r>
          </w:p>
          <w:p w14:paraId="22CB8E4E" w14:textId="010A2616" w:rsidR="00E953AB" w:rsidRPr="00E953AB" w:rsidRDefault="00E953AB" w:rsidP="00E953AB">
            <w:pPr>
              <w:pStyle w:val="ListParagraph"/>
              <w:ind w:left="718"/>
              <w:rPr>
                <w:rFonts w:ascii="Arial Narrow" w:eastAsia="Arial Narrow" w:hAnsi="Arial Narrow" w:cs="Arial Narrow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 xml:space="preserve">       </w:t>
            </w:r>
            <w:r w:rsidRPr="00E953AB">
              <w:rPr>
                <w:rFonts w:ascii="Arial Narrow" w:eastAsia="Arial Narrow" w:hAnsi="Arial Narrow" w:cs="Arial Narrow"/>
                <w:sz w:val="24"/>
              </w:rPr>
              <w:t xml:space="preserve">Active Learning </w:t>
            </w:r>
            <w:proofErr w:type="gramStart"/>
            <w:r w:rsidRPr="00E953AB">
              <w:rPr>
                <w:rFonts w:ascii="Arial Narrow" w:eastAsia="Arial Narrow" w:hAnsi="Arial Narrow" w:cs="Arial Narrow"/>
                <w:sz w:val="24"/>
              </w:rPr>
              <w:t>designed</w:t>
            </w:r>
            <w:proofErr w:type="gramEnd"/>
            <w:r w:rsidRPr="00E953AB">
              <w:rPr>
                <w:rFonts w:ascii="Arial Narrow" w:eastAsia="Arial Narrow" w:hAnsi="Arial Narrow" w:cs="Arial Narrow"/>
                <w:sz w:val="24"/>
              </w:rPr>
              <w:t xml:space="preserve"> to increase engagement. These include low-stakes strategies like pausing for clarification up to more involved strategies such as problem-based learning (PBL) or classroom response systems (CRSs). Research generally supports the efficacy of active learning strategies, though impact varies widely based on context (Prince, 2004). </w:t>
            </w:r>
          </w:p>
          <w:p w14:paraId="7E9AE3F2" w14:textId="29484149" w:rsidR="00E953AB" w:rsidRDefault="00E953AB" w:rsidP="00E953AB">
            <w:pPr>
              <w:pStyle w:val="ListParagraph"/>
              <w:ind w:left="718" w:firstLine="0"/>
              <w:rPr>
                <w:rFonts w:ascii="Arial Narrow" w:eastAsia="Arial Narrow" w:hAnsi="Arial Narrow" w:cs="Arial Narrow"/>
                <w:sz w:val="24"/>
              </w:rPr>
            </w:pPr>
            <w:r w:rsidRPr="00E953AB">
              <w:rPr>
                <w:rFonts w:ascii="Arial Narrow" w:eastAsia="Arial Narrow" w:hAnsi="Arial Narrow" w:cs="Arial Narrow"/>
                <w:sz w:val="24"/>
              </w:rPr>
              <w:t>Cooperative or Collaborative Learning includes approaches in which groups work together to complete tasks, solve problems, or create products, reaping collective benefits (Johnson &amp; Johnson, 2009). Strategies range from one-time activities such as "jigsaw" discussions to ongoing processes such as formalized team-based learning (TBL).</w:t>
            </w:r>
          </w:p>
          <w:p w14:paraId="5B3C3FCB" w14:textId="44DA66EA" w:rsidR="00E953AB" w:rsidRDefault="00E953AB" w:rsidP="00E953AB">
            <w:pPr>
              <w:pStyle w:val="ListParagraph"/>
              <w:ind w:left="718" w:firstLine="0"/>
              <w:rPr>
                <w:rFonts w:ascii="Arial Narrow" w:eastAsia="Arial Narrow" w:hAnsi="Arial Narrow" w:cs="Arial Narrow"/>
                <w:sz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4"/>
              </w:rPr>
              <w:t>And;</w:t>
            </w:r>
            <w:proofErr w:type="gramEnd"/>
          </w:p>
          <w:p w14:paraId="7CE607D9" w14:textId="0788D7C5" w:rsidR="00E953AB" w:rsidRPr="00E953AB" w:rsidRDefault="00CC3492" w:rsidP="00CC3492">
            <w:pPr>
              <w:pStyle w:val="ListParagraph"/>
              <w:ind w:left="718"/>
              <w:rPr>
                <w:rFonts w:ascii="Arial Narrow" w:eastAsia="Arial Narrow" w:hAnsi="Arial Narrow" w:cs="Arial Narrow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 xml:space="preserve">       </w:t>
            </w:r>
            <w:proofErr w:type="gramStart"/>
            <w:r w:rsidRPr="00CC3492">
              <w:rPr>
                <w:rFonts w:ascii="Arial Narrow" w:eastAsia="Arial Narrow" w:hAnsi="Arial Narrow" w:cs="Arial Narrow"/>
                <w:sz w:val="24"/>
              </w:rPr>
              <w:t>Experiential</w:t>
            </w:r>
            <w:proofErr w:type="gramEnd"/>
            <w:r w:rsidRPr="00CC3492">
              <w:rPr>
                <w:rFonts w:ascii="Arial Narrow" w:eastAsia="Arial Narrow" w:hAnsi="Arial Narrow" w:cs="Arial Narrow"/>
                <w:sz w:val="24"/>
              </w:rPr>
              <w:t xml:space="preserve"> or Service Learning (SL) refers to participation in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 w:rsidRPr="00CC3492">
              <w:rPr>
                <w:rFonts w:ascii="Arial Narrow" w:eastAsia="Arial Narrow" w:hAnsi="Arial Narrow" w:cs="Arial Narrow"/>
                <w:sz w:val="24"/>
              </w:rPr>
              <w:t>authentic or semi-authentic experiences as opposed to traditional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 w:rsidRPr="00CC3492">
              <w:rPr>
                <w:rFonts w:ascii="Arial Narrow" w:eastAsia="Arial Narrow" w:hAnsi="Arial Narrow" w:cs="Arial Narrow"/>
                <w:sz w:val="24"/>
              </w:rPr>
              <w:t>classroom learning. It often incorporates emotional investment along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 w:rsidRPr="00CC3492">
              <w:rPr>
                <w:rFonts w:ascii="Arial Narrow" w:eastAsia="Arial Narrow" w:hAnsi="Arial Narrow" w:cs="Arial Narrow"/>
                <w:sz w:val="24"/>
              </w:rPr>
              <w:t>with reflection and can be effective for a range of audiences (Cantor,1995). SL is also a designation from the University identifying cours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e </w:t>
            </w:r>
            <w:r w:rsidRPr="00CC3492">
              <w:rPr>
                <w:rFonts w:ascii="Arial Narrow" w:eastAsia="Arial Narrow" w:hAnsi="Arial Narrow" w:cs="Arial Narrow"/>
                <w:sz w:val="24"/>
              </w:rPr>
              <w:t>sections that combine social, active, experiential, and problem-based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 w:rsidRPr="00CC3492">
              <w:rPr>
                <w:rFonts w:ascii="Arial Narrow" w:eastAsia="Arial Narrow" w:hAnsi="Arial Narrow" w:cs="Arial Narrow"/>
                <w:sz w:val="24"/>
              </w:rPr>
              <w:t>methods to foster deeper understanding of course concepts and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 w:rsidRPr="00CC3492">
              <w:rPr>
                <w:rFonts w:ascii="Arial Narrow" w:eastAsia="Arial Narrow" w:hAnsi="Arial Narrow" w:cs="Arial Narrow"/>
                <w:sz w:val="24"/>
              </w:rPr>
              <w:t>potential applications.</w:t>
            </w:r>
            <w:r w:rsidRPr="00E953AB">
              <w:rPr>
                <w:rFonts w:ascii="Arial Narrow" w:eastAsia="Arial Narrow" w:hAnsi="Arial Narrow" w:cs="Arial Narrow"/>
                <w:sz w:val="24"/>
              </w:rPr>
              <w:t xml:space="preserve"> </w:t>
            </w:r>
          </w:p>
          <w:p w14:paraId="034C7676" w14:textId="77777777" w:rsidR="00E953AB" w:rsidRPr="00E953AB" w:rsidRDefault="00E953AB" w:rsidP="00E953AB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</w:p>
          <w:p w14:paraId="7C62E381" w14:textId="7D9975E3" w:rsidR="0039248D" w:rsidRPr="003B2B0F" w:rsidRDefault="0039248D" w:rsidP="003B2B0F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  <w:r>
              <w:rPr>
                <w:color w:val="231F20"/>
                <w:sz w:val="24"/>
              </w:rPr>
              <w:t>1) academic instruction; 2) Hands on section; 3) skills demonstration; 4) Environmental application:</w:t>
            </w:r>
          </w:p>
          <w:p w14:paraId="46027C8E" w14:textId="77777777" w:rsidR="00CC3492" w:rsidRDefault="00CC3492" w:rsidP="00CC3492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</w:p>
          <w:p w14:paraId="0872F5D0" w14:textId="77777777" w:rsidR="001660E8" w:rsidRP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b/>
                <w:bCs/>
                <w:sz w:val="24"/>
              </w:rPr>
            </w:pPr>
            <w:r w:rsidRPr="001660E8">
              <w:rPr>
                <w:b/>
                <w:bCs/>
                <w:sz w:val="24"/>
              </w:rPr>
              <w:t>Lesson Plan:</w:t>
            </w:r>
          </w:p>
          <w:p w14:paraId="78BDC811" w14:textId="3406E3B0" w:rsidR="001660E8" w:rsidRP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  <w:r w:rsidRPr="001660E8">
              <w:rPr>
                <w:sz w:val="24"/>
              </w:rPr>
              <w:t xml:space="preserve"> </w:t>
            </w:r>
            <w:r w:rsidRPr="001660E8">
              <w:rPr>
                <w:i/>
                <w:iCs/>
                <w:sz w:val="24"/>
              </w:rPr>
              <w:t>Warm-up (10 minutes):</w:t>
            </w:r>
            <w:r>
              <w:rPr>
                <w:sz w:val="24"/>
              </w:rPr>
              <w:t xml:space="preserve"> </w:t>
            </w:r>
            <w:r w:rsidRPr="001660E8">
              <w:rPr>
                <w:sz w:val="24"/>
              </w:rPr>
              <w:t>Start the lesson with a dynamic warm-up to prepare the body for physical activity. Include exercises such as jogging in place,</w:t>
            </w:r>
            <w:r>
              <w:rPr>
                <w:sz w:val="24"/>
              </w:rPr>
              <w:t xml:space="preserve"> </w:t>
            </w:r>
            <w:r w:rsidRPr="001660E8">
              <w:rPr>
                <w:sz w:val="24"/>
              </w:rPr>
              <w:t>jumping jacks, and dynamic stretches to loosen up muscles and increase heart rate.</w:t>
            </w:r>
          </w:p>
          <w:p w14:paraId="282E755B" w14:textId="77777777" w:rsid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i/>
                <w:iCs/>
                <w:sz w:val="24"/>
              </w:rPr>
            </w:pPr>
          </w:p>
          <w:p w14:paraId="4E24799B" w14:textId="547F06A3" w:rsidR="001660E8" w:rsidRP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  <w:r w:rsidRPr="001660E8">
              <w:rPr>
                <w:i/>
                <w:iCs/>
                <w:sz w:val="24"/>
              </w:rPr>
              <w:lastRenderedPageBreak/>
              <w:t>2a. Kata practice:</w:t>
            </w:r>
            <w:r>
              <w:rPr>
                <w:i/>
                <w:iCs/>
                <w:sz w:val="24"/>
              </w:rPr>
              <w:t xml:space="preserve"> </w:t>
            </w:r>
            <w:r w:rsidRPr="001660E8">
              <w:rPr>
                <w:sz w:val="24"/>
              </w:rPr>
              <w:t>Demonstrate a traditional martial arts kata and guide students through the movements step by step. Encourage students to</w:t>
            </w:r>
            <w:r>
              <w:rPr>
                <w:sz w:val="24"/>
              </w:rPr>
              <w:t xml:space="preserve"> </w:t>
            </w:r>
            <w:r w:rsidRPr="001660E8">
              <w:rPr>
                <w:sz w:val="24"/>
              </w:rPr>
              <w:t>focus on proper form, breathing, and fluidity of movement. Have students practice the kata individually and provide feedback</w:t>
            </w:r>
            <w:r>
              <w:rPr>
                <w:sz w:val="24"/>
              </w:rPr>
              <w:t xml:space="preserve"> </w:t>
            </w:r>
            <w:r w:rsidRPr="001660E8">
              <w:rPr>
                <w:sz w:val="24"/>
              </w:rPr>
              <w:t>on their technique.</w:t>
            </w:r>
          </w:p>
          <w:p w14:paraId="0345726F" w14:textId="77777777" w:rsid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i/>
                <w:iCs/>
                <w:sz w:val="24"/>
              </w:rPr>
            </w:pPr>
          </w:p>
          <w:p w14:paraId="1304AC8D" w14:textId="1958EB3E" w:rsidR="001660E8" w:rsidRP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  <w:r w:rsidRPr="001660E8">
              <w:rPr>
                <w:i/>
                <w:iCs/>
                <w:sz w:val="24"/>
              </w:rPr>
              <w:t>2b. Sparring drills (20 minutes):</w:t>
            </w:r>
            <w:r>
              <w:rPr>
                <w:i/>
                <w:iCs/>
                <w:sz w:val="24"/>
              </w:rPr>
              <w:t xml:space="preserve"> </w:t>
            </w:r>
            <w:r w:rsidRPr="001660E8">
              <w:rPr>
                <w:sz w:val="24"/>
              </w:rPr>
              <w:t>Pair students up and have them put on sparring gear. Demonstrate basic sparring techniques such as footwork, blocking, and</w:t>
            </w:r>
            <w:r>
              <w:rPr>
                <w:sz w:val="24"/>
              </w:rPr>
              <w:t xml:space="preserve"> </w:t>
            </w:r>
            <w:r w:rsidRPr="001660E8">
              <w:rPr>
                <w:sz w:val="24"/>
              </w:rPr>
              <w:t>striking. Allow students to practice these techniques in controlled sparring drills, emphasizing safety and control. Rotate</w:t>
            </w:r>
          </w:p>
          <w:p w14:paraId="355C6322" w14:textId="77777777" w:rsidR="001660E8" w:rsidRP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  <w:r w:rsidRPr="001660E8">
              <w:rPr>
                <w:sz w:val="24"/>
              </w:rPr>
              <w:t>partners to give students the opportunity to practice with different partners.</w:t>
            </w:r>
          </w:p>
          <w:p w14:paraId="329DDE9B" w14:textId="77777777" w:rsid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i/>
                <w:iCs/>
                <w:sz w:val="24"/>
              </w:rPr>
            </w:pPr>
          </w:p>
          <w:p w14:paraId="0F1AD186" w14:textId="1A43B5B0" w:rsidR="001660E8" w:rsidRP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  <w:r w:rsidRPr="001660E8">
              <w:rPr>
                <w:i/>
                <w:iCs/>
                <w:sz w:val="24"/>
              </w:rPr>
              <w:t>2c. Self-defense techniques (15 minutes):</w:t>
            </w:r>
            <w:r>
              <w:rPr>
                <w:i/>
                <w:iCs/>
                <w:sz w:val="24"/>
              </w:rPr>
              <w:t xml:space="preserve"> </w:t>
            </w:r>
            <w:r w:rsidRPr="001660E8">
              <w:rPr>
                <w:sz w:val="24"/>
              </w:rPr>
              <w:t>Introduce basic self-defense techniques such as wrist grabs, chokeholds, and escapes. Demonstrate each technique and</w:t>
            </w:r>
          </w:p>
          <w:p w14:paraId="12E4B8FB" w14:textId="77777777" w:rsidR="001660E8" w:rsidRP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  <w:r w:rsidRPr="001660E8">
              <w:rPr>
                <w:sz w:val="24"/>
              </w:rPr>
              <w:t>have students practice with a partner. Emphasize the importance of using technique and leverage rather than brute strength</w:t>
            </w:r>
          </w:p>
          <w:p w14:paraId="6B992A9B" w14:textId="77777777" w:rsidR="001660E8" w:rsidRP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  <w:r w:rsidRPr="001660E8">
              <w:rPr>
                <w:sz w:val="24"/>
              </w:rPr>
              <w:t>in self-defense situations.</w:t>
            </w:r>
          </w:p>
          <w:p w14:paraId="3F834F87" w14:textId="77777777" w:rsidR="001660E8" w:rsidRP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i/>
                <w:iCs/>
                <w:sz w:val="24"/>
              </w:rPr>
            </w:pPr>
          </w:p>
          <w:p w14:paraId="5CFA343F" w14:textId="12873EFD" w:rsidR="001660E8" w:rsidRP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  <w:r w:rsidRPr="001660E8">
              <w:rPr>
                <w:i/>
                <w:iCs/>
                <w:sz w:val="24"/>
              </w:rPr>
              <w:t>2d. Practice weapons training (10 minutes):</w:t>
            </w:r>
            <w:r>
              <w:rPr>
                <w:i/>
                <w:iCs/>
                <w:sz w:val="24"/>
              </w:rPr>
              <w:t xml:space="preserve"> </w:t>
            </w:r>
            <w:r w:rsidRPr="001660E8">
              <w:rPr>
                <w:sz w:val="24"/>
              </w:rPr>
              <w:t xml:space="preserve">Introduce practice weapons such as wooden swords or </w:t>
            </w:r>
            <w:proofErr w:type="gramStart"/>
            <w:r w:rsidRPr="001660E8">
              <w:rPr>
                <w:sz w:val="24"/>
              </w:rPr>
              <w:t>staffs</w:t>
            </w:r>
            <w:proofErr w:type="gramEnd"/>
            <w:r w:rsidRPr="001660E8">
              <w:rPr>
                <w:sz w:val="24"/>
              </w:rPr>
              <w:t>. Demonstrate basic techniques for handling the weapons safely</w:t>
            </w:r>
            <w:r>
              <w:rPr>
                <w:sz w:val="24"/>
              </w:rPr>
              <w:t xml:space="preserve"> </w:t>
            </w:r>
            <w:r w:rsidRPr="001660E8">
              <w:rPr>
                <w:sz w:val="24"/>
              </w:rPr>
              <w:t>and effectively. Have students practice basic strikes and blocks with the weapons under supervision.</w:t>
            </w:r>
          </w:p>
          <w:p w14:paraId="1FDBF7AC" w14:textId="77777777" w:rsid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</w:p>
          <w:p w14:paraId="06875680" w14:textId="3364BC5F" w:rsidR="001660E8" w:rsidRDefault="001660E8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  <w:r w:rsidRPr="001660E8">
              <w:rPr>
                <w:i/>
                <w:iCs/>
                <w:sz w:val="24"/>
              </w:rPr>
              <w:t>Conclusion:</w:t>
            </w:r>
            <w:r>
              <w:rPr>
                <w:i/>
                <w:iCs/>
                <w:sz w:val="24"/>
              </w:rPr>
              <w:t xml:space="preserve"> </w:t>
            </w:r>
            <w:r w:rsidRPr="001660E8">
              <w:rPr>
                <w:sz w:val="24"/>
              </w:rPr>
              <w:t>Wrap up the lesson by reviewing key takeaways from the kata, sparring, self-defense, or weapons training segments.</w:t>
            </w:r>
            <w:r>
              <w:rPr>
                <w:sz w:val="24"/>
              </w:rPr>
              <w:t xml:space="preserve"> </w:t>
            </w:r>
            <w:r w:rsidRPr="001660E8">
              <w:rPr>
                <w:sz w:val="24"/>
              </w:rPr>
              <w:t>Emphasize the importance of consistent practice and dedication in improving martial arts skills. Encourage students to</w:t>
            </w:r>
            <w:r>
              <w:rPr>
                <w:sz w:val="24"/>
              </w:rPr>
              <w:t xml:space="preserve"> </w:t>
            </w:r>
            <w:r w:rsidRPr="001660E8">
              <w:rPr>
                <w:sz w:val="24"/>
              </w:rPr>
              <w:t>continue practicing at home and set goals for their progress in future lessons.</w:t>
            </w:r>
          </w:p>
          <w:p w14:paraId="765D00B4" w14:textId="3A74014B" w:rsidR="004B661C" w:rsidRDefault="004B661C" w:rsidP="001660E8">
            <w:pPr>
              <w:pStyle w:val="TableParagraph"/>
              <w:tabs>
                <w:tab w:val="left" w:pos="716"/>
              </w:tabs>
              <w:spacing w:before="1"/>
              <w:ind w:left="716"/>
              <w:rPr>
                <w:sz w:val="24"/>
              </w:rPr>
            </w:pPr>
          </w:p>
        </w:tc>
      </w:tr>
      <w:tr w:rsidR="004B661C" w14:paraId="2CF41D2C" w14:textId="77777777" w:rsidTr="002D4907">
        <w:trPr>
          <w:trHeight w:val="776"/>
        </w:trPr>
        <w:tc>
          <w:tcPr>
            <w:tcW w:w="10366" w:type="dxa"/>
            <w:gridSpan w:val="2"/>
          </w:tcPr>
          <w:p w14:paraId="316D3DCE" w14:textId="60E3EB47" w:rsidR="0039248D" w:rsidRDefault="00D94505">
            <w:pPr>
              <w:pStyle w:val="TableParagraph"/>
              <w:spacing w:before="250"/>
              <w:rPr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Supplemental Materials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Needed:</w:t>
            </w:r>
            <w:r>
              <w:rPr>
                <w:b/>
                <w:color w:val="231F20"/>
                <w:spacing w:val="49"/>
                <w:sz w:val="24"/>
              </w:rPr>
              <w:t xml:space="preserve"> </w:t>
            </w:r>
          </w:p>
          <w:p w14:paraId="39DEC308" w14:textId="3C94B963" w:rsidR="008A65FF" w:rsidRDefault="0039248D" w:rsidP="001660E8">
            <w:pPr>
              <w:pStyle w:val="TableParagraph"/>
              <w:spacing w:before="25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Books: Reference materials, textbooks, anatomy and physiology type</w:t>
            </w:r>
            <w:r w:rsidR="002D4907">
              <w:rPr>
                <w:color w:val="231F20"/>
                <w:sz w:val="24"/>
              </w:rPr>
              <w:t>, as well as martial arts specific to the intended training</w:t>
            </w:r>
            <w:r w:rsidR="001660E8">
              <w:rPr>
                <w:color w:val="231F20"/>
                <w:sz w:val="24"/>
              </w:rPr>
              <w:t xml:space="preserve">. </w:t>
            </w:r>
            <w:r w:rsidR="008A65FF">
              <w:rPr>
                <w:color w:val="231F20"/>
                <w:sz w:val="24"/>
              </w:rPr>
              <w:t xml:space="preserve">Scholarly researched based reference material will be required for the foundation of this </w:t>
            </w:r>
            <w:proofErr w:type="gramStart"/>
            <w:r w:rsidR="008A65FF">
              <w:rPr>
                <w:color w:val="231F20"/>
                <w:sz w:val="24"/>
              </w:rPr>
              <w:t>course</w:t>
            </w:r>
            <w:r w:rsidR="001660E8">
              <w:rPr>
                <w:color w:val="231F20"/>
                <w:sz w:val="24"/>
              </w:rPr>
              <w:t>;</w:t>
            </w:r>
            <w:proofErr w:type="gramEnd"/>
          </w:p>
          <w:p w14:paraId="09BB1236" w14:textId="0C4D6A19" w:rsidR="004B5162" w:rsidRDefault="004B5162" w:rsidP="004B5162">
            <w:pPr>
              <w:pStyle w:val="TableParagraph"/>
              <w:spacing w:before="25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Required Uniform: White Karate Uniform (aka: Gi).</w:t>
            </w:r>
            <w:r>
              <w:t xml:space="preserve"> Consisting of </w:t>
            </w:r>
            <w:r w:rsidRPr="004B5162">
              <w:rPr>
                <w:color w:val="231F20"/>
                <w:sz w:val="24"/>
              </w:rPr>
              <w:t xml:space="preserve">a lightweight two-piece white garment </w:t>
            </w:r>
            <w:r>
              <w:rPr>
                <w:color w:val="231F20"/>
                <w:sz w:val="24"/>
              </w:rPr>
              <w:t xml:space="preserve">traditionally </w:t>
            </w:r>
            <w:r w:rsidRPr="004B5162">
              <w:rPr>
                <w:color w:val="231F20"/>
                <w:sz w:val="24"/>
              </w:rPr>
              <w:t>worn in martial arts. A</w:t>
            </w:r>
            <w:r w:rsidRPr="004B5162">
              <w:rPr>
                <w:i/>
                <w:iCs/>
                <w:color w:val="231F20"/>
                <w:sz w:val="24"/>
              </w:rPr>
              <w:t xml:space="preserve"> </w:t>
            </w:r>
            <w:r w:rsidR="001660E8">
              <w:rPr>
                <w:i/>
                <w:iCs/>
                <w:color w:val="231F20"/>
                <w:sz w:val="24"/>
              </w:rPr>
              <w:t>“</w:t>
            </w:r>
            <w:proofErr w:type="spellStart"/>
            <w:r w:rsidRPr="004B5162">
              <w:rPr>
                <w:i/>
                <w:iCs/>
                <w:color w:val="231F20"/>
                <w:sz w:val="24"/>
              </w:rPr>
              <w:t>gi</w:t>
            </w:r>
            <w:proofErr w:type="spellEnd"/>
            <w:r w:rsidR="001660E8">
              <w:rPr>
                <w:color w:val="231F20"/>
                <w:sz w:val="24"/>
              </w:rPr>
              <w:t xml:space="preserve">” </w:t>
            </w:r>
            <w:r w:rsidRPr="004B5162">
              <w:rPr>
                <w:color w:val="231F20"/>
                <w:sz w:val="24"/>
              </w:rPr>
              <w:t xml:space="preserve">typically consists of loose-fitting pants and a jacket that is closed with a cloth </w:t>
            </w:r>
            <w:proofErr w:type="gramStart"/>
            <w:r w:rsidRPr="004B5162">
              <w:rPr>
                <w:color w:val="231F20"/>
                <w:sz w:val="24"/>
              </w:rPr>
              <w:t>belt</w:t>
            </w:r>
            <w:r w:rsidR="001660E8">
              <w:rPr>
                <w:color w:val="231F20"/>
                <w:sz w:val="24"/>
              </w:rPr>
              <w:t>;</w:t>
            </w:r>
            <w:proofErr w:type="gramEnd"/>
          </w:p>
          <w:p w14:paraId="6EE68686" w14:textId="48E38EAC" w:rsidR="004B5162" w:rsidRDefault="004B5162" w:rsidP="004B5162">
            <w:pPr>
              <w:pStyle w:val="TableParagraph"/>
              <w:spacing w:before="25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Required safety </w:t>
            </w:r>
            <w:r w:rsidRPr="004B5162">
              <w:rPr>
                <w:color w:val="231F20"/>
                <w:sz w:val="24"/>
              </w:rPr>
              <w:t>equipment</w:t>
            </w:r>
            <w:r>
              <w:rPr>
                <w:color w:val="231F20"/>
                <w:sz w:val="24"/>
              </w:rPr>
              <w:t xml:space="preserve">: </w:t>
            </w:r>
            <w:r w:rsidRPr="004B5162">
              <w:rPr>
                <w:color w:val="231F20"/>
                <w:sz w:val="24"/>
              </w:rPr>
              <w:t>Sparring gear (hea</w:t>
            </w:r>
            <w:r>
              <w:rPr>
                <w:color w:val="231F20"/>
                <w:sz w:val="24"/>
              </w:rPr>
              <w:t>d</w:t>
            </w:r>
            <w:r w:rsidRPr="004B5162">
              <w:rPr>
                <w:color w:val="231F20"/>
                <w:sz w:val="24"/>
              </w:rPr>
              <w:t>gear, gloves, foot gear, mouth guard, chest gear, groin protector), practice weapons (staffs, nunchaku</w:t>
            </w:r>
            <w:r>
              <w:rPr>
                <w:color w:val="231F20"/>
                <w:sz w:val="24"/>
              </w:rPr>
              <w:t xml:space="preserve">, </w:t>
            </w:r>
            <w:proofErr w:type="spellStart"/>
            <w:r w:rsidRPr="004B5162">
              <w:rPr>
                <w:color w:val="231F20"/>
                <w:sz w:val="24"/>
              </w:rPr>
              <w:t>sai</w:t>
            </w:r>
            <w:proofErr w:type="spellEnd"/>
            <w:r w:rsidRPr="004B5162">
              <w:rPr>
                <w:color w:val="231F20"/>
                <w:sz w:val="24"/>
              </w:rPr>
              <w:t xml:space="preserve">, </w:t>
            </w:r>
            <w:proofErr w:type="spellStart"/>
            <w:r w:rsidRPr="004B5162">
              <w:rPr>
                <w:color w:val="231F20"/>
                <w:sz w:val="24"/>
              </w:rPr>
              <w:t>kama</w:t>
            </w:r>
            <w:proofErr w:type="spellEnd"/>
            <w:r w:rsidRPr="004B5162">
              <w:rPr>
                <w:color w:val="231F20"/>
                <w:sz w:val="24"/>
              </w:rPr>
              <w:t xml:space="preserve">, tonfa), white uniform, open space for </w:t>
            </w:r>
            <w:proofErr w:type="gramStart"/>
            <w:r w:rsidRPr="004B5162">
              <w:rPr>
                <w:color w:val="231F20"/>
                <w:sz w:val="24"/>
              </w:rPr>
              <w:t>movement</w:t>
            </w:r>
            <w:r w:rsidR="001660E8">
              <w:rPr>
                <w:color w:val="231F20"/>
                <w:sz w:val="24"/>
              </w:rPr>
              <w:t>;</w:t>
            </w:r>
            <w:proofErr w:type="gramEnd"/>
          </w:p>
          <w:p w14:paraId="1BC4F91C" w14:textId="53D2577B" w:rsidR="004B5162" w:rsidRDefault="004B5162">
            <w:pPr>
              <w:pStyle w:val="TableParagraph"/>
              <w:spacing w:before="25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Practice weapons: types consistent with highest level of training being </w:t>
            </w:r>
            <w:proofErr w:type="gramStart"/>
            <w:r>
              <w:rPr>
                <w:color w:val="231F20"/>
                <w:sz w:val="24"/>
              </w:rPr>
              <w:t>conducted;</w:t>
            </w:r>
            <w:proofErr w:type="gramEnd"/>
          </w:p>
          <w:p w14:paraId="19653B5E" w14:textId="68F84406" w:rsidR="008A65FF" w:rsidRDefault="00D94505" w:rsidP="001660E8">
            <w:pPr>
              <w:pStyle w:val="TableParagraph"/>
              <w:spacing w:before="25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Digital </w:t>
            </w:r>
            <w:r w:rsidR="0039248D">
              <w:rPr>
                <w:color w:val="231F20"/>
                <w:sz w:val="24"/>
              </w:rPr>
              <w:t>Media:</w:t>
            </w:r>
            <w:r>
              <w:rPr>
                <w:color w:val="231F20"/>
                <w:sz w:val="24"/>
              </w:rPr>
              <w:t xml:space="preserve"> </w:t>
            </w:r>
            <w:r w:rsidR="004B5162">
              <w:rPr>
                <w:color w:val="231F20"/>
                <w:sz w:val="24"/>
              </w:rPr>
              <w:t>Masterclass or similar self-study visual aids</w:t>
            </w:r>
            <w:r w:rsidR="001660E8">
              <w:rPr>
                <w:color w:val="231F20"/>
                <w:sz w:val="24"/>
              </w:rPr>
              <w:t xml:space="preserve">. </w:t>
            </w:r>
            <w:r w:rsidR="008A65FF">
              <w:rPr>
                <w:color w:val="231F20"/>
                <w:sz w:val="24"/>
              </w:rPr>
              <w:t>Digital materials listed are required for the hands</w:t>
            </w:r>
            <w:r w:rsidR="004B5162">
              <w:rPr>
                <w:color w:val="231F20"/>
                <w:sz w:val="24"/>
              </w:rPr>
              <w:t>-</w:t>
            </w:r>
            <w:r w:rsidR="008A65FF">
              <w:rPr>
                <w:color w:val="231F20"/>
                <w:sz w:val="24"/>
              </w:rPr>
              <w:t xml:space="preserve">on portion of this course to include the assisted learning </w:t>
            </w:r>
            <w:proofErr w:type="gramStart"/>
            <w:r w:rsidR="008A65FF">
              <w:rPr>
                <w:color w:val="231F20"/>
                <w:sz w:val="24"/>
              </w:rPr>
              <w:t>phases</w:t>
            </w:r>
            <w:r w:rsidR="001660E8">
              <w:rPr>
                <w:color w:val="231F20"/>
                <w:sz w:val="24"/>
              </w:rPr>
              <w:t>;</w:t>
            </w:r>
            <w:proofErr w:type="gramEnd"/>
          </w:p>
          <w:p w14:paraId="7BA62966" w14:textId="6EFEB33B" w:rsidR="008A65FF" w:rsidRDefault="003B2B0F">
            <w:pPr>
              <w:pStyle w:val="TableParagraph"/>
              <w:spacing w:before="25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Field Study:</w:t>
            </w:r>
            <w:r w:rsidR="001660E8">
              <w:rPr>
                <w:color w:val="231F20"/>
                <w:sz w:val="24"/>
              </w:rPr>
              <w:t xml:space="preserve"> </w:t>
            </w:r>
            <w:r w:rsidR="008A65FF">
              <w:rPr>
                <w:color w:val="231F20"/>
                <w:sz w:val="24"/>
              </w:rPr>
              <w:t xml:space="preserve">The listed field study events are required to </w:t>
            </w:r>
            <w:r w:rsidR="00FE059F">
              <w:rPr>
                <w:color w:val="231F20"/>
                <w:sz w:val="24"/>
              </w:rPr>
              <w:t>facilitate</w:t>
            </w:r>
            <w:r w:rsidR="008A65FF">
              <w:rPr>
                <w:color w:val="231F20"/>
                <w:sz w:val="24"/>
              </w:rPr>
              <w:t xml:space="preserve"> immersive learning and exposure to</w:t>
            </w:r>
            <w:r w:rsidR="00CC3492">
              <w:rPr>
                <w:color w:val="231F20"/>
                <w:sz w:val="24"/>
              </w:rPr>
              <w:t>/and modeling of</w:t>
            </w:r>
            <w:r w:rsidR="008A65FF">
              <w:rPr>
                <w:color w:val="231F20"/>
                <w:sz w:val="24"/>
              </w:rPr>
              <w:t xml:space="preserve"> human </w:t>
            </w:r>
            <w:r w:rsidR="00CC3492">
              <w:rPr>
                <w:color w:val="231F20"/>
                <w:sz w:val="24"/>
              </w:rPr>
              <w:t xml:space="preserve">movement optimized for health and </w:t>
            </w:r>
            <w:proofErr w:type="gramStart"/>
            <w:r w:rsidR="00CC3492">
              <w:rPr>
                <w:color w:val="231F20"/>
                <w:sz w:val="24"/>
              </w:rPr>
              <w:t>performance</w:t>
            </w:r>
            <w:r w:rsidR="001660E8">
              <w:rPr>
                <w:color w:val="231F20"/>
                <w:sz w:val="24"/>
              </w:rPr>
              <w:t>;</w:t>
            </w:r>
            <w:proofErr w:type="gramEnd"/>
          </w:p>
          <w:p w14:paraId="621426E8" w14:textId="2E9DD140" w:rsidR="00CC3492" w:rsidRDefault="00CC3492">
            <w:pPr>
              <w:pStyle w:val="TableParagraph"/>
              <w:spacing w:before="25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Professional instruction/ tutoring </w:t>
            </w:r>
            <w:proofErr w:type="gramStart"/>
            <w:r>
              <w:rPr>
                <w:color w:val="231F20"/>
                <w:sz w:val="24"/>
              </w:rPr>
              <w:t>Services</w:t>
            </w:r>
            <w:r w:rsidR="001660E8">
              <w:rPr>
                <w:color w:val="231F20"/>
                <w:sz w:val="24"/>
              </w:rPr>
              <w:t>;</w:t>
            </w:r>
            <w:proofErr w:type="gramEnd"/>
          </w:p>
          <w:p w14:paraId="7BEF78A4" w14:textId="7E598324" w:rsidR="004B661C" w:rsidRDefault="00FE059F">
            <w:pPr>
              <w:pStyle w:val="TableParagraph"/>
              <w:spacing w:before="2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141C7EE7" w14:textId="6F6E3DD7" w:rsidR="004B661C" w:rsidRDefault="004B661C" w:rsidP="00F25BDD">
      <w:pPr>
        <w:pStyle w:val="BodyText"/>
        <w:spacing w:before="246"/>
      </w:pPr>
    </w:p>
    <w:sectPr w:rsidR="004B661C">
      <w:type w:val="continuous"/>
      <w:pgSz w:w="12240" w:h="15840"/>
      <w:pgMar w:top="0" w:right="82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4B1F"/>
    <w:multiLevelType w:val="hybridMultilevel"/>
    <w:tmpl w:val="6D84F890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" w15:restartNumberingAfterBreak="0">
    <w:nsid w:val="12075214"/>
    <w:multiLevelType w:val="hybridMultilevel"/>
    <w:tmpl w:val="13C016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B01648F"/>
    <w:multiLevelType w:val="hybridMultilevel"/>
    <w:tmpl w:val="60CE46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FD019D9"/>
    <w:multiLevelType w:val="hybridMultilevel"/>
    <w:tmpl w:val="7AFE069C"/>
    <w:lvl w:ilvl="0" w:tplc="EFFC50BC">
      <w:numFmt w:val="bullet"/>
      <w:lvlText w:val="•"/>
      <w:lvlJc w:val="left"/>
      <w:pPr>
        <w:ind w:left="718" w:hanging="179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CB7E1D86">
      <w:numFmt w:val="bullet"/>
      <w:lvlText w:val="•"/>
      <w:lvlJc w:val="left"/>
      <w:pPr>
        <w:ind w:left="1682" w:hanging="179"/>
      </w:pPr>
      <w:rPr>
        <w:rFonts w:hint="default"/>
        <w:lang w:val="en-US" w:eastAsia="en-US" w:bidi="ar-SA"/>
      </w:rPr>
    </w:lvl>
    <w:lvl w:ilvl="2" w:tplc="22429E06">
      <w:numFmt w:val="bullet"/>
      <w:lvlText w:val="•"/>
      <w:lvlJc w:val="left"/>
      <w:pPr>
        <w:ind w:left="2645" w:hanging="179"/>
      </w:pPr>
      <w:rPr>
        <w:rFonts w:hint="default"/>
        <w:lang w:val="en-US" w:eastAsia="en-US" w:bidi="ar-SA"/>
      </w:rPr>
    </w:lvl>
    <w:lvl w:ilvl="3" w:tplc="D28AA62C">
      <w:numFmt w:val="bullet"/>
      <w:lvlText w:val="•"/>
      <w:lvlJc w:val="left"/>
      <w:pPr>
        <w:ind w:left="3607" w:hanging="179"/>
      </w:pPr>
      <w:rPr>
        <w:rFonts w:hint="default"/>
        <w:lang w:val="en-US" w:eastAsia="en-US" w:bidi="ar-SA"/>
      </w:rPr>
    </w:lvl>
    <w:lvl w:ilvl="4" w:tplc="904C2E42">
      <w:numFmt w:val="bullet"/>
      <w:lvlText w:val="•"/>
      <w:lvlJc w:val="left"/>
      <w:pPr>
        <w:ind w:left="4570" w:hanging="179"/>
      </w:pPr>
      <w:rPr>
        <w:rFonts w:hint="default"/>
        <w:lang w:val="en-US" w:eastAsia="en-US" w:bidi="ar-SA"/>
      </w:rPr>
    </w:lvl>
    <w:lvl w:ilvl="5" w:tplc="EE08399E">
      <w:numFmt w:val="bullet"/>
      <w:lvlText w:val="•"/>
      <w:lvlJc w:val="left"/>
      <w:pPr>
        <w:ind w:left="5533" w:hanging="179"/>
      </w:pPr>
      <w:rPr>
        <w:rFonts w:hint="default"/>
        <w:lang w:val="en-US" w:eastAsia="en-US" w:bidi="ar-SA"/>
      </w:rPr>
    </w:lvl>
    <w:lvl w:ilvl="6" w:tplc="B400D596">
      <w:numFmt w:val="bullet"/>
      <w:lvlText w:val="•"/>
      <w:lvlJc w:val="left"/>
      <w:pPr>
        <w:ind w:left="6495" w:hanging="179"/>
      </w:pPr>
      <w:rPr>
        <w:rFonts w:hint="default"/>
        <w:lang w:val="en-US" w:eastAsia="en-US" w:bidi="ar-SA"/>
      </w:rPr>
    </w:lvl>
    <w:lvl w:ilvl="7" w:tplc="9976E970">
      <w:numFmt w:val="bullet"/>
      <w:lvlText w:val="•"/>
      <w:lvlJc w:val="left"/>
      <w:pPr>
        <w:ind w:left="7458" w:hanging="179"/>
      </w:pPr>
      <w:rPr>
        <w:rFonts w:hint="default"/>
        <w:lang w:val="en-US" w:eastAsia="en-US" w:bidi="ar-SA"/>
      </w:rPr>
    </w:lvl>
    <w:lvl w:ilvl="8" w:tplc="F5F2EF1E">
      <w:numFmt w:val="bullet"/>
      <w:lvlText w:val="•"/>
      <w:lvlJc w:val="left"/>
      <w:pPr>
        <w:ind w:left="8420" w:hanging="179"/>
      </w:pPr>
      <w:rPr>
        <w:rFonts w:hint="default"/>
        <w:lang w:val="en-US" w:eastAsia="en-US" w:bidi="ar-SA"/>
      </w:rPr>
    </w:lvl>
  </w:abstractNum>
  <w:abstractNum w:abstractNumId="4" w15:restartNumberingAfterBreak="0">
    <w:nsid w:val="700B2A58"/>
    <w:multiLevelType w:val="hybridMultilevel"/>
    <w:tmpl w:val="647EC53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5B909DA"/>
    <w:multiLevelType w:val="hybridMultilevel"/>
    <w:tmpl w:val="35E604A4"/>
    <w:lvl w:ilvl="0" w:tplc="8032841A">
      <w:numFmt w:val="bullet"/>
      <w:lvlText w:val="●"/>
      <w:lvlJc w:val="left"/>
      <w:pPr>
        <w:ind w:left="71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44B0A50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914CA2E4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77F2D92E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6E74E50E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C5560DDE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6A9A12FA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57D6476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 w:tplc="EBD4B56C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num w:numId="1" w16cid:durableId="17775799">
    <w:abstractNumId w:val="5"/>
  </w:num>
  <w:num w:numId="2" w16cid:durableId="6637923">
    <w:abstractNumId w:val="3"/>
  </w:num>
  <w:num w:numId="3" w16cid:durableId="87966257">
    <w:abstractNumId w:val="0"/>
  </w:num>
  <w:num w:numId="4" w16cid:durableId="172959779">
    <w:abstractNumId w:val="1"/>
  </w:num>
  <w:num w:numId="5" w16cid:durableId="890386564">
    <w:abstractNumId w:val="4"/>
  </w:num>
  <w:num w:numId="6" w16cid:durableId="21786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61C"/>
    <w:rsid w:val="000D4C50"/>
    <w:rsid w:val="001061B8"/>
    <w:rsid w:val="001660E8"/>
    <w:rsid w:val="00172B55"/>
    <w:rsid w:val="001D76BC"/>
    <w:rsid w:val="002C157C"/>
    <w:rsid w:val="002D4907"/>
    <w:rsid w:val="00335C0C"/>
    <w:rsid w:val="0039248D"/>
    <w:rsid w:val="003B2B0F"/>
    <w:rsid w:val="00407A0F"/>
    <w:rsid w:val="004B5162"/>
    <w:rsid w:val="004B661C"/>
    <w:rsid w:val="006E766A"/>
    <w:rsid w:val="00755B4D"/>
    <w:rsid w:val="008A65FF"/>
    <w:rsid w:val="009A6BC4"/>
    <w:rsid w:val="00BE5039"/>
    <w:rsid w:val="00CC3492"/>
    <w:rsid w:val="00CE1699"/>
    <w:rsid w:val="00D94505"/>
    <w:rsid w:val="00E953AB"/>
    <w:rsid w:val="00F25BDD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773B"/>
  <w15:docId w15:val="{8C19A67F-A2A7-4702-83E8-E252F7EC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4"/>
      <w:ind w:left="71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0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Gragg</cp:lastModifiedBy>
  <cp:revision>2</cp:revision>
  <dcterms:created xsi:type="dcterms:W3CDTF">2024-10-26T22:29:00Z</dcterms:created>
  <dcterms:modified xsi:type="dcterms:W3CDTF">2024-10-26T22:29:00Z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2024-07-24T00:00:00Z</vt:filetime>
  </property>
  <property fmtid="{D5CDD505-2E9C-101B-9397-08002B2CF9AE}" pid="5" name="Producer">
    <vt:lpwstr>Adobe PDF Library 16.0.7</vt:lpwstr>
  </property>
</Properties>
</file>