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E24A" w14:textId="38E4BD0A" w:rsidR="00D46A09" w:rsidRPr="004E3FC2" w:rsidRDefault="00D46A09" w:rsidP="00D46A09">
      <w:pPr>
        <w:shd w:val="clear" w:color="auto" w:fill="FFFFFF"/>
        <w:spacing w:before="100" w:beforeAutospacing="1" w:after="100" w:afterAutospacing="1" w:line="240" w:lineRule="auto"/>
        <w:rPr>
          <w:rFonts w:ascii="Segoe UI" w:eastAsia="Times New Roman" w:hAnsi="Segoe UI" w:cs="Segoe UI"/>
          <w:b/>
          <w:bCs/>
          <w:color w:val="333333"/>
          <w:kern w:val="0"/>
          <w:sz w:val="28"/>
          <w:szCs w:val="28"/>
          <w14:ligatures w14:val="none"/>
        </w:rPr>
      </w:pPr>
      <w:r w:rsidRPr="004E3FC2">
        <w:rPr>
          <w:rFonts w:ascii="Segoe UI" w:eastAsia="Times New Roman" w:hAnsi="Segoe UI" w:cs="Segoe UI"/>
          <w:b/>
          <w:bCs/>
          <w:color w:val="333333"/>
          <w:kern w:val="0"/>
          <w:sz w:val="28"/>
          <w:szCs w:val="28"/>
          <w14:ligatures w14:val="none"/>
        </w:rPr>
        <w:t>Types of Real Estate Representation in Florida:</w:t>
      </w:r>
    </w:p>
    <w:p w14:paraId="12D48FB8" w14:textId="72335E9F" w:rsidR="00D46A09" w:rsidRPr="00D46A09" w:rsidRDefault="00D46A09" w:rsidP="00D46A09">
      <w:pPr>
        <w:shd w:val="clear" w:color="auto" w:fill="FFFFFF"/>
        <w:spacing w:before="100" w:beforeAutospacing="1" w:after="100" w:afterAutospacing="1" w:line="240" w:lineRule="auto"/>
        <w:rPr>
          <w:rFonts w:ascii="Segoe UI" w:eastAsia="Times New Roman" w:hAnsi="Segoe UI" w:cs="Segoe UI"/>
          <w:color w:val="333333"/>
          <w:kern w:val="0"/>
          <w:sz w:val="28"/>
          <w:szCs w:val="28"/>
          <w14:ligatures w14:val="none"/>
        </w:rPr>
      </w:pPr>
      <w:r w:rsidRPr="00D46A09">
        <w:rPr>
          <w:rFonts w:ascii="Segoe UI" w:eastAsia="Times New Roman" w:hAnsi="Segoe UI" w:cs="Segoe UI"/>
          <w:b/>
          <w:bCs/>
          <w:color w:val="333333"/>
          <w:kern w:val="0"/>
          <w:sz w:val="28"/>
          <w:szCs w:val="28"/>
          <w14:ligatures w14:val="none"/>
        </w:rPr>
        <w:t>Transaction Broker</w:t>
      </w:r>
      <w:proofErr w:type="gramStart"/>
      <w:r w:rsidRPr="00D46A09">
        <w:rPr>
          <w:rFonts w:ascii="Segoe UI" w:eastAsia="Times New Roman" w:hAnsi="Segoe UI" w:cs="Segoe UI"/>
          <w:b/>
          <w:bCs/>
          <w:color w:val="333333"/>
          <w:kern w:val="0"/>
          <w:sz w:val="28"/>
          <w:szCs w:val="28"/>
          <w14:ligatures w14:val="none"/>
        </w:rPr>
        <w:t>:  </w:t>
      </w:r>
      <w:r w:rsidRPr="00D46A09">
        <w:rPr>
          <w:rFonts w:ascii="Segoe UI" w:eastAsia="Times New Roman" w:hAnsi="Segoe UI" w:cs="Segoe UI"/>
          <w:color w:val="333333"/>
          <w:kern w:val="0"/>
          <w:sz w:val="28"/>
          <w:szCs w:val="28"/>
          <w14:ligatures w14:val="none"/>
        </w:rPr>
        <w:t>A</w:t>
      </w:r>
      <w:proofErr w:type="gramEnd"/>
      <w:r w:rsidRPr="00D46A09">
        <w:rPr>
          <w:rFonts w:ascii="Segoe UI" w:eastAsia="Times New Roman" w:hAnsi="Segoe UI" w:cs="Segoe UI"/>
          <w:color w:val="333333"/>
          <w:kern w:val="0"/>
          <w:sz w:val="28"/>
          <w:szCs w:val="28"/>
          <w14:ligatures w14:val="none"/>
        </w:rPr>
        <w:t xml:space="preserve"> transaction broker provides a limited form of representation to a buyer, a seller, or both in a real estate transaction but does not represent either in a fiduciary capacity or as a single agent. The duties of the real estate licensee in this limited form of representation include the following:</w:t>
      </w:r>
    </w:p>
    <w:p w14:paraId="7F9A30ED"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Dealing honestly and fairly;</w:t>
      </w:r>
    </w:p>
    <w:p w14:paraId="5953DEF2"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Accounting for all funds;</w:t>
      </w:r>
    </w:p>
    <w:p w14:paraId="019CC4A8"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Using skill, care, and diligence in the transaction;</w:t>
      </w:r>
    </w:p>
    <w:p w14:paraId="7631133B"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 xml:space="preserve">Disclosing all known facts that materially affect the value of </w:t>
      </w:r>
      <w:proofErr w:type="gramStart"/>
      <w:r w:rsidRPr="00D46A09">
        <w:rPr>
          <w:rFonts w:ascii="Segoe UI" w:eastAsia="Times New Roman" w:hAnsi="Segoe UI" w:cs="Segoe UI"/>
          <w:color w:val="333333"/>
          <w:kern w:val="0"/>
          <w:sz w:val="28"/>
          <w:szCs w:val="28"/>
          <w14:ligatures w14:val="none"/>
        </w:rPr>
        <w:t>residential real</w:t>
      </w:r>
      <w:proofErr w:type="gramEnd"/>
      <w:r w:rsidRPr="00D46A09">
        <w:rPr>
          <w:rFonts w:ascii="Segoe UI" w:eastAsia="Times New Roman" w:hAnsi="Segoe UI" w:cs="Segoe UI"/>
          <w:color w:val="333333"/>
          <w:kern w:val="0"/>
          <w:sz w:val="28"/>
          <w:szCs w:val="28"/>
          <w14:ligatures w14:val="none"/>
        </w:rPr>
        <w:t xml:space="preserve"> property and are not readily observable to the buyer;</w:t>
      </w:r>
    </w:p>
    <w:p w14:paraId="53BBB319"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 xml:space="preserve">Presenting all offers and </w:t>
      </w:r>
      <w:proofErr w:type="gramStart"/>
      <w:r w:rsidRPr="00D46A09">
        <w:rPr>
          <w:rFonts w:ascii="Segoe UI" w:eastAsia="Times New Roman" w:hAnsi="Segoe UI" w:cs="Segoe UI"/>
          <w:color w:val="333333"/>
          <w:kern w:val="0"/>
          <w:sz w:val="28"/>
          <w:szCs w:val="28"/>
          <w14:ligatures w14:val="none"/>
        </w:rPr>
        <w:t>counteroffers</w:t>
      </w:r>
      <w:proofErr w:type="gramEnd"/>
      <w:r w:rsidRPr="00D46A09">
        <w:rPr>
          <w:rFonts w:ascii="Segoe UI" w:eastAsia="Times New Roman" w:hAnsi="Segoe UI" w:cs="Segoe UI"/>
          <w:color w:val="333333"/>
          <w:kern w:val="0"/>
          <w:sz w:val="28"/>
          <w:szCs w:val="28"/>
          <w14:ligatures w14:val="none"/>
        </w:rPr>
        <w:t xml:space="preserve"> in a timely manner, unless a party has previously directed the licensee otherwise in writing;</w:t>
      </w:r>
    </w:p>
    <w:p w14:paraId="62D2A46A"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Limited confidentiality, unless waived in writing by a party. This limited confidentiality will prevent disclosure that the seller will accept a price less than the asking or listed price, that the buyer will pay a price greater than the price submitted in a written offer, of the motivation of any party for selling or buying property, that a seller or buyer will agree to financing terms other than those offered, or of any other information requested by a party to remain confidential; and</w:t>
      </w:r>
    </w:p>
    <w:p w14:paraId="45FA6AA6" w14:textId="77777777" w:rsidR="00D46A09" w:rsidRPr="00D46A09" w:rsidRDefault="00D46A09" w:rsidP="00D46A09">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Any additional duties that are mutually agreed to with a party.</w:t>
      </w:r>
    </w:p>
    <w:p w14:paraId="32DA2A9D" w14:textId="4D7744AB" w:rsidR="00D46A09" w:rsidRPr="00D46A09" w:rsidRDefault="00D46A09" w:rsidP="00D46A09">
      <w:pPr>
        <w:shd w:val="clear" w:color="auto" w:fill="FFFFFF"/>
        <w:spacing w:before="100" w:beforeAutospacing="1" w:after="100" w:afterAutospacing="1" w:line="240" w:lineRule="auto"/>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Note</w:t>
      </w:r>
      <w:r w:rsidR="00F941C0">
        <w:rPr>
          <w:rFonts w:ascii="Segoe UI" w:eastAsia="Times New Roman" w:hAnsi="Segoe UI" w:cs="Segoe UI"/>
          <w:color w:val="333333"/>
          <w:kern w:val="0"/>
          <w:sz w:val="28"/>
          <w:szCs w:val="28"/>
          <w14:ligatures w14:val="none"/>
        </w:rPr>
        <w:t>:</w:t>
      </w:r>
      <w:r w:rsidRPr="00D46A09">
        <w:rPr>
          <w:rFonts w:ascii="Segoe UI" w:eastAsia="Times New Roman" w:hAnsi="Segoe UI" w:cs="Segoe UI"/>
          <w:color w:val="333333"/>
          <w:kern w:val="0"/>
          <w:sz w:val="28"/>
          <w:szCs w:val="28"/>
          <w14:ligatures w14:val="none"/>
        </w:rPr>
        <w:t xml:space="preserve"> it is presumed that all </w:t>
      </w:r>
      <w:proofErr w:type="spellStart"/>
      <w:proofErr w:type="gramStart"/>
      <w:r w:rsidRPr="00D46A09">
        <w:rPr>
          <w:rFonts w:ascii="Segoe UI" w:eastAsia="Times New Roman" w:hAnsi="Segoe UI" w:cs="Segoe UI"/>
          <w:color w:val="333333"/>
          <w:kern w:val="0"/>
          <w:sz w:val="28"/>
          <w:szCs w:val="28"/>
          <w14:ligatures w14:val="none"/>
        </w:rPr>
        <w:t>licensee</w:t>
      </w:r>
      <w:r w:rsidR="00F941C0">
        <w:rPr>
          <w:rFonts w:ascii="Segoe UI" w:eastAsia="Times New Roman" w:hAnsi="Segoe UI" w:cs="Segoe UI"/>
          <w:color w:val="333333"/>
          <w:kern w:val="0"/>
          <w:sz w:val="28"/>
          <w:szCs w:val="28"/>
          <w14:ligatures w14:val="none"/>
        </w:rPr>
        <w:t>’</w:t>
      </w:r>
      <w:r w:rsidRPr="00D46A09">
        <w:rPr>
          <w:rFonts w:ascii="Segoe UI" w:eastAsia="Times New Roman" w:hAnsi="Segoe UI" w:cs="Segoe UI"/>
          <w:color w:val="333333"/>
          <w:kern w:val="0"/>
          <w:sz w:val="28"/>
          <w:szCs w:val="28"/>
          <w14:ligatures w14:val="none"/>
        </w:rPr>
        <w:t>s</w:t>
      </w:r>
      <w:proofErr w:type="spellEnd"/>
      <w:proofErr w:type="gramEnd"/>
      <w:r w:rsidRPr="00D46A09">
        <w:rPr>
          <w:rFonts w:ascii="Segoe UI" w:eastAsia="Times New Roman" w:hAnsi="Segoe UI" w:cs="Segoe UI"/>
          <w:color w:val="333333"/>
          <w:kern w:val="0"/>
          <w:sz w:val="28"/>
          <w:szCs w:val="28"/>
          <w14:ligatures w14:val="none"/>
        </w:rPr>
        <w:t xml:space="preserve"> are operating as transaction brokers unless a single agent or no brokerage relationship is established, in writing, with a customer. Limited representation means that a buyer or seller is not responsible for the acts of the licensee. Additionally, parties are giving up their rights to the undivided loyalty of the licensee. This aspect of limited representation allows a licensee to facilitate a real estate transaction by assisting both the buyer and the seller, but a licensee will not work to represent one party to the detriment of the other party when acting as a transaction broker to both parties.</w:t>
      </w:r>
    </w:p>
    <w:p w14:paraId="76A1875F" w14:textId="77777777" w:rsidR="00D46A09" w:rsidRPr="00D46A09" w:rsidRDefault="00D46A09" w:rsidP="00D46A09">
      <w:pPr>
        <w:shd w:val="clear" w:color="auto" w:fill="FFFFFF"/>
        <w:spacing w:before="100" w:beforeAutospacing="1" w:after="100" w:afterAutospacing="1" w:line="240" w:lineRule="auto"/>
        <w:rPr>
          <w:rFonts w:ascii="Segoe UI" w:eastAsia="Times New Roman" w:hAnsi="Segoe UI" w:cs="Segoe UI"/>
          <w:color w:val="333333"/>
          <w:kern w:val="0"/>
          <w:sz w:val="28"/>
          <w:szCs w:val="28"/>
          <w14:ligatures w14:val="none"/>
        </w:rPr>
      </w:pPr>
      <w:r w:rsidRPr="00D46A09">
        <w:rPr>
          <w:rFonts w:ascii="Segoe UI" w:eastAsia="Times New Roman" w:hAnsi="Segoe UI" w:cs="Segoe UI"/>
          <w:b/>
          <w:bCs/>
          <w:color w:val="333333"/>
          <w:kern w:val="0"/>
          <w:sz w:val="28"/>
          <w:szCs w:val="28"/>
          <w14:ligatures w14:val="none"/>
        </w:rPr>
        <w:lastRenderedPageBreak/>
        <w:t>Single Agent: </w:t>
      </w:r>
      <w:r w:rsidRPr="00D46A09">
        <w:rPr>
          <w:rFonts w:ascii="Segoe UI" w:eastAsia="Times New Roman" w:hAnsi="Segoe UI" w:cs="Segoe UI"/>
          <w:color w:val="333333"/>
          <w:kern w:val="0"/>
          <w:sz w:val="28"/>
          <w:szCs w:val="28"/>
          <w14:ligatures w14:val="none"/>
        </w:rPr>
        <w:t xml:space="preserve">The duties of a real estate licensee </w:t>
      </w:r>
      <w:proofErr w:type="gramStart"/>
      <w:r w:rsidRPr="00D46A09">
        <w:rPr>
          <w:rFonts w:ascii="Segoe UI" w:eastAsia="Times New Roman" w:hAnsi="Segoe UI" w:cs="Segoe UI"/>
          <w:color w:val="333333"/>
          <w:kern w:val="0"/>
          <w:sz w:val="28"/>
          <w:szCs w:val="28"/>
          <w14:ligatures w14:val="none"/>
        </w:rPr>
        <w:t>owed</w:t>
      </w:r>
      <w:proofErr w:type="gramEnd"/>
      <w:r w:rsidRPr="00D46A09">
        <w:rPr>
          <w:rFonts w:ascii="Segoe UI" w:eastAsia="Times New Roman" w:hAnsi="Segoe UI" w:cs="Segoe UI"/>
          <w:color w:val="333333"/>
          <w:kern w:val="0"/>
          <w:sz w:val="28"/>
          <w:szCs w:val="28"/>
          <w14:ligatures w14:val="none"/>
        </w:rPr>
        <w:t xml:space="preserve"> to a buyer or seller who engages the real estate licensee as a single agent include the following:</w:t>
      </w:r>
    </w:p>
    <w:p w14:paraId="2DD34C83"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Dealing honestly and fairly;</w:t>
      </w:r>
    </w:p>
    <w:p w14:paraId="1E2B00F4"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Loyalty;</w:t>
      </w:r>
    </w:p>
    <w:p w14:paraId="72D04F6E"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Confidentiality;</w:t>
      </w:r>
    </w:p>
    <w:p w14:paraId="3C84110B"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Obedience;</w:t>
      </w:r>
    </w:p>
    <w:p w14:paraId="318EA3FF"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Full disclosure;</w:t>
      </w:r>
    </w:p>
    <w:p w14:paraId="48362EAD"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Accounting for all funds;</w:t>
      </w:r>
    </w:p>
    <w:p w14:paraId="61A96FCC"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Skill, care, and diligence in the transaction;</w:t>
      </w:r>
    </w:p>
    <w:p w14:paraId="3C32D3DB"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 xml:space="preserve">Presenting all offers and </w:t>
      </w:r>
      <w:proofErr w:type="gramStart"/>
      <w:r w:rsidRPr="00D46A09">
        <w:rPr>
          <w:rFonts w:ascii="Segoe UI" w:eastAsia="Times New Roman" w:hAnsi="Segoe UI" w:cs="Segoe UI"/>
          <w:color w:val="333333"/>
          <w:kern w:val="0"/>
          <w:sz w:val="28"/>
          <w:szCs w:val="28"/>
          <w14:ligatures w14:val="none"/>
        </w:rPr>
        <w:t>counteroffers</w:t>
      </w:r>
      <w:proofErr w:type="gramEnd"/>
      <w:r w:rsidRPr="00D46A09">
        <w:rPr>
          <w:rFonts w:ascii="Segoe UI" w:eastAsia="Times New Roman" w:hAnsi="Segoe UI" w:cs="Segoe UI"/>
          <w:color w:val="333333"/>
          <w:kern w:val="0"/>
          <w:sz w:val="28"/>
          <w:szCs w:val="28"/>
          <w14:ligatures w14:val="none"/>
        </w:rPr>
        <w:t xml:space="preserve"> in a timely manner, unless a party has previously directed the licensee otherwise in writing; and</w:t>
      </w:r>
    </w:p>
    <w:p w14:paraId="04F63DDF" w14:textId="77777777" w:rsidR="00D46A09" w:rsidRPr="00D46A09" w:rsidRDefault="00D46A09" w:rsidP="00D46A09">
      <w:pPr>
        <w:numPr>
          <w:ilvl w:val="0"/>
          <w:numId w:val="2"/>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 xml:space="preserve">Disclosing all known facts that materially affect the value of </w:t>
      </w:r>
      <w:proofErr w:type="gramStart"/>
      <w:r w:rsidRPr="00D46A09">
        <w:rPr>
          <w:rFonts w:ascii="Segoe UI" w:eastAsia="Times New Roman" w:hAnsi="Segoe UI" w:cs="Segoe UI"/>
          <w:color w:val="333333"/>
          <w:kern w:val="0"/>
          <w:sz w:val="28"/>
          <w:szCs w:val="28"/>
          <w14:ligatures w14:val="none"/>
        </w:rPr>
        <w:t>residential real</w:t>
      </w:r>
      <w:proofErr w:type="gramEnd"/>
      <w:r w:rsidRPr="00D46A09">
        <w:rPr>
          <w:rFonts w:ascii="Segoe UI" w:eastAsia="Times New Roman" w:hAnsi="Segoe UI" w:cs="Segoe UI"/>
          <w:color w:val="333333"/>
          <w:kern w:val="0"/>
          <w:sz w:val="28"/>
          <w:szCs w:val="28"/>
          <w14:ligatures w14:val="none"/>
        </w:rPr>
        <w:t xml:space="preserve"> property and are not readily observable.</w:t>
      </w:r>
    </w:p>
    <w:p w14:paraId="75B04829" w14:textId="77777777" w:rsidR="00D46A09" w:rsidRPr="00D46A09" w:rsidRDefault="00D46A09" w:rsidP="00D46A09">
      <w:pPr>
        <w:shd w:val="clear" w:color="auto" w:fill="FFFFFF"/>
        <w:spacing w:before="100" w:beforeAutospacing="1" w:after="100" w:afterAutospacing="1" w:line="240" w:lineRule="auto"/>
        <w:rPr>
          <w:rFonts w:ascii="Segoe UI" w:eastAsia="Times New Roman" w:hAnsi="Segoe UI" w:cs="Segoe UI"/>
          <w:color w:val="333333"/>
          <w:kern w:val="0"/>
          <w:sz w:val="28"/>
          <w:szCs w:val="28"/>
          <w14:ligatures w14:val="none"/>
        </w:rPr>
      </w:pPr>
      <w:r w:rsidRPr="00D46A09">
        <w:rPr>
          <w:rFonts w:ascii="Segoe UI" w:eastAsia="Times New Roman" w:hAnsi="Segoe UI" w:cs="Segoe UI"/>
          <w:b/>
          <w:bCs/>
          <w:color w:val="333333"/>
          <w:kern w:val="0"/>
          <w:sz w:val="28"/>
          <w:szCs w:val="28"/>
          <w14:ligatures w14:val="none"/>
        </w:rPr>
        <w:t>Non-Representative Broker: </w:t>
      </w:r>
      <w:r w:rsidRPr="00D46A09">
        <w:rPr>
          <w:rFonts w:ascii="Segoe UI" w:eastAsia="Times New Roman" w:hAnsi="Segoe UI" w:cs="Segoe UI"/>
          <w:color w:val="333333"/>
          <w:kern w:val="0"/>
          <w:sz w:val="28"/>
          <w:szCs w:val="28"/>
          <w14:ligatures w14:val="none"/>
        </w:rPr>
        <w:t>A real estate licensee who has no brokerage relationship, owes the following duties:</w:t>
      </w:r>
    </w:p>
    <w:p w14:paraId="06CD36EC" w14:textId="77777777" w:rsidR="00D46A09" w:rsidRPr="00D46A09" w:rsidRDefault="00D46A09" w:rsidP="00D46A09">
      <w:pPr>
        <w:numPr>
          <w:ilvl w:val="0"/>
          <w:numId w:val="3"/>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Dealing honestly and fairly;</w:t>
      </w:r>
    </w:p>
    <w:p w14:paraId="09C0B01D" w14:textId="77777777" w:rsidR="00D46A09" w:rsidRPr="00D46A09" w:rsidRDefault="00D46A09" w:rsidP="00D46A09">
      <w:pPr>
        <w:numPr>
          <w:ilvl w:val="0"/>
          <w:numId w:val="3"/>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 xml:space="preserve">Disclosing all known facts that materially affect the value of </w:t>
      </w:r>
      <w:proofErr w:type="gramStart"/>
      <w:r w:rsidRPr="00D46A09">
        <w:rPr>
          <w:rFonts w:ascii="Segoe UI" w:eastAsia="Times New Roman" w:hAnsi="Segoe UI" w:cs="Segoe UI"/>
          <w:color w:val="333333"/>
          <w:kern w:val="0"/>
          <w:sz w:val="28"/>
          <w:szCs w:val="28"/>
          <w14:ligatures w14:val="none"/>
        </w:rPr>
        <w:t>residential real</w:t>
      </w:r>
      <w:proofErr w:type="gramEnd"/>
      <w:r w:rsidRPr="00D46A09">
        <w:rPr>
          <w:rFonts w:ascii="Segoe UI" w:eastAsia="Times New Roman" w:hAnsi="Segoe UI" w:cs="Segoe UI"/>
          <w:color w:val="333333"/>
          <w:kern w:val="0"/>
          <w:sz w:val="28"/>
          <w:szCs w:val="28"/>
          <w14:ligatures w14:val="none"/>
        </w:rPr>
        <w:t xml:space="preserve"> property which are not readily observable to the buyer.</w:t>
      </w:r>
    </w:p>
    <w:p w14:paraId="4030FABD" w14:textId="77777777" w:rsidR="00D46A09" w:rsidRPr="00D46A09" w:rsidRDefault="00D46A09" w:rsidP="00D46A09">
      <w:pPr>
        <w:numPr>
          <w:ilvl w:val="0"/>
          <w:numId w:val="3"/>
        </w:numPr>
        <w:shd w:val="clear" w:color="auto" w:fill="FFFFFF"/>
        <w:spacing w:before="100" w:beforeAutospacing="1" w:after="100" w:afterAutospacing="1" w:line="240" w:lineRule="auto"/>
        <w:ind w:left="1020"/>
        <w:rPr>
          <w:rFonts w:ascii="Segoe UI" w:eastAsia="Times New Roman" w:hAnsi="Segoe UI" w:cs="Segoe UI"/>
          <w:color w:val="333333"/>
          <w:kern w:val="0"/>
          <w:sz w:val="28"/>
          <w:szCs w:val="28"/>
          <w14:ligatures w14:val="none"/>
        </w:rPr>
      </w:pPr>
      <w:r w:rsidRPr="00D46A09">
        <w:rPr>
          <w:rFonts w:ascii="Segoe UI" w:eastAsia="Times New Roman" w:hAnsi="Segoe UI" w:cs="Segoe UI"/>
          <w:color w:val="333333"/>
          <w:kern w:val="0"/>
          <w:sz w:val="28"/>
          <w:szCs w:val="28"/>
          <w14:ligatures w14:val="none"/>
        </w:rPr>
        <w:t>Accounting for all funds entrusted to the licensee.</w:t>
      </w:r>
    </w:p>
    <w:p w14:paraId="1AB6DC95" w14:textId="2F428D54" w:rsidR="00D46A09" w:rsidRPr="00F941C0" w:rsidRDefault="00F941C0">
      <w:pPr>
        <w:rPr>
          <w:sz w:val="28"/>
          <w:szCs w:val="28"/>
        </w:rPr>
      </w:pPr>
      <w:r>
        <w:rPr>
          <w:b/>
          <w:bCs/>
          <w:sz w:val="28"/>
          <w:szCs w:val="28"/>
        </w:rPr>
        <w:t xml:space="preserve">The Villages Sales Representative: </w:t>
      </w:r>
      <w:r>
        <w:rPr>
          <w:sz w:val="28"/>
          <w:szCs w:val="28"/>
        </w:rPr>
        <w:t xml:space="preserve">Licensed as real estate salespeople in Florida, representing The Villages, not the buyer or seller. </w:t>
      </w:r>
    </w:p>
    <w:sectPr w:rsidR="00D46A09" w:rsidRPr="00F94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13AE9"/>
    <w:multiLevelType w:val="multilevel"/>
    <w:tmpl w:val="61B83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CC71C4"/>
    <w:multiLevelType w:val="multilevel"/>
    <w:tmpl w:val="31A28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2154F92"/>
    <w:multiLevelType w:val="multilevel"/>
    <w:tmpl w:val="A51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8258726">
    <w:abstractNumId w:val="1"/>
  </w:num>
  <w:num w:numId="2" w16cid:durableId="1753044129">
    <w:abstractNumId w:val="0"/>
  </w:num>
  <w:num w:numId="3" w16cid:durableId="172702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09"/>
    <w:rsid w:val="0031045D"/>
    <w:rsid w:val="0032397D"/>
    <w:rsid w:val="004E3FC2"/>
    <w:rsid w:val="00D46A09"/>
    <w:rsid w:val="00F94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6963"/>
  <w15:chartTrackingRefBased/>
  <w15:docId w15:val="{F72BA127-7335-4A66-9B99-BE2CF15E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6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6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A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A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A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A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6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6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A09"/>
    <w:rPr>
      <w:rFonts w:eastAsiaTheme="majorEastAsia" w:cstheme="majorBidi"/>
      <w:color w:val="272727" w:themeColor="text1" w:themeTint="D8"/>
    </w:rPr>
  </w:style>
  <w:style w:type="paragraph" w:styleId="Title">
    <w:name w:val="Title"/>
    <w:basedOn w:val="Normal"/>
    <w:next w:val="Normal"/>
    <w:link w:val="TitleChar"/>
    <w:uiPriority w:val="10"/>
    <w:qFormat/>
    <w:rsid w:val="00D46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A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A09"/>
    <w:pPr>
      <w:spacing w:before="160"/>
      <w:jc w:val="center"/>
    </w:pPr>
    <w:rPr>
      <w:i/>
      <w:iCs/>
      <w:color w:val="404040" w:themeColor="text1" w:themeTint="BF"/>
    </w:rPr>
  </w:style>
  <w:style w:type="character" w:customStyle="1" w:styleId="QuoteChar">
    <w:name w:val="Quote Char"/>
    <w:basedOn w:val="DefaultParagraphFont"/>
    <w:link w:val="Quote"/>
    <w:uiPriority w:val="29"/>
    <w:rsid w:val="00D46A09"/>
    <w:rPr>
      <w:i/>
      <w:iCs/>
      <w:color w:val="404040" w:themeColor="text1" w:themeTint="BF"/>
    </w:rPr>
  </w:style>
  <w:style w:type="paragraph" w:styleId="ListParagraph">
    <w:name w:val="List Paragraph"/>
    <w:basedOn w:val="Normal"/>
    <w:uiPriority w:val="34"/>
    <w:qFormat/>
    <w:rsid w:val="00D46A09"/>
    <w:pPr>
      <w:ind w:left="720"/>
      <w:contextualSpacing/>
    </w:pPr>
  </w:style>
  <w:style w:type="character" w:styleId="IntenseEmphasis">
    <w:name w:val="Intense Emphasis"/>
    <w:basedOn w:val="DefaultParagraphFont"/>
    <w:uiPriority w:val="21"/>
    <w:qFormat/>
    <w:rsid w:val="00D46A09"/>
    <w:rPr>
      <w:i/>
      <w:iCs/>
      <w:color w:val="0F4761" w:themeColor="accent1" w:themeShade="BF"/>
    </w:rPr>
  </w:style>
  <w:style w:type="paragraph" w:styleId="IntenseQuote">
    <w:name w:val="Intense Quote"/>
    <w:basedOn w:val="Normal"/>
    <w:next w:val="Normal"/>
    <w:link w:val="IntenseQuoteChar"/>
    <w:uiPriority w:val="30"/>
    <w:qFormat/>
    <w:rsid w:val="00D46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A09"/>
    <w:rPr>
      <w:i/>
      <w:iCs/>
      <w:color w:val="0F4761" w:themeColor="accent1" w:themeShade="BF"/>
    </w:rPr>
  </w:style>
  <w:style w:type="character" w:styleId="IntenseReference">
    <w:name w:val="Intense Reference"/>
    <w:basedOn w:val="DefaultParagraphFont"/>
    <w:uiPriority w:val="32"/>
    <w:qFormat/>
    <w:rsid w:val="00D46A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Donovan Sienko</dc:creator>
  <cp:keywords/>
  <dc:description/>
  <cp:lastModifiedBy>Donovan Sienko</cp:lastModifiedBy>
  <cp:revision>5</cp:revision>
  <cp:lastPrinted>2025-11-24T02:55:00Z</cp:lastPrinted>
  <dcterms:created xsi:type="dcterms:W3CDTF">2025-11-24T02:51:00Z</dcterms:created>
  <dcterms:modified xsi:type="dcterms:W3CDTF">2026-07-26T23:36:00Z</dcterms:modified>
</cp:coreProperties>
</file>