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LISTE DE VÉRIFICATION DES DOCUMENTS FISCAUX CANADIENS (T1 &amp; TP1)</w:t>
      </w:r>
    </w:p>
    <w:p>
      <w:pPr>
        <w:jc w:val="center"/>
      </w:pPr>
      <w:r>
        <w:rPr>
          <w:i/>
          <w:sz w:val="22"/>
        </w:rPr>
        <w:t>Pour les déclarations de revenus fédérale (T1) et du Québec (TP1)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576"/>
        <w:gridCol w:w="4608"/>
        <w:gridCol w:w="3168"/>
        <w:gridCol w:w="3168"/>
      </w:tblGrid>
      <w:tr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✓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TYPE DE DOCUMENT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Dernière déclaration de revenus (si applicable)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Dernier avis de cotisation (si applicable)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INFORMATIONS PERSONNELLES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Numéro d'assurance sociale (NAS)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Date de naissance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Adresse actuelle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État civil et NAS du conjoint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Info de dépôt direct pour remboursement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DOCUMENTS DE REVENUS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Revenus d'emploi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Pension de vieillesse et prestations du RPC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T4OAS / T4AP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T4OAS / T4AP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Autres pensions et rentes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Relevés de pension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Relevés de pension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Prestations d'assurance-emploi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Prestations d'assistance sociale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T5007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5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Indemnités pour accidents du travail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T5007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5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Intérêts et dividendes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T3, T5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3, 16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Gains en capital (actions, obligations, immobilier)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T5008, documents de commerce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TP-726.20.2-V, documents de commerce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Pension alimentaire reçue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Retraits REER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T4RSP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T4RSP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Revenus locatifs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Revenus d'entreprise/profession/commissions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Revenus d'agriculture et de pêche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Revenus étrangers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Prestation universelle pour la garde d'enfants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RC62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RC62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Travailleur autonome/contrat/pigiste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DÉDUCTIONS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Cotisations REER (incl. RAP)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de cotisation RÉER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de cotisation RÉER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Cotisations syndicales ou professionnelles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(si non inclus dans T4)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(si non inclus dans T4)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Frais financiers et frais d'intérêt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Frais de déménagement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Frais de garde d'enfants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Factures avec NAS ou T778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Factures avec NAS ou T778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Utilisation de la résidence aux fins de l'entreprise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Reçus/factures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Reçus/factures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Dépenses relatives aux véhicules à moteur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Registre de voyage/km; reçus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Registre de voyage/km; reçus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Déduction pour options d'achat de titres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et état des opérations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et état des opérations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Pension alimentaire payée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Frais de voyage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Pertes d'autres années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Avis de cotisation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Avis de cotisation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Déduction pour gains en capital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et état des opérations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TP-726.20.2-V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Déduction travail à domicile (COVID)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T2200 / TP59 (méthode détaillée)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TP59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Dépenses d'emploi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T2200 signé par l'employeur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TP-64.3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CRÉDITS D'IMPÔT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Montant en raison de l'âge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Montant pour époux/conjoint de fait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Transfert du montant pour époux/conjoint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Du retour du conjoint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Du retour du conjoint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Enfant(s) à charge admissible(s)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canadien pour aidant naturel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 xml:space="preserve">T2201 ou note signée par un professionnel de la santé 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canadien pour la formation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de scolarité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de scolarité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Montant canadien pour emploi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employé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employé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d'impôt pour solidarité Composante relative au logement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RL31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RL31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pour résidence village nordique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RL31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 TVQ (Qc)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 pour revenu de pension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Frais de scolarité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T2202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8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d'impôt pour personnes handicapées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T2201 signé par professionnel médical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TP-752.0.14-V (signed by medical professional)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Frais médicaux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Relevés détaillés ou factures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Relevés détaillés ou factures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Dons charitables et politiques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avec # d'enregistrement complet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avec # d'enregistrement complet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pour contributions politiques fédérales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pour aidant naturel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 xml:space="preserve">Attestation de déficience (TP-752.0.14)        </w:t>
              <w:br/>
              <w:t>Attestation d'assistance soutenue (TP-1029.AN.A)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d'impôt pour la condition physique des enfants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pour activités des enfants (Québec)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Intérêt sur prêts étudiants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de l'institution financière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de l'institution financière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Frais d'adoption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Montant pour achat d'une habitation (fédéral)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Entente d'achat et de vente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Entente d'achat et de vente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premier acheteur d'habitation (Québec)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Entente d'achat et de vente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Entente d'achat et de vente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rénovation habitation multigénérationnelle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pour rénovations admissibles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pour rénovations admissibles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Abonnements aux nouvelles numériques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Reçu(s)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Reçu(s)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Laissez-passer de transport en commun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de laissez-passer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de laissez-passer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 travailleur d'expérience 60+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Auto-calculé si admissible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Pompier volontaire/recherche et sauvetage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Certificat de l'organisation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Certificat de l'organisation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CONSEILS D'ORGANISATION UTILES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Cochez les éléments de cette liste au fur et à mesure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Prenez des photos claires des documents papier pour sauvegarde numérique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La plupart des feuillets arrivent fin février - collectez tout début mars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Conservez des copies ou des numérisations de tout ce que vous soumettez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Accédez aux feuillets en ligne : Mon dossier ARC (fédéral) et Revenu Québec (provincial)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Documents manquants? Demandez des duplicatas aux employeurs/pharmacies/institutions financières et éducatives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Date limite de production : 30 avril (ou 15 juin si travailleur autonome, paiement dû le 30 avril)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