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1B47" w14:textId="77777777" w:rsidR="00907F41" w:rsidRPr="00907F41" w:rsidRDefault="00907F41" w:rsidP="00907F41">
      <w:pPr>
        <w:shd w:val="clear" w:color="auto" w:fill="FFFFFF"/>
        <w:spacing w:line="240" w:lineRule="auto"/>
        <w:outlineLvl w:val="0"/>
        <w:rPr>
          <w:rFonts w:ascii="inherit" w:eastAsia="Times New Roman" w:hAnsi="inherit" w:cs="Segoe UI"/>
          <w:kern w:val="36"/>
          <w:sz w:val="48"/>
          <w:szCs w:val="48"/>
          <w:lang w:eastAsia="en-AU"/>
        </w:rPr>
      </w:pPr>
      <w:r w:rsidRPr="00907F41">
        <w:rPr>
          <w:rFonts w:ascii="inherit" w:eastAsia="Times New Roman" w:hAnsi="inherit" w:cs="Segoe UI"/>
          <w:kern w:val="36"/>
          <w:sz w:val="48"/>
          <w:szCs w:val="48"/>
          <w:lang w:eastAsia="en-AU"/>
        </w:rPr>
        <w:t xml:space="preserve">Advantages, </w:t>
      </w:r>
      <w:proofErr w:type="gramStart"/>
      <w:r w:rsidRPr="00907F41">
        <w:rPr>
          <w:rFonts w:ascii="inherit" w:eastAsia="Times New Roman" w:hAnsi="inherit" w:cs="Segoe UI"/>
          <w:kern w:val="36"/>
          <w:sz w:val="48"/>
          <w:szCs w:val="48"/>
          <w:lang w:eastAsia="en-AU"/>
        </w:rPr>
        <w:t>Delights</w:t>
      </w:r>
      <w:proofErr w:type="gramEnd"/>
      <w:r w:rsidRPr="00907F41">
        <w:rPr>
          <w:rFonts w:ascii="inherit" w:eastAsia="Times New Roman" w:hAnsi="inherit" w:cs="Segoe UI"/>
          <w:kern w:val="36"/>
          <w:sz w:val="48"/>
          <w:szCs w:val="48"/>
          <w:lang w:eastAsia="en-AU"/>
        </w:rPr>
        <w:t xml:space="preserve"> and the need for an amazing ADHD Medication Holiday</w:t>
      </w:r>
    </w:p>
    <w:p w14:paraId="56F84EA7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kern w:val="36"/>
          <w:sz w:val="48"/>
          <w:szCs w:val="48"/>
          <w:lang w:eastAsia="en-AU"/>
        </w:rPr>
      </w:pPr>
      <w:r w:rsidRPr="00907F41">
        <w:rPr>
          <w:rFonts w:ascii="inherit" w:eastAsia="Times New Roman" w:hAnsi="inherit" w:cs="Segoe UI"/>
          <w:kern w:val="36"/>
          <w:sz w:val="48"/>
          <w:szCs w:val="48"/>
          <w:lang w:eastAsia="en-AU"/>
        </w:rPr>
        <w:t>Question: What is a Medication Holiday?</w:t>
      </w:r>
    </w:p>
    <w:p w14:paraId="0EEE5109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Answer: </w:t>
      </w:r>
      <w:hyperlink r:id="rId5" w:tgtFrame="_blank" w:history="1">
        <w:r w:rsidRPr="00907F41">
          <w:rPr>
            <w:rFonts w:ascii="Montserrat" w:eastAsia="Times New Roman" w:hAnsi="Montserrat" w:cs="Segoe UI"/>
            <w:color w:val="0000FF"/>
            <w:sz w:val="30"/>
            <w:szCs w:val="30"/>
            <w:u w:val="single"/>
            <w:lang w:eastAsia="en-AU"/>
          </w:rPr>
          <w:t>A medication holiday</w:t>
        </w:r>
      </w:hyperlink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 is a deliberate, temporary suspension from medication. This differs from medication non-compliance. It can vary in length of time </w:t>
      </w:r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from a weekend,</w:t>
      </w:r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to a month duration. When considering a medication holiday, it typically involves the use of stimulant medications (</w:t>
      </w:r>
      <w:proofErr w:type="spellStart"/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eg</w:t>
      </w:r>
      <w:proofErr w:type="spellEnd"/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dexamphetamine), not the non-stimulants (</w:t>
      </w:r>
      <w:proofErr w:type="spell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eg</w:t>
      </w:r>
      <w:proofErr w:type="spell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atomoxetine).</w:t>
      </w:r>
    </w:p>
    <w:p w14:paraId="67A77D1D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i/>
          <w:iCs/>
          <w:sz w:val="27"/>
          <w:szCs w:val="27"/>
          <w:lang w:eastAsia="en-AU"/>
        </w:rPr>
        <w:t>If you are considering a medication holiday it is important to discuss this with your doctor before commencing. Your physician may also refer to his break as a drug holiday, structured treatment interruption or medication suspension.</w:t>
      </w:r>
    </w:p>
    <w:p w14:paraId="1F77C03E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sz w:val="36"/>
          <w:szCs w:val="36"/>
          <w:lang w:eastAsia="en-AU"/>
        </w:rPr>
      </w:pPr>
      <w:r w:rsidRPr="00907F41">
        <w:rPr>
          <w:rFonts w:ascii="inherit" w:eastAsia="Times New Roman" w:hAnsi="inherit" w:cs="Segoe UI"/>
          <w:b/>
          <w:bCs/>
          <w:sz w:val="36"/>
          <w:szCs w:val="36"/>
          <w:u w:val="single"/>
          <w:lang w:eastAsia="en-AU"/>
        </w:rPr>
        <w:t>Indications for structured treatment interruption</w:t>
      </w:r>
    </w:p>
    <w:p w14:paraId="5016C3EB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A </w:t>
      </w:r>
      <w:hyperlink r:id="rId6" w:tgtFrame="_blank" w:history="1">
        <w:r w:rsidRPr="00907F41">
          <w:rPr>
            <w:rFonts w:ascii="Montserrat" w:eastAsia="Times New Roman" w:hAnsi="Montserrat" w:cs="Segoe UI"/>
            <w:color w:val="0000FF"/>
            <w:sz w:val="30"/>
            <w:szCs w:val="30"/>
            <w:u w:val="single"/>
            <w:lang w:eastAsia="en-AU"/>
          </w:rPr>
          <w:t>medication holiday</w:t>
        </w:r>
      </w:hyperlink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 can be recommended when:</w:t>
      </w:r>
    </w:p>
    <w:p w14:paraId="1466ED75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assessment is required</w:t>
      </w:r>
    </w:p>
    <w:p w14:paraId="4BB0683C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evaluation of progress is indicated</w:t>
      </w:r>
    </w:p>
    <w:p w14:paraId="499BB19E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to determine if medication is still necessary</w:t>
      </w:r>
    </w:p>
    <w:p w14:paraId="74F9E2D8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assessment of current regimen (dose and frequency) of prescribed medication if recommended</w:t>
      </w:r>
    </w:p>
    <w:p w14:paraId="3180809D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if the medication is </w:t>
      </w:r>
      <w:r w:rsidRPr="00907F41">
        <w:rPr>
          <w:rFonts w:ascii="Segoe UI" w:eastAsia="Times New Roman" w:hAnsi="Segoe UI" w:cs="Segoe UI"/>
          <w:b/>
          <w:bCs/>
          <w:sz w:val="27"/>
          <w:szCs w:val="27"/>
          <w:lang w:eastAsia="en-AU"/>
        </w:rPr>
        <w:t>significantly</w:t>
      </w: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 impacting sleep patterns, and</w:t>
      </w:r>
    </w:p>
    <w:p w14:paraId="29D2E286" w14:textId="77777777" w:rsidR="00907F41" w:rsidRPr="00907F41" w:rsidRDefault="00907F41" w:rsidP="00907F41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if there are concerns regarding individuals’ weight that is a direct relation to medication use.</w:t>
      </w:r>
    </w:p>
    <w:p w14:paraId="1A490034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sz w:val="27"/>
          <w:szCs w:val="27"/>
          <w:lang w:eastAsia="en-AU"/>
        </w:rPr>
      </w:pPr>
      <w:r w:rsidRPr="00907F41">
        <w:rPr>
          <w:rFonts w:ascii="inherit" w:eastAsia="Times New Roman" w:hAnsi="inherit" w:cs="Segoe UI"/>
          <w:b/>
          <w:bCs/>
          <w:sz w:val="27"/>
          <w:szCs w:val="27"/>
          <w:u w:val="single"/>
          <w:lang w:eastAsia="en-AU"/>
        </w:rPr>
        <w:t>Factors to consider before a medication break</w:t>
      </w:r>
    </w:p>
    <w:p w14:paraId="7D999657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When considering a drug holiday also consider what type of ADHD does </w:t>
      </w:r>
      <w:proofErr w:type="spell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you</w:t>
      </w:r>
      <w:proofErr w:type="spell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child have? Hyperactive, </w:t>
      </w:r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inattentive</w:t>
      </w:r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or combined? Why? Because ADHD does not take holidays!</w:t>
      </w:r>
    </w:p>
    <w:p w14:paraId="08298471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Yes, during the school holidays or on weekends children are not required to undertake academic tasks or required to sit and concentrate for extended </w:t>
      </w:r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period of time</w:t>
      </w:r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, however will their hyperactivity increase risk of harm, or will their inattentive lead to poor decision making?</w:t>
      </w:r>
    </w:p>
    <w:p w14:paraId="3BCA87D7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lastRenderedPageBreak/>
        <w:t>Further it is important to consider:</w:t>
      </w:r>
    </w:p>
    <w:p w14:paraId="63CA2410" w14:textId="77777777" w:rsidR="00907F41" w:rsidRPr="00907F41" w:rsidRDefault="00907F41" w:rsidP="00907F41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the environment – is it new? will there be crowds? is there a quiet space available?</w:t>
      </w:r>
    </w:p>
    <w:p w14:paraId="5CD6554C" w14:textId="77777777" w:rsidR="00907F41" w:rsidRPr="00907F41" w:rsidRDefault="00907F41" w:rsidP="00907F41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the people the individual will be spending time with – familiar people or new faces? what is the impact on play dates? and</w:t>
      </w:r>
    </w:p>
    <w:p w14:paraId="25933C7F" w14:textId="77777777" w:rsidR="00907F41" w:rsidRPr="00907F41" w:rsidRDefault="00907F41" w:rsidP="00907F41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overall wellbeing of the individual, actually ask them how do you feel on and off your </w:t>
      </w:r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medication?,</w:t>
      </w:r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not just the perceived non-school tasks undertaken.</w:t>
      </w:r>
    </w:p>
    <w:p w14:paraId="1C849F98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The child’s well-being is the primary consideration and includes behaviours of impulse control, perceived safety (or lack of), reduced ability to focus, and heightened emotional stress. It is because of these for </w:t>
      </w:r>
      <w:r w:rsidRPr="00907F41">
        <w:rPr>
          <w:rFonts w:ascii="Segoe UI" w:eastAsia="Times New Roman" w:hAnsi="Segoe UI" w:cs="Segoe UI"/>
          <w:b/>
          <w:bCs/>
          <w:sz w:val="27"/>
          <w:szCs w:val="27"/>
          <w:lang w:eastAsia="en-AU"/>
        </w:rPr>
        <w:t>some</w:t>
      </w: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 individuals a medication holiday can be a negative and unproductive experience.</w:t>
      </w:r>
    </w:p>
    <w:p w14:paraId="26EB3A53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sz w:val="27"/>
          <w:szCs w:val="27"/>
          <w:lang w:eastAsia="en-AU"/>
        </w:rPr>
      </w:pPr>
      <w:r w:rsidRPr="00907F41">
        <w:rPr>
          <w:rFonts w:ascii="inherit" w:eastAsia="Times New Roman" w:hAnsi="inherit" w:cs="Segoe UI"/>
          <w:b/>
          <w:bCs/>
          <w:sz w:val="27"/>
          <w:szCs w:val="27"/>
          <w:u w:val="single"/>
          <w:lang w:eastAsia="en-AU"/>
        </w:rPr>
        <w:t>Medication profiles</w:t>
      </w:r>
    </w:p>
    <w:p w14:paraId="29294D28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Each medication has specific characteristics relating to absorption, </w:t>
      </w:r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distribution</w:t>
      </w:r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and elimination, these are referred to as pharmacokinetics. It is important to be aware of these when considering a medication holiday.</w:t>
      </w:r>
    </w:p>
    <w:p w14:paraId="3081CA8E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The table below outlines details for the three stimulant medications available in Australia. For each medication listed is the </w:t>
      </w:r>
      <w:r w:rsidRPr="00907F41">
        <w:rPr>
          <w:rFonts w:ascii="Segoe UI" w:eastAsia="Times New Roman" w:hAnsi="Segoe UI" w:cs="Segoe UI"/>
          <w:b/>
          <w:bCs/>
          <w:sz w:val="27"/>
          <w:szCs w:val="27"/>
          <w:lang w:eastAsia="en-AU"/>
        </w:rPr>
        <w:t>approximate</w:t>
      </w: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 data for peak absorption </w:t>
      </w:r>
      <w:proofErr w:type="spellStart"/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ie</w:t>
      </w:r>
      <w:proofErr w:type="spellEnd"/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the maximum amount of medication absorbed by the body after oral ingestion; duration of action </w:t>
      </w:r>
      <w:proofErr w:type="spell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ie</w:t>
      </w:r>
      <w:proofErr w:type="spell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the length of time the medication is active in the body; and </w:t>
      </w:r>
      <w:proofErr w:type="spell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half life</w:t>
      </w:r>
      <w:proofErr w:type="spell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is the time taken for the concentration of a medication to reduce to half its original value.</w:t>
      </w:r>
    </w:p>
    <w:tbl>
      <w:tblPr>
        <w:tblW w:w="9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3320"/>
        <w:gridCol w:w="3307"/>
      </w:tblGrid>
      <w:tr w:rsidR="00907F41" w:rsidRPr="00907F41" w14:paraId="5DC6A76B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4466F3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Peak absorption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2E6F6A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Duration of action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750828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Half life</w:t>
            </w:r>
          </w:p>
        </w:tc>
      </w:tr>
      <w:tr w:rsidR="00907F41" w:rsidRPr="00907F41" w14:paraId="2330FCE0" w14:textId="77777777" w:rsidTr="00907F41">
        <w:tc>
          <w:tcPr>
            <w:tcW w:w="104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119940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Dexamphetamine</w:t>
            </w:r>
          </w:p>
        </w:tc>
      </w:tr>
      <w:tr w:rsidR="00907F41" w:rsidRPr="00907F41" w14:paraId="5BE60E16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61E1F0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2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256F62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4 – 6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2EC91C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10 hours</w:t>
            </w:r>
          </w:p>
        </w:tc>
      </w:tr>
      <w:tr w:rsidR="00907F41" w:rsidRPr="00907F41" w14:paraId="1F5F97C2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B756CF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89FD7E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7CEB0C1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07F41" w:rsidRPr="00907F41" w14:paraId="0D82DB85" w14:textId="77777777" w:rsidTr="00907F41">
        <w:tc>
          <w:tcPr>
            <w:tcW w:w="104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4DB76F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proofErr w:type="spellStart"/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Lisdexamphetamine</w:t>
            </w:r>
            <w:proofErr w:type="spellEnd"/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 xml:space="preserve"> (Vyvanse®)</w:t>
            </w:r>
          </w:p>
        </w:tc>
      </w:tr>
      <w:tr w:rsidR="00907F41" w:rsidRPr="00907F41" w14:paraId="361B8ED4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2C27A6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3.5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F9FD32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13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734499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9 hours</w:t>
            </w:r>
          </w:p>
        </w:tc>
      </w:tr>
      <w:tr w:rsidR="00907F41" w:rsidRPr="00907F41" w14:paraId="53A66A70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432E69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58525A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5C2939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07F41" w:rsidRPr="00907F41" w14:paraId="7DE9FD89" w14:textId="77777777" w:rsidTr="00907F41">
        <w:tc>
          <w:tcPr>
            <w:tcW w:w="104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4E38E8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Methylphenidate (Ritalin®)</w:t>
            </w:r>
          </w:p>
        </w:tc>
      </w:tr>
      <w:tr w:rsidR="00907F41" w:rsidRPr="00907F41" w14:paraId="48366A6D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B06822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2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97A177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4 – 6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1A2627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2 – 3 hours</w:t>
            </w:r>
          </w:p>
        </w:tc>
      </w:tr>
      <w:tr w:rsidR="00907F41" w:rsidRPr="00907F41" w14:paraId="3EA1540F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9DC3A4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6767EF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0B113E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07F41" w:rsidRPr="00907F41" w14:paraId="22D8FBF6" w14:textId="77777777" w:rsidTr="00907F41">
        <w:tc>
          <w:tcPr>
            <w:tcW w:w="104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22A9CD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Methylphenidate (Ritalin LA®)</w:t>
            </w:r>
          </w:p>
        </w:tc>
      </w:tr>
      <w:tr w:rsidR="00907F41" w:rsidRPr="00907F41" w14:paraId="0BEE6FC3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46C1B7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Bimodal – 2 hour and 6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826FE9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8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0BFCCF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3 hours</w:t>
            </w:r>
          </w:p>
        </w:tc>
      </w:tr>
      <w:tr w:rsidR="00907F41" w:rsidRPr="00907F41" w14:paraId="42DFB82F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424828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D708D6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7ADF92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07F41" w:rsidRPr="00907F41" w14:paraId="59A74FD8" w14:textId="77777777" w:rsidTr="00907F41">
        <w:tc>
          <w:tcPr>
            <w:tcW w:w="104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A9BC3E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Methylphenidate (</w:t>
            </w:r>
            <w:proofErr w:type="spellStart"/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Concerta</w:t>
            </w:r>
            <w:proofErr w:type="spellEnd"/>
            <w:r w:rsidRPr="00907F4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®)</w:t>
            </w:r>
          </w:p>
        </w:tc>
      </w:tr>
      <w:tr w:rsidR="00907F41" w:rsidRPr="00907F41" w14:paraId="65AF6E79" w14:textId="77777777" w:rsidTr="00907F41"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AEE997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Bimodal – 1-2 hours, and 6 – 8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43EA59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12 hours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821D6B" w14:textId="77777777" w:rsidR="00907F41" w:rsidRPr="00907F41" w:rsidRDefault="00907F41" w:rsidP="00907F41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907F41">
              <w:rPr>
                <w:rFonts w:ascii="Times New Roman" w:eastAsia="Times New Roman" w:hAnsi="Times New Roman" w:cs="Times New Roman"/>
                <w:lang w:eastAsia="en-AU"/>
              </w:rPr>
              <w:t>3 – 4 hours</w:t>
            </w:r>
          </w:p>
        </w:tc>
      </w:tr>
    </w:tbl>
    <w:p w14:paraId="162DF5FF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sz w:val="27"/>
          <w:szCs w:val="27"/>
          <w:lang w:eastAsia="en-AU"/>
        </w:rPr>
      </w:pPr>
      <w:r w:rsidRPr="00907F41">
        <w:rPr>
          <w:rFonts w:ascii="inherit" w:eastAsia="Times New Roman" w:hAnsi="inherit" w:cs="Segoe UI"/>
          <w:b/>
          <w:bCs/>
          <w:sz w:val="27"/>
          <w:szCs w:val="27"/>
          <w:u w:val="single"/>
          <w:lang w:eastAsia="en-AU"/>
        </w:rPr>
        <w:t>How to implement the break from medication</w:t>
      </w:r>
    </w:p>
    <w:p w14:paraId="7C42E989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If the combined decision is made for a medication holiday, the time frame will depend on the dose of prescribed medication. Most stimulant medication can be stopped abruptly </w:t>
      </w:r>
      <w:proofErr w:type="spellStart"/>
      <w:proofErr w:type="gramStart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ie</w:t>
      </w:r>
      <w:proofErr w:type="spellEnd"/>
      <w:proofErr w:type="gramEnd"/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 xml:space="preserve"> without titration, however if your child is prescribed the maximum dose a weaning process is highly recommended (this will be instructed by your paediatrician or psychiatrist).</w:t>
      </w:r>
    </w:p>
    <w:p w14:paraId="2E062BED" w14:textId="77777777" w:rsidR="00907F41" w:rsidRPr="00907F41" w:rsidRDefault="00907F41" w:rsidP="00907F4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en-AU"/>
        </w:rPr>
      </w:pPr>
      <w:r w:rsidRPr="00907F41">
        <w:rPr>
          <w:rFonts w:ascii="inherit" w:eastAsia="Times New Roman" w:hAnsi="inherit" w:cs="Segoe UI"/>
          <w:b/>
          <w:bCs/>
          <w:sz w:val="24"/>
          <w:szCs w:val="24"/>
          <w:u w:val="single"/>
          <w:lang w:eastAsia="en-AU"/>
        </w:rPr>
        <w:t>Strategies</w:t>
      </w:r>
    </w:p>
    <w:p w14:paraId="3DCFE004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An increased use and focus on non-pharmacological strategies may be necessary during a medication holiday. These include mindfulness, yoga, exercise, fidget toys, quiet spaces, and social stories. Your psychologist, occupational therapist or developmental educator will be able to assist you with these practices.</w:t>
      </w:r>
    </w:p>
    <w:p w14:paraId="6AD1C6C7" w14:textId="77777777" w:rsidR="00907F41" w:rsidRPr="00907F41" w:rsidRDefault="00907F41" w:rsidP="00907F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07F41">
        <w:rPr>
          <w:rFonts w:ascii="Segoe UI" w:eastAsia="Times New Roman" w:hAnsi="Segoe UI" w:cs="Segoe UI"/>
          <w:b/>
          <w:bCs/>
          <w:sz w:val="27"/>
          <w:szCs w:val="27"/>
          <w:lang w:eastAsia="en-AU"/>
        </w:rPr>
        <w:lastRenderedPageBreak/>
        <w:t>Indispensable Pharmacist tip:</w:t>
      </w:r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 In Australia, prescriptions for stimulant medications expire 6 months from initial prescribing date, so if you are taking a medication holiday, keep an eye on these dates.  Should you need to </w:t>
      </w:r>
      <w:hyperlink r:id="rId7" w:history="1">
        <w:r w:rsidRPr="00907F41">
          <w:rPr>
            <w:rFonts w:ascii="Montserrat" w:eastAsia="Times New Roman" w:hAnsi="Montserrat" w:cs="Segoe UI"/>
            <w:color w:val="0000FF"/>
            <w:sz w:val="30"/>
            <w:szCs w:val="30"/>
            <w:u w:val="single"/>
            <w:lang w:eastAsia="en-AU"/>
          </w:rPr>
          <w:t>talk to a pharmacist</w:t>
        </w:r>
      </w:hyperlink>
      <w:r w:rsidRPr="00907F41">
        <w:rPr>
          <w:rFonts w:ascii="Segoe UI" w:eastAsia="Times New Roman" w:hAnsi="Segoe UI" w:cs="Segoe UI"/>
          <w:sz w:val="27"/>
          <w:szCs w:val="27"/>
          <w:lang w:eastAsia="en-AU"/>
        </w:rPr>
        <w:t>, we are ready to answer any questions you may have</w:t>
      </w:r>
    </w:p>
    <w:p w14:paraId="7C9EB18F" w14:textId="77777777" w:rsidR="009D20F2" w:rsidRDefault="009D20F2"/>
    <w:sectPr w:rsidR="009D2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C2D3B"/>
    <w:multiLevelType w:val="multilevel"/>
    <w:tmpl w:val="CC2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453B2"/>
    <w:multiLevelType w:val="multilevel"/>
    <w:tmpl w:val="2F8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24951">
    <w:abstractNumId w:val="1"/>
  </w:num>
  <w:num w:numId="2" w16cid:durableId="15667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41"/>
    <w:rsid w:val="00907F41"/>
    <w:rsid w:val="009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3792"/>
  <w15:chartTrackingRefBased/>
  <w15:docId w15:val="{1FD5F82A-1749-4400-9819-C903DFB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07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907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907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4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07F4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07F4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07F41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07F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07F41"/>
    <w:rPr>
      <w:i/>
      <w:iCs/>
    </w:rPr>
  </w:style>
  <w:style w:type="character" w:styleId="Strong">
    <w:name w:val="Strong"/>
    <w:basedOn w:val="DefaultParagraphFont"/>
    <w:uiPriority w:val="22"/>
    <w:qFormat/>
    <w:rsid w:val="00907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armonline.com.au/telehealth-consul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ditudemag.com/slideshows/consider-drug-holiday/" TargetMode="External"/><Relationship Id="rId5" Type="http://schemas.openxmlformats.org/officeDocument/2006/relationships/hyperlink" Target="https://childmind.org/article/adhd-pros-cons-drug-holida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and Rob's</dc:creator>
  <cp:keywords/>
  <dc:description/>
  <cp:lastModifiedBy>Yvette and Rob's</cp:lastModifiedBy>
  <cp:revision>1</cp:revision>
  <dcterms:created xsi:type="dcterms:W3CDTF">2022-11-15T01:26:00Z</dcterms:created>
  <dcterms:modified xsi:type="dcterms:W3CDTF">2022-11-15T01:26:00Z</dcterms:modified>
</cp:coreProperties>
</file>