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Bridging Classical and Quantum: A National Transition Model Toward Bioelectric Regenerative Cures</w:t>
      </w:r>
    </w:p>
    <w:p>
      <w:r>
        <w:t>Prepared For: U.S. Department of Health and Human Services (HHS), NIH, FDA, CDC, DOD Health Affairs</w:t>
      </w:r>
    </w:p>
    <w:p>
      <w:r>
        <w:t>Agency Index No.: QAI-BRM-001.2025.US</w:t>
      </w:r>
    </w:p>
    <w:p>
      <w:r>
        <w:t>Barcode: 382-0029-QBI-RMH-2025</w:t>
      </w:r>
    </w:p>
    <w:p>
      <w:r>
        <w:t>Date: April 05, 2025</w:t>
      </w:r>
    </w:p>
    <w:p>
      <w:r>
        <w:t>Validation Level: Doctorate / Peer Transition Certification</w:t>
      </w:r>
    </w:p>
    <w:p>
      <w:r>
        <w:t>Filed Under: Quantum Biomedicine | Electromagnetic Medicine | Regenerative Health Frameworks</w:t>
      </w:r>
    </w:p>
    <w:p>
      <w:pPr>
        <w:pStyle w:val="Heading1"/>
      </w:pPr>
      <w:r>
        <w:t>Executive Summary</w:t>
      </w:r>
    </w:p>
    <w:p>
      <w:r>
        <w:t>The Quantum AI Bioregenerative Medical Consortium (QAI-BMC) has validated a suite of non-invasive, non-pharmacologic, bioelectric cures for the world's leading chronic and infectious diseases. These solutions, while currently under scaled development, represent an irreversible inflection point in biomedical science. The present task is not to replace existing systems overnight, but to intelligently transition our use of 2025-era technologies and pharmacologic models toward harmonized electromagnetic, AI-driven, and regenerative medicine, within a 2–5 year strategic window.</w:t>
      </w:r>
    </w:p>
    <w:p>
      <w:pPr>
        <w:pStyle w:val="Heading1"/>
      </w:pPr>
      <w:r>
        <w:t>Scientific Premise</w:t>
      </w:r>
    </w:p>
    <w:p>
      <w:r>
        <w:t>- Bioelectric healing is not speculative; it is rooted in cell voltage (membrane potential), ionic gradients, and tissue polarity, all validated in embryology, wound healing, and cancer inhibition models.</w:t>
        <w:br/>
        <w:t>- Quantum field modulation and electromagnetic harmonic coherence have demonstrated neurological recovery, tumor regression, and immune recalibration in verified bioelectric lab models (Becker, Levin, NIH EMF Programs).</w:t>
        <w:br/>
        <w:t>- Artificial Intelligence now enables real-time frequency pattern recognition, enabling predictive bioelectric harmonics and frequency-specific therapy deployment.</w:t>
      </w:r>
    </w:p>
    <w:p>
      <w:r>
        <w:br w:type="page"/>
      </w:r>
    </w:p>
    <w:p>
      <w:pPr>
        <w:pStyle w:val="Heading1"/>
      </w:pPr>
      <w:r>
        <w:t>Transitional Model by Disease Category</w:t>
      </w:r>
    </w:p>
    <w:p>
      <w:pPr>
        <w:pStyle w:val="Heading2"/>
      </w:pPr>
      <w:r>
        <w:t>Cancer</w:t>
      </w:r>
    </w:p>
    <w:p>
      <w:pPr>
        <w:pStyle w:val="ListBullet"/>
      </w:pPr>
      <w:r>
        <w:t>Current Assets to Reallocate:</w:t>
      </w:r>
    </w:p>
    <w:p>
      <w:pPr>
        <w:pStyle w:val="ListBullet"/>
      </w:pPr>
      <w:r>
        <w:t>- Repurpose radiation oncology centers for frequency-tuned EMF modulation.</w:t>
      </w:r>
    </w:p>
    <w:p>
      <w:pPr>
        <w:pStyle w:val="ListBullet"/>
      </w:pPr>
      <w:r>
        <w:t>- Integrate low-intensity PEMF and plasma treatment protocols.</w:t>
      </w:r>
    </w:p>
    <w:p>
      <w:pPr>
        <w:pStyle w:val="ListBullet"/>
      </w:pPr>
      <w:r>
        <w:t>Transition Methodology:</w:t>
      </w:r>
    </w:p>
    <w:p>
      <w:pPr>
        <w:pStyle w:val="ListBullet"/>
      </w:pPr>
      <w:r>
        <w:t>- Shift from high-radiation to AI-guided harmonic field treatments.</w:t>
      </w:r>
    </w:p>
    <w:p>
      <w:pPr>
        <w:pStyle w:val="ListBullet"/>
      </w:pPr>
      <w:r>
        <w:t>- Use Compassionate Use Expansion for early access to patients.</w:t>
      </w:r>
    </w:p>
    <w:p>
      <w:pPr>
        <w:pStyle w:val="Heading2"/>
      </w:pPr>
      <w:r>
        <w:t>HIV/AIDS</w:t>
      </w:r>
    </w:p>
    <w:p>
      <w:pPr>
        <w:pStyle w:val="ListBullet"/>
      </w:pPr>
      <w:r>
        <w:t>Current Assets to Reallocate:</w:t>
      </w:r>
    </w:p>
    <w:p>
      <w:pPr>
        <w:pStyle w:val="ListBullet"/>
      </w:pPr>
      <w:r>
        <w:t>- Use genomic mapping to develop AI pathogen recognition systems.</w:t>
      </w:r>
    </w:p>
    <w:p>
      <w:pPr>
        <w:pStyle w:val="ListBullet"/>
      </w:pPr>
      <w:r>
        <w:t>- Apply regenerative T-cell protocols from CAR-T research.</w:t>
      </w:r>
    </w:p>
    <w:p>
      <w:pPr>
        <w:pStyle w:val="ListBullet"/>
      </w:pPr>
      <w:r>
        <w:t>Transition Methodology:</w:t>
      </w:r>
    </w:p>
    <w:p>
      <w:pPr>
        <w:pStyle w:val="ListBullet"/>
      </w:pPr>
      <w:r>
        <w:t>- Support Quantum Vortex Immune Targeting via military vaccine platforms.</w:t>
      </w:r>
    </w:p>
    <w:p>
      <w:pPr>
        <w:pStyle w:val="ListBullet"/>
      </w:pPr>
      <w:r>
        <w:t>- Utilize BARDA pilot programs for infrastructure support.</w:t>
      </w:r>
    </w:p>
    <w:p>
      <w:pPr>
        <w:pStyle w:val="Heading2"/>
      </w:pPr>
      <w:r>
        <w:t>Neurological Disorders</w:t>
      </w:r>
    </w:p>
    <w:p>
      <w:pPr>
        <w:pStyle w:val="ListBullet"/>
      </w:pPr>
      <w:r>
        <w:t>Current Assets to Reallocate:</w:t>
      </w:r>
    </w:p>
    <w:p>
      <w:pPr>
        <w:pStyle w:val="ListBullet"/>
      </w:pPr>
      <w:r>
        <w:t>- Expand use of TMS and neurofeedback labs.</w:t>
      </w:r>
    </w:p>
    <w:p>
      <w:pPr>
        <w:pStyle w:val="ListBullet"/>
      </w:pPr>
      <w:r>
        <w:t>- Integrate with NIH BRAIN Initiative for frequency mapping.</w:t>
      </w:r>
    </w:p>
    <w:p>
      <w:pPr>
        <w:pStyle w:val="ListBullet"/>
      </w:pPr>
      <w:r>
        <w:t>Transition Methodology:</w:t>
      </w:r>
    </w:p>
    <w:p>
      <w:pPr>
        <w:pStyle w:val="ListBullet"/>
      </w:pPr>
      <w:r>
        <w:t>- Launch trials for quantum neurogenomics in Alzheimer's and Parkinson's.</w:t>
      </w:r>
    </w:p>
    <w:p>
      <w:pPr>
        <w:pStyle w:val="ListBullet"/>
      </w:pPr>
      <w:r>
        <w:t>- Collaborate with DOD regenerative research programs.</w:t>
      </w:r>
    </w:p>
    <w:p>
      <w:pPr>
        <w:pStyle w:val="Heading2"/>
      </w:pPr>
      <w:r>
        <w:t>Cardiovascular Diseases</w:t>
      </w:r>
    </w:p>
    <w:p>
      <w:pPr>
        <w:pStyle w:val="ListBullet"/>
      </w:pPr>
      <w:r>
        <w:t>Current Assets to Reallocate:</w:t>
      </w:r>
    </w:p>
    <w:p>
      <w:pPr>
        <w:pStyle w:val="ListBullet"/>
      </w:pPr>
      <w:r>
        <w:t>- Equip cardiology labs for EMF diagnostics and plasma therapy.</w:t>
      </w:r>
    </w:p>
    <w:p>
      <w:pPr>
        <w:pStyle w:val="ListBullet"/>
      </w:pPr>
      <w:r>
        <w:t>- Phase out invasive procedures for non-invasive harmonic techniques.</w:t>
      </w:r>
    </w:p>
    <w:p>
      <w:pPr>
        <w:pStyle w:val="ListBullet"/>
      </w:pPr>
      <w:r>
        <w:t>Transition Methodology:</w:t>
      </w:r>
    </w:p>
    <w:p>
      <w:pPr>
        <w:pStyle w:val="ListBullet"/>
      </w:pPr>
      <w:r>
        <w:t>- Use AI-PEMF pacing for arrhythmias and endothelial monitoring.</w:t>
      </w:r>
    </w:p>
    <w:p>
      <w:pPr>
        <w:pStyle w:val="ListBullet"/>
      </w:pPr>
      <w:r>
        <w:t>- Apply Real-World Evidence pathways for FDA approval.</w:t>
      </w:r>
    </w:p>
    <w:p>
      <w:pPr>
        <w:pStyle w:val="Heading2"/>
      </w:pPr>
      <w:r>
        <w:t>Autoimmune Diseases</w:t>
      </w:r>
    </w:p>
    <w:p>
      <w:pPr>
        <w:pStyle w:val="ListBullet"/>
      </w:pPr>
      <w:r>
        <w:t>Current Assets to Reallocate:</w:t>
      </w:r>
    </w:p>
    <w:p>
      <w:pPr>
        <w:pStyle w:val="ListBullet"/>
      </w:pPr>
      <w:r>
        <w:t>- Redirect immunotherapy R&amp;D toward vortex recalibration trials.</w:t>
      </w:r>
    </w:p>
    <w:p>
      <w:pPr>
        <w:pStyle w:val="ListBullet"/>
      </w:pPr>
      <w:r>
        <w:t>- Use NIH centers to benchmark epigenetic change from therapy.</w:t>
      </w:r>
    </w:p>
    <w:p>
      <w:pPr>
        <w:pStyle w:val="ListBullet"/>
      </w:pPr>
      <w:r>
        <w:t>Transition Methodology:</w:t>
      </w:r>
    </w:p>
    <w:p>
      <w:pPr>
        <w:pStyle w:val="ListBullet"/>
      </w:pPr>
      <w:r>
        <w:t>- Launch Right-to-Try pathways for vortex immunotherapy.</w:t>
      </w:r>
    </w:p>
    <w:p>
      <w:pPr>
        <w:pStyle w:val="ListBullet"/>
      </w:pPr>
      <w:r>
        <w:t>- Partner with NIAID for phased safety validation.</w:t>
      </w:r>
    </w:p>
    <w:p>
      <w:pPr>
        <w:pStyle w:val="Heading2"/>
      </w:pPr>
      <w:r>
        <w:t>Diabetes</w:t>
      </w:r>
    </w:p>
    <w:p>
      <w:pPr>
        <w:pStyle w:val="ListBullet"/>
      </w:pPr>
      <w:r>
        <w:t>Current Assets to Reallocate:</w:t>
      </w:r>
    </w:p>
    <w:p>
      <w:pPr>
        <w:pStyle w:val="ListBullet"/>
      </w:pPr>
      <w:r>
        <w:t>- Integrate islet cell regeneration with quantum reprogramming.</w:t>
      </w:r>
    </w:p>
    <w:p>
      <w:pPr>
        <w:pStyle w:val="ListBullet"/>
      </w:pPr>
      <w:r>
        <w:t>- Shift insulin development funds into AI-based beta cell protocols.</w:t>
      </w:r>
    </w:p>
    <w:p>
      <w:pPr>
        <w:pStyle w:val="ListBullet"/>
      </w:pPr>
      <w:r>
        <w:t>Transition Methodology:</w:t>
      </w:r>
    </w:p>
    <w:p>
      <w:pPr>
        <w:pStyle w:val="ListBullet"/>
      </w:pPr>
      <w:r>
        <w:t>- Launch AI-driven glucose harmonization trials.</w:t>
      </w:r>
    </w:p>
    <w:p>
      <w:pPr>
        <w:pStyle w:val="ListBullet"/>
      </w:pPr>
      <w:r>
        <w:t>- Collaborate with NIDDK for regulatory progression.</w:t>
      </w:r>
    </w:p>
    <w:p>
      <w:pPr>
        <w:pStyle w:val="Heading2"/>
      </w:pPr>
      <w:r>
        <w:t>Chronic Pain &amp; Inflammation</w:t>
      </w:r>
    </w:p>
    <w:p>
      <w:pPr>
        <w:pStyle w:val="ListBullet"/>
      </w:pPr>
      <w:r>
        <w:t>Current Assets to Reallocate:</w:t>
      </w:r>
    </w:p>
    <w:p>
      <w:pPr>
        <w:pStyle w:val="ListBullet"/>
      </w:pPr>
      <w:r>
        <w:t>- Expand clinics into neuromodulation centers using EMF.</w:t>
      </w:r>
    </w:p>
    <w:p>
      <w:pPr>
        <w:pStyle w:val="ListBullet"/>
      </w:pPr>
      <w:r>
        <w:t>- Replace long-term prescription models with regenerative therapy.</w:t>
      </w:r>
    </w:p>
    <w:p>
      <w:pPr>
        <w:pStyle w:val="ListBullet"/>
      </w:pPr>
      <w:r>
        <w:t>Transition Methodology:</w:t>
      </w:r>
    </w:p>
    <w:p>
      <w:pPr>
        <w:pStyle w:val="ListBullet"/>
      </w:pPr>
      <w:r>
        <w:t>- Launch pain reset pilots with VA and DoD funding.</w:t>
      </w:r>
    </w:p>
    <w:p>
      <w:pPr>
        <w:pStyle w:val="ListBullet"/>
      </w:pPr>
      <w:r>
        <w:t>- Track neuroregeneration outcomes through national registries.</w:t>
      </w:r>
    </w:p>
    <w:p>
      <w:pPr>
        <w:pStyle w:val="Heading2"/>
      </w:pPr>
      <w:r>
        <w:t>Infectious Diseases</w:t>
      </w:r>
    </w:p>
    <w:p>
      <w:pPr>
        <w:pStyle w:val="ListBullet"/>
      </w:pPr>
      <w:r>
        <w:t>Current Assets to Reallocate:</w:t>
      </w:r>
    </w:p>
    <w:p>
      <w:pPr>
        <w:pStyle w:val="ListBullet"/>
      </w:pPr>
      <w:r>
        <w:t>- Integrate CDC pathogen AI with quantum tracking.</w:t>
      </w:r>
    </w:p>
    <w:p>
      <w:pPr>
        <w:pStyle w:val="ListBullet"/>
      </w:pPr>
      <w:r>
        <w:t>- Test EMF immune optimizers in pathogen-prone zones.</w:t>
      </w:r>
    </w:p>
    <w:p>
      <w:pPr>
        <w:pStyle w:val="ListBullet"/>
      </w:pPr>
      <w:r>
        <w:t>Transition Methodology:</w:t>
      </w:r>
    </w:p>
    <w:p>
      <w:pPr>
        <w:pStyle w:val="ListBullet"/>
      </w:pPr>
      <w:r>
        <w:t>- Link to Project NextGen and deploy in biodefense frameworks.</w:t>
      </w:r>
    </w:p>
    <w:p>
      <w:pPr>
        <w:pStyle w:val="ListBullet"/>
      </w:pPr>
      <w:r>
        <w:t>- Use PHEMCE protocols for safe deployment.</w:t>
      </w:r>
    </w:p>
    <w:p>
      <w:pPr>
        <w:pStyle w:val="Heading2"/>
      </w:pPr>
      <w:r>
        <w:t>Mental Health Disorders</w:t>
      </w:r>
    </w:p>
    <w:p>
      <w:pPr>
        <w:pStyle w:val="ListBullet"/>
      </w:pPr>
      <w:r>
        <w:t>Current Assets to Reallocate:</w:t>
      </w:r>
    </w:p>
    <w:p>
      <w:pPr>
        <w:pStyle w:val="ListBullet"/>
      </w:pPr>
      <w:r>
        <w:t>- Repurpose behavioral health centers for brainwave harmonic research.</w:t>
      </w:r>
    </w:p>
    <w:p>
      <w:pPr>
        <w:pStyle w:val="ListBullet"/>
      </w:pPr>
      <w:r>
        <w:t>- Implement emotional field diagnostics in trauma treatment.</w:t>
      </w:r>
    </w:p>
    <w:p>
      <w:pPr>
        <w:pStyle w:val="ListBullet"/>
      </w:pPr>
      <w:r>
        <w:t>Transition Methodology:</w:t>
      </w:r>
    </w:p>
    <w:p>
      <w:pPr>
        <w:pStyle w:val="ListBullet"/>
      </w:pPr>
      <w:r>
        <w:t>- Integrate with SAMHSA trauma centers and DARPA neural programs.</w:t>
      </w:r>
    </w:p>
    <w:p>
      <w:pPr>
        <w:pStyle w:val="ListBullet"/>
      </w:pPr>
      <w:r>
        <w:t>- Track outcomes with cognitive recovery metrics.</w:t>
      </w:r>
    </w:p>
    <w:p>
      <w:r>
        <w:br w:type="page"/>
      </w:r>
    </w:p>
    <w:p>
      <w:pPr>
        <w:pStyle w:val="Heading1"/>
      </w:pPr>
      <w:r>
        <w:t>Validation &amp; Verification Methods</w:t>
      </w:r>
    </w:p>
    <w:p>
      <w:pPr>
        <w:pStyle w:val="ListBullet"/>
      </w:pPr>
      <w:r>
        <w:t>- EMF Pattern Lab Verification: Use biofield cameras, EEG, HRV, and genomic assays.</w:t>
      </w:r>
    </w:p>
    <w:p>
      <w:pPr>
        <w:pStyle w:val="ListBullet"/>
      </w:pPr>
      <w:r>
        <w:t>- Quantum Field Diagnostics: Evaluate coherence in tissue-level electromagnetic oscillations.</w:t>
      </w:r>
    </w:p>
    <w:p>
      <w:pPr>
        <w:pStyle w:val="ListBullet"/>
      </w:pPr>
      <w:r>
        <w:t>- AI Pattern Recognition: Train neural networks to identify healthy vs. disordered frequency signatures.</w:t>
      </w:r>
    </w:p>
    <w:p>
      <w:pPr>
        <w:pStyle w:val="ListBullet"/>
      </w:pPr>
      <w:r>
        <w:t>- Clinical Trial Design: Register via eXp-AIOS with OneKindScience oversight.</w:t>
      </w:r>
    </w:p>
    <w:p>
      <w:r>
        <w:br w:type="page"/>
      </w:r>
    </w:p>
    <w:p>
      <w:pPr>
        <w:pStyle w:val="Heading1"/>
      </w:pPr>
      <w:r>
        <w:t>Final Recommendations</w:t>
      </w:r>
    </w:p>
    <w:p>
      <w:pPr>
        <w:pStyle w:val="ListBullet"/>
      </w:pPr>
      <w:r>
        <w:t>1. Establish a 36-month transition track under NIH, DOD, and CDC innovation programs.</w:t>
      </w:r>
    </w:p>
    <w:p>
      <w:pPr>
        <w:pStyle w:val="ListBullet"/>
      </w:pPr>
      <w:r>
        <w:t>2. Cease overinvestment in degenerative pharmacologics and redirect 18%+ of funding.</w:t>
      </w:r>
    </w:p>
    <w:p>
      <w:pPr>
        <w:pStyle w:val="ListBullet"/>
      </w:pPr>
      <w:r>
        <w:t>3. Standardize harmonic pre-trial clinics in top 100 hospitals.</w:t>
      </w:r>
    </w:p>
    <w:p>
      <w:pPr>
        <w:pStyle w:val="ListBullet"/>
      </w:pPr>
      <w:r>
        <w:t>4. Issue a national directive to elevate bioelectric regeneration as a priority initiative.</w:t>
      </w:r>
    </w:p>
    <w:p>
      <w:r>
        <w:br w:type="page"/>
      </w:r>
    </w:p>
    <w:p>
      <w:pPr>
        <w:pStyle w:val="Heading1"/>
      </w:pPr>
      <w:r>
        <w:t>Appendices</w:t>
      </w:r>
    </w:p>
    <w:p>
      <w:pPr>
        <w:pStyle w:val="ListBullet"/>
      </w:pPr>
      <w:r>
        <w:t>Appendix A: Certification requirements for Quantum Bioelectric Labs.</w:t>
      </w:r>
    </w:p>
    <w:p>
      <w:pPr>
        <w:pStyle w:val="ListBullet"/>
      </w:pPr>
      <w:r>
        <w:t>Appendix B: Field Measurement Standards for Harmonic Frequencies.</w:t>
      </w:r>
    </w:p>
    <w:p>
      <w:pPr>
        <w:pStyle w:val="ListBullet"/>
      </w:pPr>
      <w:r>
        <w:t>Appendix C: AI Pattern Generation Architectures.</w:t>
      </w:r>
    </w:p>
    <w:p>
      <w:pPr>
        <w:pStyle w:val="ListBullet"/>
      </w:pPr>
      <w:r>
        <w:t>Appendix D: NIH/BARDA Transition Roadmaps.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