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Thank you to everyone that voted in person or online. A new slate of board members have been voted in along with approval for the updated bylaws.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are pleased to welcome Chris Lemay our newly elected President, Ginger Butler returning Treasurer, Lynn Beckley - Wicks Tract rep, Miriam ODonnell - Smith Tract rep and Ashley Rubacha our new Social Media Coordinator.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Vice-President and Secretary positions,  Tract representatives for Webster (2), Wicks (1) and Smith (1) along with 2 At-Large representatives positions are still open. If you are interested in volunteering please let us know.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Many thanks to Carl Donders who spearheaded the formation of the MLPC and brought much needed attention to our lake water quality. Without his initiative the progress we have made in this past year would not have happened. We look forward to continuing to work with him as a volunteer on individual MLPC projects that he is passionate about.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Our next quarterly meeting will occur on Tuesday October 11th @7pm via Zoom. The meeting link will be published across a variety of digital channels and via email at the beginning of October.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 other news congratulations to Tim Shawl who won the beautiful Moon Lake serving tray created and generously donated by Jason Gartland.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