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0BCA" w14:textId="77777777" w:rsidR="008B10D5" w:rsidRPr="008B10D5" w:rsidRDefault="008B10D5" w:rsidP="008B10D5">
      <w:pPr>
        <w:pStyle w:val="Heading1"/>
        <w:spacing w:before="480" w:after="0" w:line="276" w:lineRule="auto"/>
        <w:rPr>
          <w:b/>
          <w:bCs/>
          <w:kern w:val="0"/>
          <w:sz w:val="28"/>
          <w:szCs w:val="28"/>
          <w14:ligatures w14:val="none"/>
        </w:rPr>
      </w:pPr>
      <w:r w:rsidRPr="008B10D5">
        <w:rPr>
          <w:b/>
          <w:bCs/>
          <w:kern w:val="0"/>
          <w:sz w:val="28"/>
          <w:szCs w:val="28"/>
          <w14:ligatures w14:val="none"/>
        </w:rPr>
        <w:t>Whistleblower / Vigil Mechanism Policy – India</w:t>
      </w:r>
    </w:p>
    <w:p w14:paraId="3EA403B3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1. Purpose</w:t>
      </w:r>
    </w:p>
    <w:p w14:paraId="352EB029" w14:textId="77777777" w:rsidR="008B10D5" w:rsidRPr="008B10D5" w:rsidRDefault="008B10D5" w:rsidP="008B10D5">
      <w:pPr>
        <w:rPr>
          <w:rFonts w:ascii="Cambria" w:hAnsi="Cambria"/>
        </w:rPr>
      </w:pPr>
      <w:r w:rsidRPr="008B10D5">
        <w:rPr>
          <w:rFonts w:ascii="Cambria" w:hAnsi="Cambria"/>
        </w:rPr>
        <w:t>To establish a secure and transparent mechanism for employees and stakeholders to report unethical behavior, fraud, or violations of company policy without fear of retaliation.</w:t>
      </w:r>
    </w:p>
    <w:p w14:paraId="5B28EF55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2. Scope</w:t>
      </w:r>
    </w:p>
    <w:p w14:paraId="4C7272EF" w14:textId="77777777" w:rsidR="008B10D5" w:rsidRPr="008B10D5" w:rsidRDefault="008B10D5" w:rsidP="008B10D5">
      <w:pPr>
        <w:rPr>
          <w:rFonts w:ascii="Cambria" w:hAnsi="Cambria"/>
        </w:rPr>
      </w:pPr>
      <w:r w:rsidRPr="008B10D5">
        <w:rPr>
          <w:rFonts w:ascii="Cambria" w:hAnsi="Cambria"/>
        </w:rPr>
        <w:t>This policy applies to all employees, directors, consultants, vendors, and stakeholders associated with the company.</w:t>
      </w:r>
    </w:p>
    <w:p w14:paraId="5DB0199B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3. Definitions</w:t>
      </w:r>
    </w:p>
    <w:p w14:paraId="47D346E5" w14:textId="77777777" w:rsidR="008B10D5" w:rsidRPr="008B10D5" w:rsidRDefault="008B10D5" w:rsidP="008B10D5">
      <w:pPr>
        <w:numPr>
          <w:ilvl w:val="0"/>
          <w:numId w:val="1"/>
        </w:numPr>
        <w:rPr>
          <w:rFonts w:ascii="Cambria" w:hAnsi="Cambria"/>
        </w:rPr>
      </w:pPr>
      <w:r w:rsidRPr="008B10D5">
        <w:rPr>
          <w:rFonts w:ascii="Cambria" w:hAnsi="Cambria"/>
          <w:b/>
          <w:bCs/>
        </w:rPr>
        <w:t>Whistleblower</w:t>
      </w:r>
      <w:r w:rsidRPr="008B10D5">
        <w:rPr>
          <w:rFonts w:ascii="Cambria" w:hAnsi="Cambria"/>
        </w:rPr>
        <w:t>: Any person who reports suspected misconduct, malpractice, or violation.</w:t>
      </w:r>
    </w:p>
    <w:p w14:paraId="0F539523" w14:textId="77777777" w:rsidR="008B10D5" w:rsidRPr="008B10D5" w:rsidRDefault="008B10D5" w:rsidP="008B10D5">
      <w:pPr>
        <w:numPr>
          <w:ilvl w:val="0"/>
          <w:numId w:val="1"/>
        </w:numPr>
        <w:rPr>
          <w:rFonts w:ascii="Cambria" w:hAnsi="Cambria"/>
        </w:rPr>
      </w:pPr>
      <w:r w:rsidRPr="008B10D5">
        <w:rPr>
          <w:rFonts w:ascii="Cambria" w:hAnsi="Cambria"/>
          <w:b/>
          <w:bCs/>
        </w:rPr>
        <w:t xml:space="preserve">Protected Disclosure: </w:t>
      </w:r>
      <w:r w:rsidRPr="008B10D5">
        <w:rPr>
          <w:rFonts w:ascii="Cambria" w:hAnsi="Cambria"/>
        </w:rPr>
        <w:t>Any good faith communication regarding unethical or unlawful practices.</w:t>
      </w:r>
    </w:p>
    <w:p w14:paraId="148D204E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4. Reporting Mechanism</w:t>
      </w:r>
    </w:p>
    <w:p w14:paraId="051D19D8" w14:textId="77777777" w:rsidR="008B10D5" w:rsidRPr="008B10D5" w:rsidRDefault="008B10D5" w:rsidP="008B10D5">
      <w:pPr>
        <w:numPr>
          <w:ilvl w:val="0"/>
          <w:numId w:val="2"/>
        </w:numPr>
        <w:rPr>
          <w:rFonts w:ascii="Cambria" w:hAnsi="Cambria"/>
        </w:rPr>
      </w:pPr>
      <w:r w:rsidRPr="008B10D5">
        <w:rPr>
          <w:rFonts w:ascii="Cambria" w:hAnsi="Cambria"/>
        </w:rPr>
        <w:t>Concerns may be reported via email, hotline, or in writing to the Vigilance Officer / Ethics Committee.</w:t>
      </w:r>
    </w:p>
    <w:p w14:paraId="48752E36" w14:textId="77777777" w:rsidR="008B10D5" w:rsidRPr="008B10D5" w:rsidRDefault="008B10D5" w:rsidP="008B10D5">
      <w:pPr>
        <w:numPr>
          <w:ilvl w:val="0"/>
          <w:numId w:val="2"/>
        </w:numPr>
        <w:rPr>
          <w:rFonts w:ascii="Cambria" w:hAnsi="Cambria"/>
        </w:rPr>
      </w:pPr>
      <w:r w:rsidRPr="008B10D5">
        <w:rPr>
          <w:rFonts w:ascii="Cambria" w:hAnsi="Cambria"/>
        </w:rPr>
        <w:t>Anonymous disclosures will also be accepted, though providing details helps investigation.</w:t>
      </w:r>
    </w:p>
    <w:p w14:paraId="527AB70A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5. Confidentiality</w:t>
      </w:r>
    </w:p>
    <w:p w14:paraId="48CCEA47" w14:textId="77777777" w:rsidR="008B10D5" w:rsidRPr="008B10D5" w:rsidRDefault="008B10D5" w:rsidP="008B10D5">
      <w:pPr>
        <w:rPr>
          <w:rFonts w:ascii="Cambria" w:hAnsi="Cambria"/>
        </w:rPr>
      </w:pPr>
      <w:r w:rsidRPr="008B10D5">
        <w:rPr>
          <w:rFonts w:ascii="Cambria" w:hAnsi="Cambria"/>
        </w:rPr>
        <w:t>All disclosures will be treated as confidential and shared only with those responsible for investigation.</w:t>
      </w:r>
    </w:p>
    <w:p w14:paraId="784471FE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6. Protection Against Retaliation</w:t>
      </w:r>
    </w:p>
    <w:p w14:paraId="74D6130F" w14:textId="77777777" w:rsidR="008B10D5" w:rsidRPr="008B10D5" w:rsidRDefault="008B10D5" w:rsidP="008B10D5">
      <w:pPr>
        <w:numPr>
          <w:ilvl w:val="0"/>
          <w:numId w:val="2"/>
        </w:numPr>
        <w:rPr>
          <w:rFonts w:ascii="Cambria" w:hAnsi="Cambria"/>
        </w:rPr>
      </w:pPr>
      <w:r w:rsidRPr="008B10D5">
        <w:rPr>
          <w:rFonts w:ascii="Cambria" w:hAnsi="Cambria"/>
        </w:rPr>
        <w:t>No employee shall suffer harassment, retaliation, or adverse consequences for raising a concern in good faith.</w:t>
      </w:r>
    </w:p>
    <w:p w14:paraId="53A614F8" w14:textId="77777777" w:rsidR="008B10D5" w:rsidRPr="008B10D5" w:rsidRDefault="008B10D5" w:rsidP="008B10D5">
      <w:pPr>
        <w:numPr>
          <w:ilvl w:val="0"/>
          <w:numId w:val="2"/>
        </w:numPr>
        <w:rPr>
          <w:rFonts w:ascii="Cambria" w:hAnsi="Cambria"/>
        </w:rPr>
      </w:pPr>
      <w:r w:rsidRPr="008B10D5">
        <w:rPr>
          <w:rFonts w:ascii="Cambria" w:hAnsi="Cambria"/>
        </w:rPr>
        <w:t>Retaliation itself will be treated as misconduct.</w:t>
      </w:r>
    </w:p>
    <w:p w14:paraId="257F44F0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7. Investigation Process</w:t>
      </w:r>
    </w:p>
    <w:p w14:paraId="1E8472AC" w14:textId="77777777" w:rsidR="008B10D5" w:rsidRPr="008B10D5" w:rsidRDefault="008B10D5" w:rsidP="008B10D5">
      <w:pPr>
        <w:numPr>
          <w:ilvl w:val="0"/>
          <w:numId w:val="2"/>
        </w:numPr>
        <w:rPr>
          <w:rFonts w:ascii="Cambria" w:hAnsi="Cambria"/>
        </w:rPr>
      </w:pPr>
      <w:r w:rsidRPr="008B10D5">
        <w:rPr>
          <w:rFonts w:ascii="Cambria" w:hAnsi="Cambria"/>
        </w:rPr>
        <w:t>The Vigilance Officer / Ethics Committee will acknowledge the complaint within 7 days.</w:t>
      </w:r>
    </w:p>
    <w:p w14:paraId="5A2FEEE6" w14:textId="77777777" w:rsidR="008B10D5" w:rsidRPr="008B10D5" w:rsidRDefault="008B10D5" w:rsidP="008B10D5">
      <w:pPr>
        <w:numPr>
          <w:ilvl w:val="0"/>
          <w:numId w:val="2"/>
        </w:numPr>
        <w:rPr>
          <w:rFonts w:ascii="Cambria" w:hAnsi="Cambria"/>
        </w:rPr>
      </w:pPr>
      <w:r w:rsidRPr="008B10D5">
        <w:rPr>
          <w:rFonts w:ascii="Cambria" w:hAnsi="Cambria"/>
        </w:rPr>
        <w:t>An impartial investigation will be conducted and completed within a reasonable time frame.</w:t>
      </w:r>
    </w:p>
    <w:p w14:paraId="7BECD327" w14:textId="77777777" w:rsidR="008B10D5" w:rsidRPr="008B10D5" w:rsidRDefault="008B10D5" w:rsidP="008B10D5">
      <w:pPr>
        <w:numPr>
          <w:ilvl w:val="0"/>
          <w:numId w:val="2"/>
        </w:numPr>
        <w:rPr>
          <w:rFonts w:ascii="Cambria" w:hAnsi="Cambria"/>
        </w:rPr>
      </w:pPr>
      <w:r w:rsidRPr="008B10D5">
        <w:rPr>
          <w:rFonts w:ascii="Cambria" w:hAnsi="Cambria"/>
        </w:rPr>
        <w:t>Findings will be reported to management and corrective action taken if required.</w:t>
      </w:r>
    </w:p>
    <w:p w14:paraId="476D8B0F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lastRenderedPageBreak/>
        <w:t>8. Non-Compliance</w:t>
      </w:r>
    </w:p>
    <w:p w14:paraId="507C9D15" w14:textId="77777777" w:rsidR="008B10D5" w:rsidRPr="008B10D5" w:rsidRDefault="008B10D5" w:rsidP="001F3D87">
      <w:pPr>
        <w:rPr>
          <w:rFonts w:ascii="Cambria" w:hAnsi="Cambria"/>
        </w:rPr>
      </w:pPr>
      <w:r w:rsidRPr="008B10D5">
        <w:rPr>
          <w:rFonts w:ascii="Cambria" w:hAnsi="Cambria"/>
        </w:rPr>
        <w:t>Employees found guilty of retaliation or unethical practices will face disciplinary action, including termination.</w:t>
      </w:r>
    </w:p>
    <w:p w14:paraId="57A31847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9. Compliance with Laws</w:t>
      </w:r>
    </w:p>
    <w:p w14:paraId="26E739FB" w14:textId="77777777" w:rsidR="008B10D5" w:rsidRPr="008B10D5" w:rsidRDefault="008B10D5" w:rsidP="008B10D5">
      <w:pPr>
        <w:rPr>
          <w:rFonts w:ascii="Cambria" w:hAnsi="Cambria"/>
        </w:rPr>
      </w:pPr>
      <w:r w:rsidRPr="008B10D5">
        <w:rPr>
          <w:rFonts w:ascii="Cambria" w:hAnsi="Cambria"/>
        </w:rPr>
        <w:t>This policy aligns with:</w:t>
      </w:r>
    </w:p>
    <w:p w14:paraId="0FA81207" w14:textId="77777777" w:rsidR="008B10D5" w:rsidRPr="001F3D87" w:rsidRDefault="008B10D5" w:rsidP="001F3D87">
      <w:pPr>
        <w:numPr>
          <w:ilvl w:val="0"/>
          <w:numId w:val="2"/>
        </w:numPr>
        <w:rPr>
          <w:rFonts w:ascii="Cambria" w:hAnsi="Cambria"/>
        </w:rPr>
      </w:pPr>
      <w:r w:rsidRPr="001F3D87">
        <w:rPr>
          <w:rFonts w:ascii="Cambria" w:hAnsi="Cambria"/>
        </w:rPr>
        <w:t>Section 177 of the Companies Act, 2013 (applicable to certain companies)</w:t>
      </w:r>
    </w:p>
    <w:p w14:paraId="3DC840BA" w14:textId="77777777" w:rsidR="008B10D5" w:rsidRPr="001F3D87" w:rsidRDefault="008B10D5" w:rsidP="001F3D87">
      <w:pPr>
        <w:numPr>
          <w:ilvl w:val="0"/>
          <w:numId w:val="2"/>
        </w:numPr>
        <w:rPr>
          <w:rFonts w:ascii="Cambria" w:hAnsi="Cambria"/>
        </w:rPr>
      </w:pPr>
      <w:r w:rsidRPr="001F3D87">
        <w:rPr>
          <w:rFonts w:ascii="Cambria" w:hAnsi="Cambria"/>
        </w:rPr>
        <w:t>SEBI Listing Obligations and Disclosure Requirements (LODR)</w:t>
      </w:r>
    </w:p>
    <w:p w14:paraId="46680386" w14:textId="77777777" w:rsidR="008B10D5" w:rsidRPr="008B10D5" w:rsidRDefault="008B10D5" w:rsidP="008B10D5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8B10D5">
        <w:rPr>
          <w:b/>
          <w:bCs/>
          <w:color w:val="4472C4" w:themeColor="accent1"/>
          <w:kern w:val="0"/>
          <w:sz w:val="26"/>
          <w:szCs w:val="26"/>
          <w14:ligatures w14:val="none"/>
        </w:rPr>
        <w:t>10. Review &amp; Amendments</w:t>
      </w:r>
    </w:p>
    <w:p w14:paraId="1F5C115C" w14:textId="77777777" w:rsidR="008B10D5" w:rsidRPr="00D4731C" w:rsidRDefault="008B10D5" w:rsidP="008B10D5">
      <w:pPr>
        <w:rPr>
          <w:rFonts w:ascii="Cambria" w:hAnsi="Cambria"/>
        </w:rPr>
      </w:pPr>
      <w:r w:rsidRPr="00D4731C">
        <w:rPr>
          <w:rFonts w:ascii="Cambria" w:hAnsi="Cambria"/>
        </w:rPr>
        <w:t>This policy will be reviewed annually to ensure compliance with legal requirements and company ethics standards.</w:t>
      </w:r>
    </w:p>
    <w:p w14:paraId="7801ACD6" w14:textId="77777777" w:rsidR="00C06A5C" w:rsidRDefault="00C06A5C"/>
    <w:sectPr w:rsidR="00C0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056"/>
    <w:multiLevelType w:val="hybridMultilevel"/>
    <w:tmpl w:val="369C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3BE1"/>
    <w:multiLevelType w:val="multilevel"/>
    <w:tmpl w:val="D1E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06FC5"/>
    <w:multiLevelType w:val="multilevel"/>
    <w:tmpl w:val="66E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7276D"/>
    <w:multiLevelType w:val="multilevel"/>
    <w:tmpl w:val="862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504D6"/>
    <w:multiLevelType w:val="multilevel"/>
    <w:tmpl w:val="642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00C19"/>
    <w:multiLevelType w:val="multilevel"/>
    <w:tmpl w:val="BF6E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332700">
    <w:abstractNumId w:val="4"/>
  </w:num>
  <w:num w:numId="2" w16cid:durableId="1974368184">
    <w:abstractNumId w:val="3"/>
  </w:num>
  <w:num w:numId="3" w16cid:durableId="540242365">
    <w:abstractNumId w:val="1"/>
  </w:num>
  <w:num w:numId="4" w16cid:durableId="83066430">
    <w:abstractNumId w:val="2"/>
  </w:num>
  <w:num w:numId="5" w16cid:durableId="927157996">
    <w:abstractNumId w:val="5"/>
  </w:num>
  <w:num w:numId="6" w16cid:durableId="26130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D5"/>
    <w:rsid w:val="001A4D81"/>
    <w:rsid w:val="001F3D87"/>
    <w:rsid w:val="00270016"/>
    <w:rsid w:val="0027775F"/>
    <w:rsid w:val="00461CD2"/>
    <w:rsid w:val="008B10D5"/>
    <w:rsid w:val="00C06A5C"/>
    <w:rsid w:val="00D4731C"/>
    <w:rsid w:val="00E82B1B"/>
    <w:rsid w:val="00E94A4B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9BB6"/>
  <w15:chartTrackingRefBased/>
  <w15:docId w15:val="{E34A1A5F-0A97-446F-B336-18B56626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0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0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0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0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1</cp:revision>
  <dcterms:created xsi:type="dcterms:W3CDTF">2025-09-01T07:47:00Z</dcterms:created>
  <dcterms:modified xsi:type="dcterms:W3CDTF">2025-09-01T09:16:00Z</dcterms:modified>
</cp:coreProperties>
</file>