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Travel &amp; Expense Reimbursement Policy - India</w:t>
      </w:r>
    </w:p>
    <w:p>
      <w:pPr>
        <w:pStyle w:val="Heading2"/>
      </w:pPr>
      <w:r>
        <w:t>1. Purpose</w:t>
      </w:r>
    </w:p>
    <w:p>
      <w:r>
        <w:t>To define the rules and procedures for employee travel and expense reimbursements, ensuring transparency, cost control, and compliance with Indian laws.</w:t>
      </w:r>
    </w:p>
    <w:p>
      <w:pPr>
        <w:pStyle w:val="Heading2"/>
      </w:pPr>
      <w:r>
        <w:t>2. Scope</w:t>
      </w:r>
    </w:p>
    <w:p>
      <w:r>
        <w:t>This policy applies to all employees — permanent, probationary, contractual, interns — who incur travel or business expenses on behalf of the company.</w:t>
      </w:r>
    </w:p>
    <w:p>
      <w:pPr>
        <w:pStyle w:val="Heading2"/>
      </w:pPr>
      <w:r>
        <w:t>3. Eligible Expenses</w:t>
      </w:r>
    </w:p>
    <w:p>
      <w:r>
        <w:t>Reimbursable expenses include:</w:t>
        <w:br/>
        <w:t>- Travel costs (airfare, train, taxi, cab, mileage for personal car use)</w:t>
        <w:br/>
        <w:t>- Hotel/lodging expenses (within company-approved limits)</w:t>
        <w:br/>
        <w:t>- Meals and daily allowance during travel</w:t>
        <w:br/>
        <w:t>- Business-related communication costs (calls, internet, roaming charges)</w:t>
        <w:br/>
        <w:t>- Conference/workshop registration fees (if pre-approved)</w:t>
      </w:r>
    </w:p>
    <w:p>
      <w:pPr>
        <w:pStyle w:val="Heading2"/>
      </w:pPr>
      <w:r>
        <w:t>4. Non-Eligible Expenses</w:t>
      </w:r>
    </w:p>
    <w:p>
      <w:r>
        <w:t>The company will not reimburse:</w:t>
        <w:br/>
        <w:t>- Personal entertainment, alcohol, or leisure activities</w:t>
        <w:br/>
        <w:t>- Fines, penalties, or traffic challans</w:t>
        <w:br/>
        <w:t>- Family member expenses during business trips</w:t>
        <w:br/>
        <w:t>- Upgrades (business class travel, luxury hotels) unless pre-approved</w:t>
      </w:r>
    </w:p>
    <w:p>
      <w:pPr>
        <w:pStyle w:val="Heading2"/>
      </w:pPr>
      <w:r>
        <w:t>5. Travel Advances</w:t>
      </w:r>
    </w:p>
    <w:p>
      <w:r>
        <w:t>- Employees may request a travel advance with manager approval.</w:t>
        <w:br/>
        <w:t>- Advances must be settled within 7 working days of trip completion.</w:t>
      </w:r>
    </w:p>
    <w:p>
      <w:pPr>
        <w:pStyle w:val="Heading2"/>
      </w:pPr>
      <w:r>
        <w:t>6. Reimbursement Process</w:t>
      </w:r>
    </w:p>
    <w:p>
      <w:r>
        <w:t>- Employees must submit claims via the company’s expense reimbursement system or HR portal.</w:t>
        <w:br/>
        <w:t>- Claims must be supported by original receipts, invoices, or e-bills.</w:t>
        <w:br/>
        <w:t>- Reimbursement requests must be submitted within 30 days of travel.</w:t>
      </w:r>
    </w:p>
    <w:p>
      <w:pPr>
        <w:pStyle w:val="Heading2"/>
      </w:pPr>
      <w:r>
        <w:t>7. Mileage Reimbursement</w:t>
      </w:r>
    </w:p>
    <w:p>
      <w:r>
        <w:t>- Personal vehicle use for official travel will be reimbursed at company-approved mileage rates (e.g., ₹8/km for two-wheeler, ₹12/km for car).</w:t>
      </w:r>
    </w:p>
    <w:p>
      <w:pPr>
        <w:pStyle w:val="Heading2"/>
      </w:pPr>
      <w:r>
        <w:t>8. Tax Compliance</w:t>
      </w:r>
    </w:p>
    <w:p>
      <w:r>
        <w:t>- All reimbursements will comply with Indian Income Tax rules.</w:t>
        <w:br/>
        <w:t>- Employees must submit GST-compliant invoices wherever applicable.</w:t>
      </w:r>
    </w:p>
    <w:p>
      <w:pPr>
        <w:pStyle w:val="Heading2"/>
      </w:pPr>
      <w:r>
        <w:t>9. Exceptions</w:t>
      </w:r>
    </w:p>
    <w:p>
      <w:r>
        <w:t>Any exceptions to this policy must be approved in writing by the respective department head or HR.</w:t>
      </w:r>
    </w:p>
    <w:p>
      <w:pPr>
        <w:pStyle w:val="Heading2"/>
      </w:pPr>
      <w:r>
        <w:t>10. Review &amp; Amendments</w:t>
      </w:r>
    </w:p>
    <w:p>
      <w:r>
        <w:t>This policy will be reviewed annually and updated in line with business needs, tax laws, and compliance requirements.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