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nil" w:color="FFFFFF" w:sz="0"/>
              <w:left w:val="nil" w:color="FFFFFF" w:sz="0"/>
              <w:bottom w:val="nil" w:color="FFFFFF" w:sz="0"/>
              <w:right w:val="nil" w:color="FFFFFF" w:sz="0"/>
            </w:tcBorders>
            <w:shd w:fill="1B3A5C" w:val="clear"/>
            <w:tcMar>
              <w:top w:type="dxa" w:w="300"/>
              <w:left w:type="dxa" w:w="400"/>
              <w:bottom w:type="dxa" w:w="300"/>
              <w:right w:type="dxa" w:w="400"/>
            </w:tcMar>
          </w:tcPr>
          <w:p>
            <w:pPr>
              <w:spacing w:before="80" w:after="40"/>
              <w:jc w:val="center"/>
            </w:pPr>
            <w:r>
              <w:rPr>
                <w:rFonts w:ascii="Arial" w:cs="Arial" w:eastAsia="Arial" w:hAnsi="Arial"/>
                <w:b/>
                <w:bCs/>
                <w:color w:val="FFFFFF"/>
                <w:sz w:val="32"/>
                <w:szCs w:val="32"/>
              </w:rPr>
              <w:t xml:space="preserve">⚖️  INTELIGENCIA EMPRESARIAL — DOSSIER OSINT</w:t>
            </w:r>
          </w:p>
          <w:p>
            <w:pPr>
              <w:spacing w:before="40" w:after="40"/>
              <w:jc w:val="center"/>
            </w:pPr>
            <w:r>
              <w:rPr>
                <w:rFonts w:ascii="Arial" w:cs="Arial" w:eastAsia="Arial" w:hAnsi="Arial"/>
                <w:color w:val="A8C8E8"/>
                <w:sz w:val="24"/>
                <w:szCs w:val="24"/>
              </w:rPr>
              <w:t xml:space="preserve">INFORME COMPLETO  v2.1</w:t>
            </w:r>
          </w:p>
          <w:p>
            <w:pPr>
              <w:spacing w:before="80" w:after="40"/>
              <w:jc w:val="center"/>
            </w:pPr>
            <w:r>
              <w:rPr>
                <w:rFonts w:ascii="Arial" w:cs="Arial" w:eastAsia="Arial" w:hAnsi="Arial"/>
                <w:b/>
                <w:bCs/>
                <w:color w:val="F1C40F"/>
                <w:sz w:val="26"/>
                <w:szCs w:val="26"/>
              </w:rPr>
              <w:t xml:space="preserve">APEX GLOBAL VENTURES LLC</w:t>
            </w:r>
          </w:p>
          <w:p>
            <w:pPr>
              <w:spacing w:before="20" w:after="20"/>
              <w:jc w:val="center"/>
            </w:pPr>
            <w:r>
              <w:rPr>
                <w:rFonts w:ascii="Arial" w:cs="Arial" w:eastAsia="Arial" w:hAnsi="Arial"/>
                <w:i/>
                <w:iCs/>
                <w:color w:val="A8C8E8"/>
                <w:sz w:val="22"/>
                <w:szCs w:val="22"/>
              </w:rPr>
              <w:t xml:space="preserve">vs.</w:t>
            </w:r>
          </w:p>
          <w:p>
            <w:pPr>
              <w:spacing w:before="20" w:after="60"/>
              <w:jc w:val="center"/>
            </w:pPr>
            <w:r>
              <w:rPr>
                <w:rFonts w:ascii="Arial" w:cs="Arial" w:eastAsia="Arial" w:hAnsi="Arial"/>
                <w:b/>
                <w:bCs/>
                <w:color w:val="FFFFFF"/>
                <w:sz w:val="22"/>
                <w:szCs w:val="22"/>
              </w:rPr>
              <w:t xml:space="preserve">HVR HORIZONS LLC  ·  COASTAL RESIDENCES HVPC, SRL  ·  ROBERTO ALEJANDRO MONTOYA SALINAS</w:t>
            </w:r>
          </w:p>
          <w:p>
            <w:pPr>
              <w:spacing w:before="40" w:after="60"/>
              <w:jc w:val="center"/>
            </w:pPr>
            <w:r>
              <w:rPr>
                <w:rFonts w:ascii="Arial" w:cs="Arial" w:eastAsia="Arial" w:hAnsi="Arial"/>
                <w:i/>
                <w:iCs/>
                <w:color w:val="A8C8E8"/>
                <w:sz w:val="19"/>
                <w:szCs w:val="19"/>
              </w:rPr>
              <w:t xml:space="preserve">Exp. No. 2024-019901-CA-03  |  Div. CA 17  |  Tribunal de Circuito del Distrito Judicial Sur, Condado de Bahía Grande</w:t>
            </w:r>
          </w:p>
          <w:p>
            <w:pPr>
              <w:spacing w:before="20" w:after="40"/>
              <w:jc w:val="center"/>
            </w:pPr>
            <w:r>
              <w:rPr>
                <w:rFonts w:ascii="Arial" w:cs="Arial" w:eastAsia="Arial" w:hAnsi="Arial"/>
                <w:b/>
                <w:bCs/>
                <w:color w:val="F1C40F"/>
                <w:sz w:val="19"/>
                <w:szCs w:val="19"/>
              </w:rPr>
              <w:t xml:space="preserve">Marzo 2026  |  CONFIDENCIAL — USO RESTRINGIDO</w:t>
            </w:r>
          </w:p>
        </w:tc>
      </w:tr>
    </w:tbl>
    <w:p>
      <w:pPr>
        <w:spacing w:before="40"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72"/>
        <w:gridCol w:w="1872"/>
        <w:gridCol w:w="1872"/>
        <w:gridCol w:w="1872"/>
        <w:gridCol w:w="1872"/>
      </w:tblGrid>
      <w:tr>
        <w:tc>
          <w:tcPr>
            <w:tcBorders>
              <w:top w:val="nil" w:color="FFFFFF" w:sz="0"/>
              <w:left w:val="nil" w:color="FFFFFF" w:sz="0"/>
              <w:bottom w:val="nil" w:color="FFFFFF" w:sz="0"/>
              <w:right w:val="nil" w:color="FFFFFF" w:sz="0"/>
            </w:tcBorders>
            <w:shd w:fill="2E6DA4" w:val="clear"/>
            <w:tcMar>
              <w:top w:type="dxa" w:w="100"/>
              <w:left w:type="dxa" w:w="80"/>
              <w:bottom w:type="dxa" w:w="100"/>
              <w:right w:type="dxa" w:w="80"/>
            </w:tcMar>
          </w:tcPr>
          <w:p>
            <w:pPr>
              <w:spacing w:before="40" w:after="40"/>
              <w:jc w:val="center"/>
            </w:pPr>
            <w:r>
              <w:rPr>
                <w:rFonts w:ascii="Arial" w:cs="Arial" w:eastAsia="Arial" w:hAnsi="Arial"/>
                <w:b/>
                <w:bCs/>
                <w:color w:val="FFFFFF"/>
                <w:sz w:val="17"/>
                <w:szCs w:val="17"/>
              </w:rPr>
              <w:t xml:space="preserve">FILING
#
310145203
02 nov 2024</w:t>
            </w:r>
          </w:p>
        </w:tc>
        <w:tc>
          <w:tcPr>
            <w:tcBorders>
              <w:top w:val="nil" w:color="FFFFFF" w:sz="0"/>
              <w:left w:val="nil" w:color="FFFFFF" w:sz="0"/>
              <w:bottom w:val="nil" w:color="FFFFFF" w:sz="0"/>
              <w:right w:val="nil" w:color="FFFFFF" w:sz="0"/>
            </w:tcBorders>
            <w:shd w:fill="1B3A5C" w:val="clear"/>
            <w:tcMar>
              <w:top w:type="dxa" w:w="100"/>
              <w:left w:type="dxa" w:w="80"/>
              <w:bottom w:type="dxa" w:w="100"/>
              <w:right w:type="dxa" w:w="80"/>
            </w:tcMar>
          </w:tcPr>
          <w:p>
            <w:pPr>
              <w:spacing w:before="40" w:after="40"/>
              <w:jc w:val="center"/>
            </w:pPr>
            <w:r>
              <w:rPr>
                <w:rFonts w:ascii="Arial" w:cs="Arial" w:eastAsia="Arial" w:hAnsi="Arial"/>
                <w:b/>
                <w:bCs/>
                <w:color w:val="FFFFFF"/>
                <w:sz w:val="17"/>
                <w:szCs w:val="17"/>
              </w:rPr>
              <w:t xml:space="preserve">CASO
No.
2024-019901-CA-03
Div. CA 17</w:t>
            </w:r>
          </w:p>
        </w:tc>
        <w:tc>
          <w:tcPr>
            <w:tcBorders>
              <w:top w:val="nil" w:color="FFFFFF" w:sz="0"/>
              <w:left w:val="nil" w:color="FFFFFF" w:sz="0"/>
              <w:bottom w:val="nil" w:color="FFFFFF" w:sz="0"/>
              <w:right w:val="nil" w:color="FFFFFF" w:sz="0"/>
            </w:tcBorders>
            <w:shd w:fill="1E7A45" w:val="clear"/>
            <w:tcMar>
              <w:top w:type="dxa" w:w="100"/>
              <w:left w:type="dxa" w:w="80"/>
              <w:bottom w:type="dxa" w:w="100"/>
              <w:right w:type="dxa" w:w="80"/>
            </w:tcMar>
          </w:tcPr>
          <w:p>
            <w:pPr>
              <w:spacing w:before="40" w:after="40"/>
              <w:jc w:val="center"/>
            </w:pPr>
            <w:r>
              <w:rPr>
                <w:rFonts w:ascii="Arial" w:cs="Arial" w:eastAsia="Arial" w:hAnsi="Arial"/>
                <w:b/>
                <w:bCs/>
                <w:color w:val="FFFFFF"/>
                <w:sz w:val="17"/>
                <w:szCs w:val="17"/>
              </w:rPr>
              <w:t xml:space="preserve">USD
100K+
Monto
reclamado</w:t>
            </w:r>
          </w:p>
        </w:tc>
        <w:tc>
          <w:tcPr>
            <w:tcBorders>
              <w:top w:val="nil" w:color="FFFFFF" w:sz="0"/>
              <w:left w:val="nil" w:color="FFFFFF" w:sz="0"/>
              <w:bottom w:val="nil" w:color="FFFFFF" w:sz="0"/>
              <w:right w:val="nil" w:color="FFFFFF" w:sz="0"/>
            </w:tcBorders>
            <w:shd w:fill="C0392B" w:val="clear"/>
            <w:tcMar>
              <w:top w:type="dxa" w:w="100"/>
              <w:left w:type="dxa" w:w="80"/>
              <w:bottom w:type="dxa" w:w="100"/>
              <w:right w:type="dxa" w:w="80"/>
            </w:tcMar>
          </w:tcPr>
          <w:p>
            <w:pPr>
              <w:spacing w:before="40" w:after="40"/>
              <w:jc w:val="center"/>
            </w:pPr>
            <w:r>
              <w:rPr>
                <w:rFonts w:ascii="Arial" w:cs="Arial" w:eastAsia="Arial" w:hAnsi="Arial"/>
                <w:b/>
                <w:bCs/>
                <w:color w:val="FFFFFF"/>
                <w:sz w:val="17"/>
                <w:szCs w:val="17"/>
              </w:rPr>
              <w:t xml:space="preserve">HOTEL
4★
CERRADO
sep 25 – ago 26</w:t>
            </w:r>
          </w:p>
        </w:tc>
        <w:tc>
          <w:tcPr>
            <w:tcBorders>
              <w:top w:val="nil" w:color="FFFFFF" w:sz="0"/>
              <w:left w:val="nil" w:color="FFFFFF" w:sz="0"/>
              <w:bottom w:val="nil" w:color="FFFFFF" w:sz="0"/>
              <w:right w:val="nil" w:color="FFFFFF" w:sz="0"/>
            </w:tcBorders>
            <w:shd w:fill="7D3C98" w:val="clear"/>
            <w:tcMar>
              <w:top w:type="dxa" w:w="100"/>
              <w:left w:type="dxa" w:w="80"/>
              <w:bottom w:type="dxa" w:w="100"/>
              <w:right w:type="dxa" w:w="80"/>
            </w:tcMar>
          </w:tcPr>
          <w:p>
            <w:pPr>
              <w:spacing w:before="40" w:after="40"/>
              <w:jc w:val="center"/>
            </w:pPr>
            <w:r>
              <w:rPr>
                <w:rFonts w:ascii="Arial" w:cs="Arial" w:eastAsia="Arial" w:hAnsi="Arial"/>
                <w:b/>
                <w:bCs/>
                <w:color w:val="FFFFFF"/>
                <w:sz w:val="17"/>
                <w:szCs w:val="17"/>
              </w:rPr>
              <w:t xml:space="preserve">FCPA
1:21-CR-30174
DOJ EE.UU.</w:t>
            </w:r>
          </w:p>
        </w:tc>
      </w:tr>
    </w:tbl>
    <w:p>
      <w:pPr>
        <w:spacing w:before="40"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C0392B" w:sz="1"/>
              <w:left w:val="single" w:color="C0392B" w:sz="1"/>
              <w:bottom w:val="nil" w:color="C0392B" w:sz="0"/>
              <w:right w:val="single" w:color="C0392B" w:sz="1"/>
            </w:tcBorders>
            <w:shd w:fill="C0392B" w:val="clear"/>
            <w:tcMar>
              <w:top w:type="dxa" w:w="60"/>
              <w:left w:type="dxa" w:w="120"/>
              <w:bottom w:type="dxa" w:w="60"/>
              <w:right w:type="dxa" w:w="120"/>
            </w:tcMar>
          </w:tcPr>
          <w:p>
            <w:pPr>
              <w:spacing w:before="40" w:after="40"/>
            </w:pPr>
            <w:r>
              <w:rPr>
                <w:rFonts w:ascii="Arial" w:cs="Arial" w:eastAsia="Arial" w:hAnsi="Arial"/>
                <w:b/>
                <w:bCs/>
                <w:color w:val="FFFFFF"/>
                <w:sz w:val="20"/>
                <w:szCs w:val="20"/>
              </w:rPr>
              <w:t xml:space="preserve">🚨  NUEVO HALLAZGO CRÍTICO (v2.1): HVR Horizons es un hotel operativo CERRADO desde sep. 2025</w:t>
            </w:r>
          </w:p>
        </w:tc>
      </w:tr>
      <w:tr>
        <w:tc>
          <w:tcPr>
            <w:tcBorders>
              <w:top w:val="nil" w:color="C0392B" w:sz="0"/>
              <w:left w:val="single" w:color="C0392B" w:sz="1"/>
              <w:bottom w:val="single" w:color="C0392B" w:sz="1"/>
              <w:right w:val="single" w:color="C0392B" w:sz="1"/>
            </w:tcBorders>
            <w:shd w:fill="FDECEA" w:val="clear"/>
            <w:tcMar>
              <w:top w:type="dxa" w:w="100"/>
              <w:left w:type="dxa" w:w="160"/>
              <w:bottom w:type="dxa" w:w="100"/>
              <w:right w:type="dxa" w:w="160"/>
            </w:tcMar>
          </w:tcPr>
          <w:p>
            <w:pPr>
              <w:spacing w:before="40" w:after="40"/>
            </w:pPr>
            <w:r>
              <w:rPr>
                <w:rFonts w:ascii="Arial" w:cs="Arial" w:eastAsia="Arial" w:hAnsi="Arial"/>
                <w:color w:val="1A1A1A"/>
                <w:sz w:val="19"/>
                <w:szCs w:val="19"/>
              </w:rPr>
              <w:t xml:space="preserve">HVR Horizons (a/k/a Coastal Residences HVPC, SRL) es un hotel real de 4 estrellas con 150 habitaciones en Av. Gran Caribe Blvd, Puerto Dorado, listado en Expedia, Hotels.com y PriceTravel. El hotel está CERRADO desde el 12 de septiembre de 2025 hasta el 31 de agosto de 2026 (sujeto a cambios). El cierre ocurre menos de 10 meses después de la presentación de la demanda civil (2 nov. 2024). Esto eleva significativamente las hipótesis sobre la naturaleza del litigio: podría ser una disputa de inversión que provocó o está relacionada con el cierre operacional del hotel.</w:t>
            </w:r>
          </w:p>
        </w:tc>
      </w:tr>
    </w:tbl>
    <w:p>
      <w:pPr>
        <w:spacing w:before="40"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6DA4" w:sz="1"/>
              <w:left w:val="single" w:color="2E6DA4" w:sz="1"/>
              <w:bottom w:val="nil" w:color="2E6DA4" w:sz="0"/>
              <w:right w:val="single" w:color="2E6DA4" w:sz="1"/>
            </w:tcBorders>
            <w:shd w:fill="2E6DA4" w:val="clear"/>
            <w:tcMar>
              <w:top w:type="dxa" w:w="60"/>
              <w:left w:type="dxa" w:w="120"/>
              <w:bottom w:type="dxa" w:w="60"/>
              <w:right w:type="dxa" w:w="120"/>
            </w:tcMar>
          </w:tcPr>
          <w:p>
            <w:pPr>
              <w:spacing w:before="40" w:after="40"/>
            </w:pPr>
            <w:r>
              <w:rPr>
                <w:rFonts w:ascii="Arial" w:cs="Arial" w:eastAsia="Arial" w:hAnsi="Arial"/>
                <w:b/>
                <w:bCs/>
                <w:color w:val="FFFFFF"/>
                <w:sz w:val="20"/>
                <w:szCs w:val="20"/>
              </w:rPr>
              <w:t xml:space="preserve">🔍  CORRECCIÓN DATOS DEL CASO: Fecha real de presentación = 2 de noviembre de 2024</w:t>
            </w:r>
          </w:p>
        </w:tc>
      </w:tr>
      <w:tr>
        <w:tc>
          <w:tcPr>
            <w:tcBorders>
              <w:top w:val="nil" w:color="2E6DA4" w:sz="0"/>
              <w:left w:val="single" w:color="2E6DA4" w:sz="1"/>
              <w:bottom w:val="single" w:color="2E6DA4" w:sz="1"/>
              <w:right w:val="single" w:color="2E6DA4" w:sz="1"/>
            </w:tcBorders>
            <w:shd w:fill="D0E4F7" w:val="clear"/>
            <w:tcMar>
              <w:top w:type="dxa" w:w="100"/>
              <w:left w:type="dxa" w:w="160"/>
              <w:bottom w:type="dxa" w:w="100"/>
              <w:right w:type="dxa" w:w="160"/>
            </w:tcMar>
          </w:tcPr>
          <w:p>
            <w:pPr>
              <w:spacing w:before="40" w:after="40"/>
            </w:pPr>
            <w:r>
              <w:rPr>
                <w:rFonts w:ascii="Arial" w:cs="Arial" w:eastAsia="Arial" w:hAnsi="Arial"/>
                <w:color w:val="1A1A1A"/>
                <w:sz w:val="19"/>
                <w:szCs w:val="19"/>
              </w:rPr>
              <w:t xml:space="preserve">El informe preliminar indicó la fecha de presentación como 1 de octubre de 2024. El expediente real muestra: Filing # 310145203, E-Filed 11/02/2024 04:52:17 PM. La presentación fue el 2 de noviembre de 2024, no octubre. Adicionalmente, el nombre del demandante en el expediente es 'APEX GLOBAL VENTURES LLC' — puede ser error tipográfico o el nombre real registrado.</w:t>
            </w:r>
          </w:p>
        </w:tc>
      </w:tr>
    </w:tbl>
    <w:p>
      <w:pPr>
        <w:spacing w:before="40" w:after="40"/>
      </w:pPr>
    </w:p>
    <w:p>
      <w:pPr>
        <w:pStyle w:val="Heading1"/>
        <w:pBdr>
          <w:bottom w:val="single" w:color="2E6DA4" w:sz="8" w:space="6"/>
        </w:pBdr>
        <w:spacing w:before="360" w:after="120"/>
      </w:pPr>
      <w:r>
        <w:rPr>
          <w:rFonts w:ascii="Arial" w:cs="Arial" w:eastAsia="Arial" w:hAnsi="Arial"/>
          <w:b/>
          <w:bCs/>
          <w:color w:val="1B3A5C"/>
          <w:sz w:val="28"/>
          <w:szCs w:val="28"/>
        </w:rPr>
        <w:t xml:space="preserve">PARTE I — EXPEDIENTE JUDICIAL VERIFICADO</w:t>
      </w:r>
    </w:p>
    <w:p>
      <w:pPr>
        <w:pStyle w:val="Heading2"/>
        <w:spacing w:before="240" w:after="80"/>
      </w:pPr>
      <w:r>
        <w:rPr>
          <w:rFonts w:ascii="Arial" w:cs="Arial" w:eastAsia="Arial" w:hAnsi="Arial"/>
          <w:b/>
          <w:bCs/>
          <w:color w:val="2E6DA4"/>
          <w:sz w:val="24"/>
          <w:szCs w:val="24"/>
        </w:rPr>
        <w:t xml:space="preserve">1.1 Datos Procesales Completos del Caso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D5D8DC" w:sz="1"/>
              <w:left w:val="single" w:color="D5D8DC" w:sz="1"/>
              <w:bottom w:val="single" w:color="D5D8DC" w:sz="1"/>
              <w:right w:val="single" w:color="D5D8DC" w:sz="1"/>
            </w:tcBorders>
            <w:shd w:fill="2E6DA4" w:val="clear"/>
            <w:tcMar>
              <w:top w:type="dxa" w:w="60"/>
              <w:left w:type="dxa" w:w="120"/>
              <w:bottom w:type="dxa" w:w="60"/>
              <w:right w:type="dxa" w:w="120"/>
            </w:tcMar>
          </w:tcPr>
          <w:p>
            <w:pPr>
              <w:spacing w:before="40" w:after="40"/>
            </w:pPr>
            <w:r>
              <w:rPr>
                <w:rFonts w:ascii="Arial" w:cs="Arial" w:eastAsia="Arial" w:hAnsi="Arial"/>
                <w:b/>
                <w:bCs/>
                <w:color w:val="FFFFFF"/>
                <w:sz w:val="19"/>
                <w:szCs w:val="19"/>
              </w:rPr>
              <w:t xml:space="preserve">CAMPO</w:t>
            </w:r>
          </w:p>
        </w:tc>
        <w:tc>
          <w:tcPr>
            <w:tcW w:type="dxa" w:w="6360"/>
            <w:tcBorders>
              <w:top w:val="single" w:color="D5D8DC" w:sz="1"/>
              <w:left w:val="single" w:color="D5D8DC" w:sz="1"/>
              <w:bottom w:val="single" w:color="D5D8DC" w:sz="1"/>
              <w:right w:val="single" w:color="D5D8DC" w:sz="1"/>
            </w:tcBorders>
            <w:shd w:fill="2E6DA4" w:val="clear"/>
            <w:tcMar>
              <w:top w:type="dxa" w:w="60"/>
              <w:left w:type="dxa" w:w="120"/>
              <w:bottom w:type="dxa" w:w="60"/>
              <w:right w:type="dxa" w:w="120"/>
            </w:tcMar>
          </w:tcPr>
          <w:p>
            <w:pPr>
              <w:spacing w:before="40" w:after="40"/>
            </w:pPr>
            <w:r>
              <w:rPr>
                <w:rFonts w:ascii="Arial" w:cs="Arial" w:eastAsia="Arial" w:hAnsi="Arial"/>
                <w:color w:val="FFFFFF"/>
                <w:sz w:val="19"/>
                <w:szCs w:val="19"/>
              </w:rPr>
              <w:t xml:space="preserve">DATO VERIFICADO EN EXPEDIENTE</w:t>
            </w:r>
          </w:p>
        </w:tc>
      </w:tr>
      <w:tr>
        <w:tc>
          <w:tcPr>
            <w:tcW w:type="dxa" w:w="30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Filing #</w:t>
            </w:r>
          </w:p>
        </w:tc>
        <w:tc>
          <w:tcPr>
            <w:tcW w:type="dxa" w:w="63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310145203</w:t>
            </w:r>
          </w:p>
        </w:tc>
      </w:tr>
      <w:tr>
        <w:tc>
          <w:tcPr>
            <w:tcW w:type="dxa" w:w="30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Fecha E-Filed</w:t>
            </w:r>
          </w:p>
        </w:tc>
        <w:tc>
          <w:tcPr>
            <w:tcW w:type="dxa" w:w="63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11/02/2024 — 4:52:17 PM (2 de noviembre de 2024)</w:t>
            </w:r>
          </w:p>
        </w:tc>
      </w:tr>
      <w:tr>
        <w:tc>
          <w:tcPr>
            <w:tcW w:type="dxa" w:w="30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Tribunal</w:t>
            </w:r>
          </w:p>
        </w:tc>
        <w:tc>
          <w:tcPr>
            <w:tcW w:type="dxa" w:w="63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In the Circuit Court, Eleventh Judicial District, in and for Bahía Grande County</w:t>
            </w:r>
          </w:p>
        </w:tc>
      </w:tr>
      <w:tr>
        <w:tc>
          <w:tcPr>
            <w:tcW w:type="dxa" w:w="30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Case No.</w:t>
            </w:r>
          </w:p>
        </w:tc>
        <w:tc>
          <w:tcPr>
            <w:tcW w:type="dxa" w:w="63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2024-019901-CA-03</w:t>
            </w:r>
          </w:p>
        </w:tc>
      </w:tr>
      <w:tr>
        <w:tc>
          <w:tcPr>
            <w:tcW w:type="dxa" w:w="30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División</w:t>
            </w:r>
          </w:p>
        </w:tc>
        <w:tc>
          <w:tcPr>
            <w:tcW w:type="dxa" w:w="63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CA 17 (Cámara Civil, División 17)</w:t>
            </w:r>
          </w:p>
        </w:tc>
      </w:tr>
      <w:tr>
        <w:tc>
          <w:tcPr>
            <w:tcW w:type="dxa" w:w="30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Tipo de caso</w:t>
            </w:r>
          </w:p>
        </w:tc>
        <w:tc>
          <w:tcPr>
            <w:tcW w:type="dxa" w:w="63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Demanda civil — Incumplimiento de Contrato / Responsabilidad Civil / Daños y Perjuicios</w:t>
            </w:r>
          </w:p>
        </w:tc>
      </w:tr>
      <w:tr>
        <w:tc>
          <w:tcPr>
            <w:tcW w:type="dxa" w:w="30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Monto reclamado</w:t>
            </w:r>
          </w:p>
        </w:tc>
        <w:tc>
          <w:tcPr>
            <w:tcW w:type="dxa" w:w="63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Superior a USD 100,000 (más honorarios, intereses y costas procesales)</w:t>
            </w:r>
          </w:p>
        </w:tc>
      </w:tr>
      <w:tr>
        <w:tc>
          <w:tcPr>
            <w:tcW w:type="dxa" w:w="30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Demandante (Plaintiff)</w:t>
            </w:r>
          </w:p>
        </w:tc>
        <w:tc>
          <w:tcPr>
            <w:tcW w:type="dxa" w:w="63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APEX GLOBAL VENTURES LLC  ⚠️ Pendiente verificación de nombre exacto registrado</w:t>
            </w:r>
          </w:p>
        </w:tc>
      </w:tr>
      <w:tr>
        <w:tc>
          <w:tcPr>
            <w:tcW w:type="dxa" w:w="30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Demandados (Defendants)</w:t>
            </w:r>
          </w:p>
        </w:tc>
        <w:tc>
          <w:tcPr>
            <w:tcW w:type="dxa" w:w="63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(1) HVR HORIZONS LLC, a/k/a Coastal Residences HVR, a/k/a COASTAL RESIDENCES HVPC, SRL
(2) ROBERTO ALEJANDRO MONTOYA SALINAS</w:t>
            </w:r>
          </w:p>
        </w:tc>
      </w:tr>
    </w:tbl>
    <w:p>
      <w:pPr>
        <w:spacing w:before="40" w:after="40"/>
      </w:pPr>
    </w:p>
    <w:p>
      <w:pPr>
        <w:pStyle w:val="Heading2"/>
        <w:spacing w:before="240" w:after="80"/>
      </w:pPr>
      <w:r>
        <w:rPr>
          <w:rFonts w:ascii="Arial" w:cs="Arial" w:eastAsia="Arial" w:hAnsi="Arial"/>
          <w:b/>
          <w:bCs/>
          <w:color w:val="2E6DA4"/>
          <w:sz w:val="24"/>
          <w:szCs w:val="24"/>
        </w:rPr>
        <w:t xml:space="preserve">1.2 Análisis del Encabezado del Expediente — Hallazgos Clave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E67E22" w:sz="1"/>
              <w:left w:val="single" w:color="E67E22" w:sz="1"/>
              <w:bottom w:val="nil" w:color="E67E22" w:sz="0"/>
              <w:right w:val="single" w:color="E67E22" w:sz="1"/>
            </w:tcBorders>
            <w:shd w:fill="E67E22" w:val="clear"/>
            <w:tcMar>
              <w:top w:type="dxa" w:w="60"/>
              <w:left w:type="dxa" w:w="120"/>
              <w:bottom w:type="dxa" w:w="60"/>
              <w:right w:type="dxa" w:w="120"/>
            </w:tcMar>
          </w:tcPr>
          <w:p>
            <w:pPr>
              <w:spacing w:before="40" w:after="40"/>
            </w:pPr>
            <w:r>
              <w:rPr>
                <w:rFonts w:ascii="Arial" w:cs="Arial" w:eastAsia="Arial" w:hAnsi="Arial"/>
                <w:b/>
                <w:bCs/>
                <w:color w:val="FFFFFF"/>
                <w:sz w:val="20"/>
                <w:szCs w:val="20"/>
              </w:rPr>
              <w:t xml:space="preserve">🔑  HALLAZGO: Las tres entidades son la MISMA empresa bajo distintos nombres</w:t>
            </w:r>
          </w:p>
        </w:tc>
      </w:tr>
      <w:tr>
        <w:tc>
          <w:tcPr>
            <w:tcBorders>
              <w:top w:val="nil" w:color="E67E22" w:sz="0"/>
              <w:left w:val="single" w:color="E67E22" w:sz="1"/>
              <w:bottom w:val="single" w:color="E67E22" w:sz="1"/>
              <w:right w:val="single" w:color="E67E22" w:sz="1"/>
            </w:tcBorders>
            <w:shd w:fill="FEF9E7" w:val="clear"/>
            <w:tcMar>
              <w:top w:type="dxa" w:w="100"/>
              <w:left w:type="dxa" w:w="160"/>
              <w:bottom w:type="dxa" w:w="100"/>
              <w:right w:type="dxa" w:w="160"/>
            </w:tcMar>
          </w:tcPr>
          <w:p>
            <w:pPr>
              <w:spacing w:before="40" w:after="40"/>
            </w:pPr>
            <w:r>
              <w:rPr>
                <w:rFonts w:ascii="Arial" w:cs="Arial" w:eastAsia="Arial" w:hAnsi="Arial"/>
                <w:color w:val="1A1A1A"/>
                <w:sz w:val="19"/>
                <w:szCs w:val="19"/>
              </w:rPr>
              <w:t xml:space="preserve">El expediente identifica al primer demandado como: 'HVR HORIZONS LLC, a/k/a Coastal Residences HVR, a/k/a COASTAL RESIDENCES HVPC, SRL'. Esto confirma que la LLC y la SRL son tratadas legalmente como la misma entidad o están tan integradas que el demandante las agrupa bajo un solo defendant. Para el demandante, no hay distinción entre la entidad extranjera y la local — ambas son co-responsables de la misma obligación.</w:t>
            </w:r>
          </w:p>
        </w:tc>
      </w:tr>
    </w:tbl>
    <w:p>
      <w:pPr>
        <w:spacing w:before="40" w:after="40"/>
      </w:pPr>
    </w:p>
    <w:p>
      <w:pPr>
        <w:pStyle w:val="Heading1"/>
        <w:pBdr>
          <w:bottom w:val="single" w:color="2E6DA4" w:sz="8" w:space="6"/>
        </w:pBdr>
        <w:spacing w:before="360" w:after="120"/>
      </w:pPr>
      <w:r>
        <w:rPr>
          <w:rFonts w:ascii="Arial" w:cs="Arial" w:eastAsia="Arial" w:hAnsi="Arial"/>
          <w:b/>
          <w:bCs/>
          <w:color w:val="1B3A5C"/>
          <w:sz w:val="28"/>
          <w:szCs w:val="28"/>
        </w:rPr>
        <w:t xml:space="preserve">PARTE II — HVR HORIZONS: EL HOTEL REAL (HALLAZGO NUEVO)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2E6DA4" w:sz="1"/>
              <w:left w:val="single" w:color="2E6DA4" w:sz="1"/>
              <w:bottom w:val="nil" w:color="2E6DA4" w:sz="0"/>
              <w:right w:val="single" w:color="2E6DA4" w:sz="1"/>
            </w:tcBorders>
            <w:shd w:fill="2E6DA4" w:val="clear"/>
            <w:tcMar>
              <w:top w:type="dxa" w:w="60"/>
              <w:left w:type="dxa" w:w="120"/>
              <w:bottom w:type="dxa" w:w="60"/>
              <w:right w:type="dxa" w:w="120"/>
            </w:tcMar>
          </w:tcPr>
          <w:p>
            <w:pPr>
              <w:spacing w:before="40" w:after="40"/>
            </w:pPr>
            <w:r>
              <w:rPr>
                <w:rFonts w:ascii="Arial" w:cs="Arial" w:eastAsia="Arial" w:hAnsi="Arial"/>
                <w:b/>
                <w:bCs/>
                <w:color w:val="FFFFFF"/>
                <w:sz w:val="20"/>
                <w:szCs w:val="20"/>
              </w:rPr>
              <w:t xml:space="preserve">🏨  HALLAZGO CENTRAL v2.1: HVR Horizons es un hotel de 4 estrellas OPERATIVO (hoy CERRADO)</w:t>
            </w:r>
          </w:p>
        </w:tc>
      </w:tr>
      <w:tr>
        <w:tc>
          <w:tcPr>
            <w:tcBorders>
              <w:top w:val="nil" w:color="2E6DA4" w:sz="0"/>
              <w:left w:val="single" w:color="2E6DA4" w:sz="1"/>
              <w:bottom w:val="single" w:color="2E6DA4" w:sz="1"/>
              <w:right w:val="single" w:color="2E6DA4" w:sz="1"/>
            </w:tcBorders>
            <w:shd w:fill="D0E4F7" w:val="clear"/>
            <w:tcMar>
              <w:top w:type="dxa" w:w="100"/>
              <w:left w:type="dxa" w:w="160"/>
              <w:bottom w:type="dxa" w:w="100"/>
              <w:right w:type="dxa" w:w="160"/>
            </w:tcMar>
          </w:tcPr>
          <w:p>
            <w:pPr>
              <w:spacing w:before="40" w:after="40"/>
            </w:pPr>
            <w:r>
              <w:rPr>
                <w:rFonts w:ascii="Arial" w:cs="Arial" w:eastAsia="Arial" w:hAnsi="Arial"/>
                <w:color w:val="1A1A1A"/>
                <w:sz w:val="19"/>
                <w:szCs w:val="19"/>
              </w:rPr>
              <w:t xml:space="preserve">HVR Horizons NO es solo una holding company o vehículo jurídico. Es un hotel real, de 4 estrellas, con 150 habitaciones, listado y reseñado en Expedia, Hotels.com y PriceTravel. Esto cambia la naturaleza del litigio: el demandante Apex Global probablemente invirtió en este hotel y reclama por incumplimiento de promesas de retorno, entrega de unidades, operación del proyecto o distribución de ingresos hoteleros.</w:t>
            </w:r>
          </w:p>
        </w:tc>
      </w:tr>
    </w:tbl>
    <w:p>
      <w:pPr>
        <w:spacing w:before="40" w:after="40"/>
      </w:pPr>
    </w:p>
    <w:p>
      <w:pPr>
        <w:pStyle w:val="Heading2"/>
        <w:spacing w:before="240" w:after="80"/>
      </w:pPr>
      <w:r>
        <w:rPr>
          <w:rFonts w:ascii="Arial" w:cs="Arial" w:eastAsia="Arial" w:hAnsi="Arial"/>
          <w:b/>
          <w:bCs/>
          <w:color w:val="2E6DA4"/>
          <w:sz w:val="24"/>
          <w:szCs w:val="24"/>
        </w:rPr>
        <w:t xml:space="preserve">2.1 Ficha del Hotel HVR Horizons (Coastal Residences Puerto Dorado)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D5D8DC" w:sz="1"/>
              <w:left w:val="single" w:color="D5D8DC" w:sz="1"/>
              <w:bottom w:val="single" w:color="D5D8DC" w:sz="1"/>
              <w:right w:val="single" w:color="D5D8DC" w:sz="1"/>
            </w:tcBorders>
            <w:shd w:fill="2E6DA4" w:val="clear"/>
            <w:tcMar>
              <w:top w:type="dxa" w:w="60"/>
              <w:left w:type="dxa" w:w="120"/>
              <w:bottom w:type="dxa" w:w="60"/>
              <w:right w:type="dxa" w:w="120"/>
            </w:tcMar>
          </w:tcPr>
          <w:p>
            <w:pPr>
              <w:spacing w:before="40" w:after="40"/>
            </w:pPr>
            <w:r>
              <w:rPr>
                <w:rFonts w:ascii="Arial" w:cs="Arial" w:eastAsia="Arial" w:hAnsi="Arial"/>
                <w:b/>
                <w:bCs/>
                <w:color w:val="FFFFFF"/>
                <w:sz w:val="19"/>
                <w:szCs w:val="19"/>
              </w:rPr>
              <w:t xml:space="preserve">CAMPO</w:t>
            </w:r>
          </w:p>
        </w:tc>
        <w:tc>
          <w:tcPr>
            <w:tcW w:type="dxa" w:w="6360"/>
            <w:tcBorders>
              <w:top w:val="single" w:color="D5D8DC" w:sz="1"/>
              <w:left w:val="single" w:color="D5D8DC" w:sz="1"/>
              <w:bottom w:val="single" w:color="D5D8DC" w:sz="1"/>
              <w:right w:val="single" w:color="D5D8DC" w:sz="1"/>
            </w:tcBorders>
            <w:shd w:fill="2E6DA4" w:val="clear"/>
            <w:tcMar>
              <w:top w:type="dxa" w:w="60"/>
              <w:left w:type="dxa" w:w="120"/>
              <w:bottom w:type="dxa" w:w="60"/>
              <w:right w:type="dxa" w:w="120"/>
            </w:tcMar>
          </w:tcPr>
          <w:p>
            <w:pPr>
              <w:spacing w:before="40" w:after="40"/>
            </w:pPr>
            <w:r>
              <w:rPr>
                <w:rFonts w:ascii="Arial" w:cs="Arial" w:eastAsia="Arial" w:hAnsi="Arial"/>
                <w:color w:val="FFFFFF"/>
                <w:sz w:val="19"/>
                <w:szCs w:val="19"/>
              </w:rPr>
              <w:t xml:space="preserve">DATO VERIFICADO (EXPEDIA / HOTELS.COM)</w:t>
            </w:r>
          </w:p>
        </w:tc>
      </w:tr>
      <w:tr>
        <w:tc>
          <w:tcPr>
            <w:tcW w:type="dxa" w:w="30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Nombre en OTAs</w:t>
            </w:r>
          </w:p>
        </w:tc>
        <w:tc>
          <w:tcPr>
            <w:tcW w:type="dxa" w:w="63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HVR Horizons / Coastal Residences Puerto Dorado</w:t>
            </w:r>
          </w:p>
        </w:tc>
      </w:tr>
      <w:tr>
        <w:tc>
          <w:tcPr>
            <w:tcW w:type="dxa" w:w="30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Clasificación</w:t>
            </w:r>
          </w:p>
        </w:tc>
        <w:tc>
          <w:tcPr>
            <w:tcW w:type="dxa" w:w="63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 (4 estrellas) — Upscale family-friendly hotel</w:t>
            </w:r>
          </w:p>
        </w:tc>
      </w:tr>
      <w:tr>
        <w:tc>
          <w:tcPr>
            <w:tcW w:type="dxa" w:w="30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Dirección</w:t>
            </w:r>
          </w:p>
        </w:tc>
        <w:tc>
          <w:tcPr>
            <w:tcW w:type="dxa" w:w="63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Av. Gran Caribe Blvd, Puerto Dorado, Provincia La Marina, 24000, República Caribeña</w:t>
            </w:r>
          </w:p>
        </w:tc>
      </w:tr>
      <w:tr>
        <w:tc>
          <w:tcPr>
            <w:tcW w:type="dxa" w:w="30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Habitaciones</w:t>
            </w:r>
          </w:p>
        </w:tc>
        <w:tc>
          <w:tcPr>
            <w:tcW w:type="dxa" w:w="63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150 habitaciones — todas tipo suite/apartamento con cocina completa (refrigerador, microondas, estufa, utensilios). Opción chef personal.</w:t>
            </w:r>
          </w:p>
        </w:tc>
      </w:tr>
      <w:tr>
        <w:tc>
          <w:tcPr>
            <w:tcW w:type="dxa" w:w="30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Amenidades</w:t>
            </w:r>
          </w:p>
        </w:tc>
        <w:tc>
          <w:tcPr>
            <w:tcW w:type="dxa" w:w="63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Piscina exterior, spa (masajes piedra caliente, fango, sauna, jacuzzi, sala de parejas), café, tienda de conveniencia, salón de belleza, playground, bicicletas en renta, guardería con cargo, recepción 24h, bodas y eventos, estacionamiento gratuito, WiFi gratis, pet-friendly</w:t>
            </w:r>
          </w:p>
        </w:tc>
      </w:tr>
      <w:tr>
        <w:tc>
          <w:tcPr>
            <w:tcW w:type="dxa" w:w="30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Ubicación relativa</w:t>
            </w:r>
          </w:p>
        </w:tc>
        <w:tc>
          <w:tcPr>
            <w:tcW w:type="dxa" w:w="63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2 minutos del Downtown Puerto Dorado (complejo matriz). 8 minutos del Club de Golf Palmeras. 10 km de Playa Coral. 18 min del Aeropuerto Internacional PDO.</w:t>
            </w:r>
          </w:p>
        </w:tc>
      </w:tr>
      <w:tr>
        <w:tc>
          <w:tcPr>
            <w:tcW w:type="dxa" w:w="30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ID en plataformas</w:t>
            </w:r>
          </w:p>
        </w:tc>
        <w:tc>
          <w:tcPr>
            <w:tcW w:type="dxa" w:w="63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Expedia: h91266710 — Hotels.com: ho3192840115</w:t>
            </w:r>
          </w:p>
        </w:tc>
      </w:tr>
      <w:tr>
        <w:tc>
          <w:tcPr>
            <w:tcW w:type="dxa" w:w="30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STATUS ACTUAL</w:t>
            </w:r>
          </w:p>
        </w:tc>
        <w:tc>
          <w:tcPr>
            <w:tcW w:type="dxa" w:w="63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 CERRADO desde el 12 de septiembre de 2025 hasta el 31 de agosto de 2026 (sujeto a cambios). Closure anunciada en plataformas OTA. El hotel NO está operativo actualmente.</w:t>
            </w:r>
          </w:p>
        </w:tc>
      </w:tr>
      <w:tr>
        <w:tc>
          <w:tcPr>
            <w:tcW w:type="dxa" w:w="30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Relación con complejo</w:t>
            </w:r>
          </w:p>
        </w:tc>
        <w:tc>
          <w:tcPr>
            <w:tcW w:type="dxa" w:w="63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El hotel forma parte del ecosistema Downtown Puerto Dorado. Es el componente residencial/hotelero del mega-complejo turístico liderado por la familia Herrera Blanco + Montoya Salinas.</w:t>
            </w:r>
          </w:p>
        </w:tc>
      </w:tr>
    </w:tbl>
    <w:p>
      <w:pPr>
        <w:spacing w:before="40" w:after="40"/>
      </w:pPr>
    </w:p>
    <w:p>
      <w:pPr>
        <w:pStyle w:val="Heading2"/>
        <w:spacing w:before="240" w:after="80"/>
      </w:pPr>
      <w:r>
        <w:rPr>
          <w:rFonts w:ascii="Arial" w:cs="Arial" w:eastAsia="Arial" w:hAnsi="Arial"/>
          <w:b/>
          <w:bCs/>
          <w:color w:val="2E6DA4"/>
          <w:sz w:val="24"/>
          <w:szCs w:val="24"/>
        </w:rPr>
        <w:t xml:space="preserve">2.2 Implicaciones del Cierre del Hotel para el Litigio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E67E22" w:sz="1"/>
              <w:left w:val="single" w:color="E67E22" w:sz="1"/>
              <w:bottom w:val="nil" w:color="E67E22" w:sz="0"/>
              <w:right w:val="single" w:color="E67E22" w:sz="1"/>
            </w:tcBorders>
            <w:shd w:fill="E67E22" w:val="clear"/>
            <w:tcMar>
              <w:top w:type="dxa" w:w="60"/>
              <w:left w:type="dxa" w:w="120"/>
              <w:bottom w:type="dxa" w:w="60"/>
              <w:right w:type="dxa" w:w="120"/>
            </w:tcMar>
          </w:tcPr>
          <w:p>
            <w:pPr>
              <w:spacing w:before="40" w:after="40"/>
            </w:pPr>
            <w:r>
              <w:rPr>
                <w:rFonts w:ascii="Arial" w:cs="Arial" w:eastAsia="Arial" w:hAnsi="Arial"/>
                <w:b/>
                <w:bCs/>
                <w:color w:val="FFFFFF"/>
                <w:sz w:val="20"/>
                <w:szCs w:val="20"/>
              </w:rPr>
              <w:t xml:space="preserve">⚠️  ANÁLISIS: Cierre del hotel 10 meses después de presentación de la demanda</w:t>
            </w:r>
          </w:p>
        </w:tc>
      </w:tr>
      <w:tr>
        <w:tc>
          <w:tcPr>
            <w:tcBorders>
              <w:top w:val="nil" w:color="E67E22" w:sz="0"/>
              <w:left w:val="single" w:color="E67E22" w:sz="1"/>
              <w:bottom w:val="single" w:color="E67E22" w:sz="1"/>
              <w:right w:val="single" w:color="E67E22" w:sz="1"/>
            </w:tcBorders>
            <w:shd w:fill="FEF0E6" w:val="clear"/>
            <w:tcMar>
              <w:top w:type="dxa" w:w="100"/>
              <w:left w:type="dxa" w:w="160"/>
              <w:bottom w:type="dxa" w:w="100"/>
              <w:right w:type="dxa" w:w="160"/>
            </w:tcMar>
          </w:tcPr>
          <w:p>
            <w:pPr>
              <w:spacing w:before="40" w:after="40"/>
            </w:pPr>
            <w:r>
              <w:rPr>
                <w:rFonts w:ascii="Arial" w:cs="Arial" w:eastAsia="Arial" w:hAnsi="Arial"/>
                <w:color w:val="1A1A1A"/>
                <w:sz w:val="19"/>
                <w:szCs w:val="19"/>
              </w:rPr>
              <w:t xml:space="preserve">La secuencia temporal es significativa: (1) 2 nov. 2024: Apex Global presenta demanda civil por USD 100K+. (2) 12 sep. 2025: El hotel HVR Horizons CIERRA (10 meses después). Reapertura comprometida: 31 ago. 2026. La duración del cierre (~11.5 meses) sugiere más que una renovación cosmética. Hipótesis: (a) Restructuración operacional/financiera relacionada con el litigio. (b) Obras de mantenimiento mayor o remodelación obligada por condiciones de algún acuerdo. (c) Presión financiera que resultó en cierre temporal. (d) El cierre es anterior al litigio y fue la causa de la demanda (Apex Global no recibió retornos esperados).</w:t>
            </w:r>
          </w:p>
        </w:tc>
      </w:tr>
    </w:tbl>
    <w:p>
      <w:pPr>
        <w:spacing w:before="40" w:after="40"/>
      </w:pPr>
    </w:p>
    <w:p>
      <w:pPr>
        <w:pStyle w:val="Heading1"/>
        <w:pBdr>
          <w:bottom w:val="single" w:color="2E6DA4" w:sz="8" w:space="6"/>
        </w:pBdr>
        <w:spacing w:before="360" w:after="120"/>
      </w:pPr>
      <w:r>
        <w:rPr>
          <w:rFonts w:ascii="Arial" w:cs="Arial" w:eastAsia="Arial" w:hAnsi="Arial"/>
          <w:b/>
          <w:bCs/>
          <w:color w:val="1B3A5C"/>
          <w:sz w:val="28"/>
          <w:szCs w:val="28"/>
        </w:rPr>
        <w:t xml:space="preserve">PARTE III — PERFILES COMPLETOS DE LAS PARTES</w:t>
      </w:r>
    </w:p>
    <w:p>
      <w:pPr>
        <w:pStyle w:val="Heading2"/>
        <w:spacing w:before="240" w:after="80"/>
      </w:pPr>
      <w:r>
        <w:rPr>
          <w:rFonts w:ascii="Arial" w:cs="Arial" w:eastAsia="Arial" w:hAnsi="Arial"/>
          <w:b/>
          <w:bCs/>
          <w:color w:val="2E6DA4"/>
          <w:sz w:val="24"/>
          <w:szCs w:val="24"/>
        </w:rPr>
        <w:t xml:space="preserve">3.1 Demandante: Apex Global Ventures LLC</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00"/>
        <w:gridCol w:w="6360"/>
      </w:tblGrid>
      <w:tr>
        <w:tc>
          <w:tcPr>
            <w:tcW w:type="dxa" w:w="3000"/>
            <w:tcBorders>
              <w:top w:val="single" w:color="D5D8DC" w:sz="1"/>
              <w:left w:val="single" w:color="D5D8DC" w:sz="1"/>
              <w:bottom w:val="single" w:color="D5D8DC" w:sz="1"/>
              <w:right w:val="single" w:color="D5D8DC" w:sz="1"/>
            </w:tcBorders>
            <w:shd w:fill="2E6DA4" w:val="clear"/>
            <w:tcMar>
              <w:top w:type="dxa" w:w="60"/>
              <w:left w:type="dxa" w:w="120"/>
              <w:bottom w:type="dxa" w:w="60"/>
              <w:right w:type="dxa" w:w="120"/>
            </w:tcMar>
          </w:tcPr>
          <w:p>
            <w:pPr>
              <w:spacing w:before="40" w:after="40"/>
            </w:pPr>
            <w:r>
              <w:rPr>
                <w:rFonts w:ascii="Arial" w:cs="Arial" w:eastAsia="Arial" w:hAnsi="Arial"/>
                <w:b/>
                <w:bCs/>
                <w:color w:val="FFFFFF"/>
                <w:sz w:val="19"/>
                <w:szCs w:val="19"/>
              </w:rPr>
              <w:t xml:space="preserve">CAMPO</w:t>
            </w:r>
          </w:p>
        </w:tc>
        <w:tc>
          <w:tcPr>
            <w:tcW w:type="dxa" w:w="6360"/>
            <w:tcBorders>
              <w:top w:val="single" w:color="D5D8DC" w:sz="1"/>
              <w:left w:val="single" w:color="D5D8DC" w:sz="1"/>
              <w:bottom w:val="single" w:color="D5D8DC" w:sz="1"/>
              <w:right w:val="single" w:color="D5D8DC" w:sz="1"/>
            </w:tcBorders>
            <w:shd w:fill="2E6DA4" w:val="clear"/>
            <w:tcMar>
              <w:top w:type="dxa" w:w="60"/>
              <w:left w:type="dxa" w:w="120"/>
              <w:bottom w:type="dxa" w:w="60"/>
              <w:right w:type="dxa" w:w="120"/>
            </w:tcMar>
          </w:tcPr>
          <w:p>
            <w:pPr>
              <w:spacing w:before="40" w:after="40"/>
            </w:pPr>
            <w:r>
              <w:rPr>
                <w:rFonts w:ascii="Arial" w:cs="Arial" w:eastAsia="Arial" w:hAnsi="Arial"/>
                <w:color w:val="FFFFFF"/>
                <w:sz w:val="19"/>
                <w:szCs w:val="19"/>
              </w:rPr>
              <w:t xml:space="preserve">DATO / ALERTA</w:t>
            </w:r>
          </w:p>
        </w:tc>
      </w:tr>
      <w:tr>
        <w:tc>
          <w:tcPr>
            <w:tcW w:type="dxa" w:w="30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Nombre en expediente</w:t>
            </w:r>
          </w:p>
        </w:tc>
        <w:tc>
          <w:tcPr>
            <w:tcW w:type="dxa" w:w="63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APEX GLOBAL VENTURES LLC</w:t>
            </w:r>
          </w:p>
        </w:tc>
      </w:tr>
      <w:tr>
        <w:tc>
          <w:tcPr>
            <w:tcW w:type="dxa" w:w="30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Nombre en registro federal</w:t>
            </w:r>
          </w:p>
        </w:tc>
        <w:tc>
          <w:tcPr>
            <w:tcW w:type="dxa" w:w="63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APEX GLOBAL VENTURES LLC — DOT# 4102853 / MC# 1558934</w:t>
            </w:r>
          </w:p>
        </w:tc>
      </w:tr>
      <w:tr>
        <w:tc>
          <w:tcPr>
            <w:tcW w:type="dxa" w:w="30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Dirección registrada</w:t>
            </w:r>
          </w:p>
        </w:tc>
        <w:tc>
          <w:tcPr>
            <w:tcW w:type="dxa" w:w="63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 16320 PALMETTO GROVE DR, SUNFIELD, FL 33195 — dirección residencial</w:t>
            </w:r>
          </w:p>
        </w:tc>
      </w:tr>
      <w:tr>
        <w:tc>
          <w:tcPr>
            <w:tcW w:type="dxa" w:w="30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Officer registrado</w:t>
            </w:r>
          </w:p>
        </w:tc>
        <w:tc>
          <w:tcPr>
            <w:tcW w:type="dxa" w:w="63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MICHAEL ALEJANDRO SERRANO</w:t>
            </w:r>
          </w:p>
        </w:tc>
      </w:tr>
      <w:tr>
        <w:tc>
          <w:tcPr>
            <w:tcW w:type="dxa" w:w="30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Email</w:t>
            </w:r>
          </w:p>
        </w:tc>
        <w:tc>
          <w:tcPr>
            <w:tcW w:type="dxa" w:w="63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 APEXGLOBAL90@GMAIL.COM — cuenta personal de Gmail. Sin dominio corporativo.</w:t>
            </w:r>
          </w:p>
        </w:tc>
      </w:tr>
      <w:tr>
        <w:tc>
          <w:tcPr>
            <w:tcW w:type="dxa" w:w="30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Autoridad federal</w:t>
            </w:r>
          </w:p>
        </w:tc>
        <w:tc>
          <w:tcPr>
            <w:tcW w:type="dxa" w:w="63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 INACTIVA — transportista de carga interestatal. Registrada ago. 2022. 1 camión (leased).</w:t>
            </w:r>
          </w:p>
        </w:tc>
      </w:tr>
      <w:tr>
        <w:tc>
          <w:tcPr>
            <w:tcW w:type="dxa" w:w="30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Sede operativa declarada</w:t>
            </w:r>
          </w:p>
        </w:tc>
        <w:tc>
          <w:tcPr>
            <w:tcW w:type="dxa" w:w="63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Phoenix, Arizona (según informe previo) — NO coincide con registro de Florida</w:t>
            </w:r>
          </w:p>
        </w:tc>
      </w:tr>
      <w:tr>
        <w:tc>
          <w:tcPr>
            <w:tcW w:type="dxa" w:w="30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Registro estatal FL</w:t>
            </w:r>
          </w:p>
        </w:tc>
        <w:tc>
          <w:tcPr>
            <w:tcW w:type="dxa" w:w="63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 NO localizado bajo nombre exacto. Pendiente verificación urgente de incorporación.</w:t>
            </w:r>
          </w:p>
        </w:tc>
      </w:tr>
      <w:tr>
        <w:tc>
          <w:tcPr>
            <w:tcW w:type="dxa" w:w="30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UBO (beneficiario final)</w:t>
            </w:r>
          </w:p>
        </w:tc>
        <w:tc>
          <w:tcPr>
            <w:tcW w:type="dxa" w:w="63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 DESCONOCIDO — El perfil atípico (dir. residencial + Gmail + camión inactivo + monto &gt;USD 100K) sugiere empresa de propósito especial o vehículo de tercero no identificado.</w:t>
            </w:r>
          </w:p>
        </w:tc>
      </w:tr>
    </w:tbl>
    <w:p>
      <w:pPr>
        <w:spacing w:before="40" w:after="40"/>
      </w:pPr>
    </w:p>
    <w:p>
      <w:pPr>
        <w:pStyle w:val="Heading2"/>
        <w:spacing w:before="240" w:after="80"/>
      </w:pPr>
      <w:r>
        <w:rPr>
          <w:rFonts w:ascii="Arial" w:cs="Arial" w:eastAsia="Arial" w:hAnsi="Arial"/>
          <w:b/>
          <w:bCs/>
          <w:color w:val="2E6DA4"/>
          <w:sz w:val="24"/>
          <w:szCs w:val="24"/>
        </w:rPr>
        <w:t xml:space="preserve">3.2 Demandados: Perfil Expandido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Borders>
              <w:top w:val="single" w:color="D5D8DC" w:sz="1"/>
              <w:left w:val="single" w:color="D5D8DC" w:sz="1"/>
              <w:bottom w:val="single" w:color="D5D8DC" w:sz="1"/>
              <w:right w:val="single" w:color="D5D8DC" w:sz="1"/>
            </w:tcBorders>
            <w:shd w:fill="1B3A5C" w:val="clear"/>
            <w:tcMar>
              <w:top w:type="dxa" w:w="100"/>
              <w:left w:type="dxa" w:w="160"/>
              <w:bottom w:type="dxa" w:w="100"/>
              <w:right w:type="dxa" w:w="160"/>
            </w:tcMar>
          </w:tcPr>
          <w:p>
            <w:pPr>
              <w:spacing w:before="40" w:after="40"/>
            </w:pPr>
            <w:r>
              <w:rPr>
                <w:rFonts w:ascii="Arial" w:cs="Arial" w:eastAsia="Arial" w:hAnsi="Arial"/>
                <w:b/>
                <w:bCs/>
                <w:color w:val="FFFFFF"/>
                <w:sz w:val="19"/>
                <w:szCs w:val="19"/>
              </w:rPr>
              <w:t xml:space="preserve">DEMANDADO</w:t>
            </w:r>
          </w:p>
        </w:tc>
        <w:tc>
          <w:tcPr>
            <w:tcBorders>
              <w:top w:val="single" w:color="D5D8DC" w:sz="1"/>
              <w:left w:val="single" w:color="D5D8DC" w:sz="1"/>
              <w:bottom w:val="single" w:color="D5D8DC" w:sz="1"/>
              <w:right w:val="single" w:color="D5D8DC" w:sz="1"/>
            </w:tcBorders>
            <w:shd w:fill="1B3A5C" w:val="clear"/>
            <w:tcMar>
              <w:top w:type="dxa" w:w="100"/>
              <w:left w:type="dxa" w:w="160"/>
              <w:bottom w:type="dxa" w:w="100"/>
              <w:right w:type="dxa" w:w="160"/>
            </w:tcMar>
          </w:tcPr>
          <w:p>
            <w:pPr>
              <w:spacing w:before="40" w:after="40"/>
            </w:pPr>
            <w:r>
              <w:rPr>
                <w:rFonts w:ascii="Arial" w:cs="Arial" w:eastAsia="Arial" w:hAnsi="Arial"/>
                <w:b/>
                <w:bCs/>
                <w:color w:val="FFFFFF"/>
                <w:sz w:val="19"/>
                <w:szCs w:val="19"/>
              </w:rPr>
              <w:t xml:space="preserve">DESCRIPCIÓN COMPLETA</w:t>
            </w:r>
          </w:p>
        </w:tc>
      </w:tr>
      <w:tr>
        <w:tc>
          <w:tcPr>
            <w:tcBorders>
              <w:top w:val="single" w:color="D5D8DC" w:sz="1"/>
              <w:left w:val="single" w:color="D5D8DC" w:sz="1"/>
              <w:bottom w:val="single" w:color="D5D8DC" w:sz="1"/>
              <w:right w:val="single" w:color="D5D8DC" w:sz="1"/>
            </w:tcBorders>
            <w:shd w:fill="D0E4F7" w:val="clear"/>
            <w:tcMar>
              <w:top w:type="dxa" w:w="100"/>
              <w:left w:type="dxa" w:w="160"/>
              <w:bottom w:type="dxa" w:w="100"/>
              <w:right w:type="dxa" w:w="160"/>
            </w:tcMar>
          </w:tcPr>
          <w:p>
            <w:pPr>
              <w:spacing w:before="40" w:after="40"/>
            </w:pPr>
            <w:r>
              <w:rPr>
                <w:rFonts w:ascii="Arial" w:cs="Arial" w:eastAsia="Arial" w:hAnsi="Arial"/>
                <w:b w:val="false"/>
                <w:bCs w:val="false"/>
                <w:color w:val="1A1A1A"/>
                <w:sz w:val="19"/>
                <w:szCs w:val="19"/>
              </w:rPr>
              <w:t xml:space="preserve">HVR HORIZONS LLC
a/k/a Coastal Residences HVR
a/k/a COASTAL RESIDENCES HVPC, SRL</w:t>
            </w:r>
          </w:p>
        </w:tc>
        <w:tc>
          <w:tcPr>
            <w:tcBorders>
              <w:top w:val="single" w:color="D5D8DC" w:sz="1"/>
              <w:left w:val="single" w:color="D5D8DC" w:sz="1"/>
              <w:bottom w:val="single" w:color="D5D8DC" w:sz="1"/>
              <w:right w:val="single" w:color="D5D8DC" w:sz="1"/>
            </w:tcBorders>
            <w:shd w:fill="FFFFFF" w:val="clear"/>
            <w:tcMar>
              <w:top w:type="dxa" w:w="100"/>
              <w:left w:type="dxa" w:w="160"/>
              <w:bottom w:type="dxa" w:w="100"/>
              <w:right w:type="dxa" w:w="160"/>
            </w:tcMar>
          </w:tcPr>
          <w:p>
            <w:pPr>
              <w:spacing w:before="40" w:after="40"/>
            </w:pPr>
            <w:r>
              <w:rPr>
                <w:rFonts w:ascii="Arial" w:cs="Arial" w:eastAsia="Arial" w:hAnsi="Arial"/>
                <w:b w:val="false"/>
                <w:bCs w:val="false"/>
                <w:color w:val="1A1A1A"/>
                <w:sz w:val="19"/>
                <w:szCs w:val="19"/>
              </w:rPr>
              <w:t xml:space="preserve">Hotel operativo de 4★ con 150 suites, actualmente CERRADO (sep 2025 – ago 2026). Ubicado en Av. Gran Caribe Blvd, Puerto Dorado. Brazo residencial/hotelero del mega-complejo Downtown Puerto Dorado (USD 100M). Listado en Expedia (h91266710) y Hotels.com (ho3192840115). LLC extranjera + SRL local tratadas como misma entidad en el expediente.</w:t>
            </w:r>
          </w:p>
        </w:tc>
      </w:tr>
      <w:tr>
        <w:tc>
          <w:tcPr>
            <w:tcBorders>
              <w:top w:val="single" w:color="D5D8DC" w:sz="1"/>
              <w:left w:val="single" w:color="D5D8DC" w:sz="1"/>
              <w:bottom w:val="single" w:color="D5D8DC" w:sz="1"/>
              <w:right w:val="single" w:color="D5D8DC" w:sz="1"/>
            </w:tcBorders>
            <w:shd w:fill="D0E4F7" w:val="clear"/>
            <w:tcMar>
              <w:top w:type="dxa" w:w="100"/>
              <w:left w:type="dxa" w:w="160"/>
              <w:bottom w:type="dxa" w:w="100"/>
              <w:right w:type="dxa" w:w="160"/>
            </w:tcMar>
          </w:tcPr>
          <w:p>
            <w:pPr>
              <w:spacing w:before="40" w:after="40"/>
            </w:pPr>
            <w:r>
              <w:rPr>
                <w:rFonts w:ascii="Arial" w:cs="Arial" w:eastAsia="Arial" w:hAnsi="Arial"/>
                <w:b w:val="false"/>
                <w:bCs w:val="false"/>
                <w:color w:val="1A1A1A"/>
                <w:sz w:val="19"/>
                <w:szCs w:val="19"/>
              </w:rPr>
              <w:t xml:space="preserve">ROBERTO ALEJANDRO
MONTOYA SALINAS</w:t>
            </w:r>
          </w:p>
        </w:tc>
        <w:tc>
          <w:tcPr>
            <w:tcBorders>
              <w:top w:val="single" w:color="D5D8DC" w:sz="1"/>
              <w:left w:val="single" w:color="D5D8DC" w:sz="1"/>
              <w:bottom w:val="single" w:color="D5D8DC" w:sz="1"/>
              <w:right w:val="single" w:color="D5D8DC" w:sz="1"/>
            </w:tcBorders>
            <w:shd w:fill="FFFFFF" w:val="clear"/>
            <w:tcMar>
              <w:top w:type="dxa" w:w="100"/>
              <w:left w:type="dxa" w:w="160"/>
              <w:bottom w:type="dxa" w:w="100"/>
              <w:right w:type="dxa" w:w="160"/>
            </w:tcMar>
          </w:tcPr>
          <w:p>
            <w:pPr>
              <w:spacing w:before="40" w:after="40"/>
            </w:pPr>
            <w:r>
              <w:rPr>
                <w:rFonts w:ascii="Arial" w:cs="Arial" w:eastAsia="Arial" w:hAnsi="Arial"/>
                <w:b w:val="false"/>
                <w:bCs w:val="false"/>
                <w:color w:val="1A1A1A"/>
                <w:sz w:val="19"/>
                <w:szCs w:val="19"/>
              </w:rPr>
              <w:t xml:space="preserve">Hermano mayor del Clan Montoya Salinas. PRÓFUGO (orden de detención activa desde 2017). Gerente/representante de Coastal Residences HVPC. Vinculado a contratos con empresa estatal petrolera PETROSAL por USD 150M+ investigados por desfalco. Su hermano Ernesto fue declarado culpable ante DOJ/FCPA en 2021 (caso 1:21-CR-30174). Su hermano Héctor detenido en el extranjero.</w:t>
            </w:r>
          </w:p>
        </w:tc>
      </w:tr>
    </w:tbl>
    <w:p>
      <w:pPr>
        <w:spacing w:before="40" w:after="40"/>
      </w:pPr>
    </w:p>
    <w:p>
      <w:pPr>
        <w:pStyle w:val="Heading1"/>
        <w:pBdr>
          <w:bottom w:val="single" w:color="2E6DA4" w:sz="8" w:space="6"/>
        </w:pBdr>
        <w:spacing w:before="360" w:after="120"/>
      </w:pPr>
      <w:r>
        <w:rPr>
          <w:rFonts w:ascii="Arial" w:cs="Arial" w:eastAsia="Arial" w:hAnsi="Arial"/>
          <w:b/>
          <w:bCs/>
          <w:color w:val="1B3A5C"/>
          <w:sz w:val="28"/>
          <w:szCs w:val="28"/>
        </w:rPr>
        <w:t xml:space="preserve">PARTE IV — HIPÓTESIS ACTUALIZADAS SOBRE LA NATURALEZA DEL LITIGIO</w:t>
      </w:r>
    </w:p>
    <w:p>
      <w:pPr>
        <w:spacing w:before="60" w:after="60"/>
      </w:pPr>
      <w:r>
        <w:rPr>
          <w:rFonts w:ascii="Arial" w:cs="Arial" w:eastAsia="Arial" w:hAnsi="Arial"/>
          <w:color w:val="1A1A1A"/>
          <w:sz w:val="20"/>
          <w:szCs w:val="20"/>
        </w:rPr>
        <w:t xml:space="preserve">Con el dato nuevo de que HVR Horizons es un hotel real actualmente cerrado, las hipótesis se actualizan así:</w:t>
      </w:r>
    </w:p>
    <w:p>
      <w:pPr>
        <w:spacing w:before="40"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00"/>
        <w:gridCol w:w="2900"/>
        <w:gridCol w:w="5760"/>
      </w:tblGrid>
      <w:tr>
        <w:tc>
          <w:tcPr>
            <w:tcW w:type="dxa" w:w="700"/>
            <w:tcBorders>
              <w:top w:val="single" w:color="D5D8DC" w:sz="1"/>
              <w:left w:val="single" w:color="D5D8DC" w:sz="1"/>
              <w:bottom w:val="single" w:color="D5D8DC" w:sz="1"/>
              <w:right w:val="single" w:color="D5D8DC" w:sz="1"/>
            </w:tcBorders>
            <w:shd w:fill="1B3A5C" w:val="clear"/>
            <w:tcMar>
              <w:top w:type="dxa" w:w="60"/>
              <w:left w:type="dxa" w:w="120"/>
              <w:bottom w:type="dxa" w:w="60"/>
              <w:right w:type="dxa" w:w="120"/>
            </w:tcMar>
            <w:vAlign w:val="top"/>
          </w:tcPr>
          <w:p>
            <w:pPr>
              <w:spacing w:before="40" w:after="40"/>
            </w:pPr>
            <w:r>
              <w:rPr>
                <w:rFonts w:ascii="Arial" w:cs="Arial" w:eastAsia="Arial" w:hAnsi="Arial"/>
                <w:b/>
                <w:bCs/>
                <w:color w:val="FFFFFF"/>
                <w:sz w:val="18"/>
                <w:szCs w:val="18"/>
              </w:rPr>
              <w:t xml:space="preserve">#</w:t>
            </w:r>
          </w:p>
        </w:tc>
        <w:tc>
          <w:tcPr>
            <w:tcW w:type="dxa" w:w="2900"/>
            <w:tcBorders>
              <w:top w:val="single" w:color="D5D8DC" w:sz="1"/>
              <w:left w:val="single" w:color="D5D8DC" w:sz="1"/>
              <w:bottom w:val="single" w:color="D5D8DC" w:sz="1"/>
              <w:right w:val="single" w:color="D5D8DC" w:sz="1"/>
            </w:tcBorders>
            <w:shd w:fill="1B3A5C" w:val="clear"/>
            <w:tcMar>
              <w:top w:type="dxa" w:w="60"/>
              <w:left w:type="dxa" w:w="120"/>
              <w:bottom w:type="dxa" w:w="60"/>
              <w:right w:type="dxa" w:w="120"/>
            </w:tcMar>
            <w:vAlign w:val="top"/>
          </w:tcPr>
          <w:p>
            <w:pPr>
              <w:spacing w:before="40" w:after="40"/>
            </w:pPr>
            <w:r>
              <w:rPr>
                <w:rFonts w:ascii="Arial" w:cs="Arial" w:eastAsia="Arial" w:hAnsi="Arial"/>
                <w:b/>
                <w:bCs/>
                <w:color w:val="FFFFFF"/>
                <w:sz w:val="18"/>
                <w:szCs w:val="18"/>
              </w:rPr>
              <w:t xml:space="preserve">HIPÓTESIS</w:t>
            </w:r>
          </w:p>
        </w:tc>
        <w:tc>
          <w:tcPr>
            <w:tcW w:type="dxa" w:w="5760"/>
            <w:tcBorders>
              <w:top w:val="single" w:color="D5D8DC" w:sz="1"/>
              <w:left w:val="single" w:color="D5D8DC" w:sz="1"/>
              <w:bottom w:val="single" w:color="D5D8DC" w:sz="1"/>
              <w:right w:val="single" w:color="D5D8DC" w:sz="1"/>
            </w:tcBorders>
            <w:shd w:fill="1B3A5C" w:val="clear"/>
            <w:tcMar>
              <w:top w:type="dxa" w:w="60"/>
              <w:left w:type="dxa" w:w="120"/>
              <w:bottom w:type="dxa" w:w="60"/>
              <w:right w:type="dxa" w:w="120"/>
            </w:tcMar>
            <w:vAlign w:val="top"/>
          </w:tcPr>
          <w:p>
            <w:pPr>
              <w:spacing w:before="40" w:after="40"/>
            </w:pPr>
            <w:r>
              <w:rPr>
                <w:rFonts w:ascii="Arial" w:cs="Arial" w:eastAsia="Arial" w:hAnsi="Arial"/>
                <w:b/>
                <w:bCs/>
                <w:color w:val="FFFFFF"/>
                <w:sz w:val="18"/>
                <w:szCs w:val="18"/>
              </w:rPr>
              <w:t xml:space="preserve">EVIDENCIAS Y FUNDAMENTO</w:t>
            </w:r>
          </w:p>
        </w:tc>
      </w:tr>
      <w:tr>
        <w:tc>
          <w:tcPr>
            <w:tcW w:type="dxa" w:w="7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1</w:t>
            </w:r>
          </w:p>
        </w:tc>
        <w:tc>
          <w:tcPr>
            <w:tcW w:type="dxa" w:w="29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Incumplimiento de contrato de inversión hotelera</w:t>
            </w:r>
          </w:p>
        </w:tc>
        <w:tc>
          <w:tcPr>
            <w:tcW w:type="dxa" w:w="57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Apex Global invirtió en el hotel HVR Horizons (compra de unidades, participación o préstamo) bajo promesas de rendimiento o modelo de renta vacacional. El hotel cerró sin entregar el retorno prometido. Consistente con modelo de inversión tipo 'condo-hotel' común en la zona turística (donde inversores compran unidades que el operador arrienda). Más probable por el monto (+USD 100K) y la estructura del demandado.</w:t>
            </w:r>
          </w:p>
        </w:tc>
      </w:tr>
      <w:tr>
        <w:tc>
          <w:tcPr>
            <w:tcW w:type="dxa" w:w="7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2</w:t>
            </w:r>
          </w:p>
        </w:tc>
        <w:tc>
          <w:tcPr>
            <w:tcW w:type="dxa" w:w="29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Incumplimiento de promesa de preventa residencial</w:t>
            </w:r>
          </w:p>
        </w:tc>
        <w:tc>
          <w:tcPr>
            <w:tcW w:type="dxa" w:w="57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Apex Global adquirió apartamentos en preventa (Coastal Residences HVPC) y la entidad no entregó las unidades o incumplió condiciones contractuales. El complejo tiene entregas comprometidas para 2026 — posible retraso en unidades residenciales.</w:t>
            </w:r>
          </w:p>
        </w:tc>
      </w:tr>
      <w:tr>
        <w:tc>
          <w:tcPr>
            <w:tcW w:type="dxa" w:w="7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3</w:t>
            </w:r>
          </w:p>
        </w:tc>
        <w:tc>
          <w:tcPr>
            <w:tcW w:type="dxa" w:w="29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Disputa de comisiones de ventas (broker/agente)</w:t>
            </w:r>
          </w:p>
        </w:tc>
        <w:tc>
          <w:tcPr>
            <w:tcW w:type="dxa" w:w="57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Apex Global actuó como intermediario de ventas de unidades hoteleras o residenciales en EE.UU. y reclama comisiones impagas. La sede en Sunfield (ciudad con fuerte comunidad inmigrante latinoamericana) apoya esta hipótesis.</w:t>
            </w:r>
          </w:p>
        </w:tc>
      </w:tr>
      <w:tr>
        <w:tc>
          <w:tcPr>
            <w:tcW w:type="dxa" w:w="7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4</w:t>
            </w:r>
          </w:p>
        </w:tc>
        <w:tc>
          <w:tcPr>
            <w:tcW w:type="dxa" w:w="29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Préstamo o financiamiento privado impago</w:t>
            </w:r>
          </w:p>
        </w:tc>
        <w:tc>
          <w:tcPr>
            <w:tcW w:type="dxa" w:w="57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Apex Global financió parcialmente el proyecto como prestamista privado y reclama capital + intereses. La estructura de empresa de propósito especial (SPV) es consistente con esta función.</w:t>
            </w:r>
          </w:p>
        </w:tc>
      </w:tr>
      <w:tr>
        <w:tc>
          <w:tcPr>
            <w:tcW w:type="dxa" w:w="7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5</w:t>
            </w:r>
          </w:p>
        </w:tc>
        <w:tc>
          <w:tcPr>
            <w:tcW w:type="dxa" w:w="29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 Vehículo para recuperación de activos relacionados con DOJ/FCPA</w:t>
            </w:r>
          </w:p>
        </w:tc>
        <w:tc>
          <w:tcPr>
            <w:tcW w:type="dxa" w:w="57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Hipótesis de mayor riesgo: Apex Global es un instrumento de partes relacionadas (víctimas del esquema FCPA, inversionistas defraudados u otra parte del ecosistema afectado) que busca acceder a activos del hotel ante el cierre operacional. Requiere verificación urgente de UBO.</w:t>
            </w:r>
          </w:p>
        </w:tc>
      </w:tr>
    </w:tbl>
    <w:p>
      <w:pPr>
        <w:spacing w:before="40" w:after="40"/>
      </w:pPr>
    </w:p>
    <w:p>
      <w:pPr>
        <w:pStyle w:val="Heading1"/>
        <w:pBdr>
          <w:bottom w:val="single" w:color="2E6DA4" w:sz="8" w:space="6"/>
        </w:pBdr>
        <w:spacing w:before="360" w:after="120"/>
      </w:pPr>
      <w:r>
        <w:rPr>
          <w:rFonts w:ascii="Arial" w:cs="Arial" w:eastAsia="Arial" w:hAnsi="Arial"/>
          <w:b/>
          <w:bCs/>
          <w:color w:val="1B3A5C"/>
          <w:sz w:val="28"/>
          <w:szCs w:val="28"/>
        </w:rPr>
        <w:t xml:space="preserve">PARTE V — CLAN MONTOYA SALINAS: PERFIL JUDICIAL COMPLETO</w:t>
      </w:r>
    </w:p>
    <w:p>
      <w:pPr>
        <w:pStyle w:val="Heading2"/>
        <w:spacing w:before="240" w:after="80"/>
      </w:pPr>
      <w:r>
        <w:rPr>
          <w:rFonts w:ascii="Arial" w:cs="Arial" w:eastAsia="Arial" w:hAnsi="Arial"/>
          <w:b/>
          <w:bCs/>
          <w:color w:val="2E6DA4"/>
          <w:sz w:val="24"/>
          <w:szCs w:val="24"/>
        </w:rPr>
        <w:t xml:space="preserve">5.1 Los Tres Hermanos — Status Judicial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1600"/>
        <w:gridCol w:w="5360"/>
      </w:tblGrid>
      <w:tr>
        <w:tc>
          <w:tcPr>
            <w:tcW w:type="dxa" w:w="2400"/>
            <w:tcBorders>
              <w:top w:val="single" w:color="D5D8DC" w:sz="1"/>
              <w:left w:val="single" w:color="D5D8DC" w:sz="1"/>
              <w:bottom w:val="single" w:color="D5D8DC" w:sz="1"/>
              <w:right w:val="single" w:color="D5D8DC" w:sz="1"/>
            </w:tcBorders>
            <w:shd w:fill="1B3A5C" w:val="clear"/>
            <w:tcMar>
              <w:top w:type="dxa" w:w="60"/>
              <w:left w:type="dxa" w:w="120"/>
              <w:bottom w:type="dxa" w:w="60"/>
              <w:right w:type="dxa" w:w="120"/>
            </w:tcMar>
            <w:vAlign w:val="top"/>
          </w:tcPr>
          <w:p>
            <w:pPr>
              <w:spacing w:before="40" w:after="40"/>
            </w:pPr>
            <w:r>
              <w:rPr>
                <w:rFonts w:ascii="Arial" w:cs="Arial" w:eastAsia="Arial" w:hAnsi="Arial"/>
                <w:b/>
                <w:bCs/>
                <w:color w:val="FFFFFF"/>
                <w:sz w:val="18"/>
                <w:szCs w:val="18"/>
              </w:rPr>
              <w:t xml:space="preserve">HERMANO</w:t>
            </w:r>
          </w:p>
        </w:tc>
        <w:tc>
          <w:tcPr>
            <w:tcW w:type="dxa" w:w="1600"/>
            <w:tcBorders>
              <w:top w:val="single" w:color="D5D8DC" w:sz="1"/>
              <w:left w:val="single" w:color="D5D8DC" w:sz="1"/>
              <w:bottom w:val="single" w:color="D5D8DC" w:sz="1"/>
              <w:right w:val="single" w:color="D5D8DC" w:sz="1"/>
            </w:tcBorders>
            <w:shd w:fill="1B3A5C" w:val="clear"/>
            <w:tcMar>
              <w:top w:type="dxa" w:w="60"/>
              <w:left w:type="dxa" w:w="120"/>
              <w:bottom w:type="dxa" w:w="60"/>
              <w:right w:type="dxa" w:w="120"/>
            </w:tcMar>
            <w:vAlign w:val="top"/>
          </w:tcPr>
          <w:p>
            <w:pPr>
              <w:spacing w:before="40" w:after="40"/>
            </w:pPr>
            <w:r>
              <w:rPr>
                <w:rFonts w:ascii="Arial" w:cs="Arial" w:eastAsia="Arial" w:hAnsi="Arial"/>
                <w:b/>
                <w:bCs/>
                <w:color w:val="FFFFFF"/>
                <w:sz w:val="18"/>
                <w:szCs w:val="18"/>
              </w:rPr>
              <w:t xml:space="preserve">STATUS</w:t>
            </w:r>
          </w:p>
        </w:tc>
        <w:tc>
          <w:tcPr>
            <w:tcW w:type="dxa" w:w="5360"/>
            <w:tcBorders>
              <w:top w:val="single" w:color="D5D8DC" w:sz="1"/>
              <w:left w:val="single" w:color="D5D8DC" w:sz="1"/>
              <w:bottom w:val="single" w:color="D5D8DC" w:sz="1"/>
              <w:right w:val="single" w:color="D5D8DC" w:sz="1"/>
            </w:tcBorders>
            <w:shd w:fill="1B3A5C" w:val="clear"/>
            <w:tcMar>
              <w:top w:type="dxa" w:w="60"/>
              <w:left w:type="dxa" w:w="120"/>
              <w:bottom w:type="dxa" w:w="60"/>
              <w:right w:type="dxa" w:w="120"/>
            </w:tcMar>
            <w:vAlign w:val="top"/>
          </w:tcPr>
          <w:p>
            <w:pPr>
              <w:spacing w:before="40" w:after="40"/>
            </w:pPr>
            <w:r>
              <w:rPr>
                <w:rFonts w:ascii="Arial" w:cs="Arial" w:eastAsia="Arial" w:hAnsi="Arial"/>
                <w:b/>
                <w:bCs/>
                <w:color w:val="FFFFFF"/>
                <w:sz w:val="18"/>
                <w:szCs w:val="18"/>
              </w:rPr>
              <w:t xml:space="preserve">DETALLE</w:t>
            </w:r>
          </w:p>
        </w:tc>
      </w:tr>
      <w:tr>
        <w:tc>
          <w:tcPr>
            <w:tcW w:type="dxa" w:w="24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ROBERTO ALEJANDRO
MONTOYA SALINAS</w:t>
            </w:r>
          </w:p>
        </w:tc>
        <w:tc>
          <w:tcPr>
            <w:tcW w:type="dxa" w:w="16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 PRÓFUGO (Extranjero)</w:t>
            </w:r>
          </w:p>
        </w:tc>
        <w:tc>
          <w:tcPr>
            <w:tcW w:type="dxa" w:w="53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Hermano mayor. Gerente CONSTAMEX. Orden de detención activa desde 2017 por desfalco a PETROSAL. Activo en el país como representante legal de HVR Horizons / Coastal Residences. Co-demandado en caso 2024-019901-CA-03.</w:t>
            </w:r>
          </w:p>
        </w:tc>
      </w:tr>
      <w:tr>
        <w:tc>
          <w:tcPr>
            <w:tcW w:type="dxa" w:w="24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ERNESTO DANIEL
MONTOYA SALINAS</w:t>
            </w:r>
          </w:p>
        </w:tc>
        <w:tc>
          <w:tcPr>
            <w:tcW w:type="dxa" w:w="16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 Libre cond. EE.UU.</w:t>
            </w:r>
          </w:p>
        </w:tc>
        <w:tc>
          <w:tcPr>
            <w:tcW w:type="dxa" w:w="53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Caso DOJ 1:21-CR-30174 (FCPA). Culpable 22/04/2021. Pagó ~USD 1.2M en sobornos a funcionario estatal vía cuentas en Sur de Florida y Panamá. Sentencia: 5 años libertad condicional (jun. 2022). Cooperó con DOJ.</w:t>
            </w:r>
          </w:p>
        </w:tc>
      </w:tr>
      <w:tr>
        <w:tc>
          <w:tcPr>
            <w:tcW w:type="dxa" w:w="24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HÉCTOR RAMÓN
MONTOYA SALINAS</w:t>
            </w:r>
          </w:p>
        </w:tc>
        <w:tc>
          <w:tcPr>
            <w:tcW w:type="dxa" w:w="16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 DETENIDO (Extranjero)</w:t>
            </w:r>
          </w:p>
        </w:tc>
        <w:tc>
          <w:tcPr>
            <w:tcW w:type="dxa" w:w="53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Preso desde 22/09/2017. Acusado: peculado doloso, asociación para delinquir, lavado de dinero, concierto de funcionario con contratista. Causa radicada en Tribunal Penal por corte suprema.</w:t>
            </w:r>
          </w:p>
        </w:tc>
      </w:tr>
    </w:tbl>
    <w:p>
      <w:pPr>
        <w:spacing w:before="40" w:after="40"/>
      </w:pPr>
    </w:p>
    <w:p>
      <w:pPr>
        <w:pStyle w:val="Heading2"/>
        <w:spacing w:before="240" w:after="80"/>
      </w:pPr>
      <w:r>
        <w:rPr>
          <w:rFonts w:ascii="Arial" w:cs="Arial" w:eastAsia="Arial" w:hAnsi="Arial"/>
          <w:b/>
          <w:bCs/>
          <w:color w:val="2E6DA4"/>
          <w:sz w:val="24"/>
          <w:szCs w:val="24"/>
        </w:rPr>
        <w:t xml:space="preserve">5.2 CONSTAMEX — Vehículo del Desfalco</w:t>
      </w:r>
    </w:p>
    <w:p>
      <w:pPr>
        <w:spacing w:before="60" w:after="60"/>
      </w:pPr>
      <w:r>
        <w:rPr>
          <w:rFonts w:ascii="Arial" w:cs="Arial" w:eastAsia="Arial" w:hAnsi="Arial"/>
          <w:color w:val="1A1A1A"/>
          <w:sz w:val="20"/>
          <w:szCs w:val="20"/>
        </w:rPr>
        <w:t xml:space="preserve">Constructora Montoya de México S.A. (CONSTAMEX): contratos PETROSAL 2008–2016 en zonas de extracción por USD 150M+. Actividades: traslado de materiales, manejo de sólidos, maquinaria pesada. Empresa mixta con PETROSAL (nov. 2014). Flota: ~800 vehículos. Primer desplazamiento de capitales al Caribe: feb. 2015 (3 meses después de firma de empresa mixta con PETROSAL).</w:t>
      </w:r>
    </w:p>
    <w:p>
      <w:pPr>
        <w:spacing w:before="40" w:after="40"/>
      </w:pPr>
    </w:p>
    <w:p>
      <w:pPr>
        <w:pStyle w:val="Heading1"/>
        <w:pBdr>
          <w:bottom w:val="single" w:color="2E6DA4" w:sz="8" w:space="6"/>
        </w:pBdr>
        <w:spacing w:before="360" w:after="120"/>
      </w:pPr>
      <w:r>
        <w:rPr>
          <w:rFonts w:ascii="Arial" w:cs="Arial" w:eastAsia="Arial" w:hAnsi="Arial"/>
          <w:b/>
          <w:bCs/>
          <w:color w:val="1B3A5C"/>
          <w:sz w:val="28"/>
          <w:szCs w:val="28"/>
        </w:rPr>
        <w:t xml:space="preserve">PARTE VI — ECOSISTEMA DOWNTOWN PUERTO DORADO</w:t>
      </w:r>
    </w:p>
    <w:p>
      <w:pPr>
        <w:pStyle w:val="Heading2"/>
        <w:spacing w:before="240" w:after="80"/>
      </w:pPr>
      <w:r>
        <w:rPr>
          <w:rFonts w:ascii="Arial" w:cs="Arial" w:eastAsia="Arial" w:hAnsi="Arial"/>
          <w:b/>
          <w:bCs/>
          <w:color w:val="2E6DA4"/>
          <w:sz w:val="24"/>
          <w:szCs w:val="24"/>
        </w:rPr>
        <w:t xml:space="preserve">6.1 El Proyecto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D5D8DC" w:sz="1"/>
              <w:left w:val="single" w:color="D5D8DC" w:sz="1"/>
              <w:bottom w:val="single" w:color="D5D8DC" w:sz="1"/>
              <w:right w:val="single" w:color="D5D8DC" w:sz="1"/>
            </w:tcBorders>
            <w:shd w:fill="2E6DA4" w:val="clear"/>
            <w:tcMar>
              <w:top w:type="dxa" w:w="60"/>
              <w:left w:type="dxa" w:w="120"/>
              <w:bottom w:type="dxa" w:w="60"/>
              <w:right w:type="dxa" w:w="120"/>
            </w:tcMar>
          </w:tcPr>
          <w:p>
            <w:pPr>
              <w:spacing w:before="40" w:after="40"/>
            </w:pPr>
            <w:r>
              <w:rPr>
                <w:rFonts w:ascii="Arial" w:cs="Arial" w:eastAsia="Arial" w:hAnsi="Arial"/>
                <w:b/>
                <w:bCs/>
                <w:color w:val="FFFFFF"/>
                <w:sz w:val="19"/>
                <w:szCs w:val="19"/>
              </w:rPr>
              <w:t xml:space="preserve">VARIABLE</w:t>
            </w:r>
          </w:p>
        </w:tc>
        <w:tc>
          <w:tcPr>
            <w:tcW w:type="dxa" w:w="6560"/>
            <w:tcBorders>
              <w:top w:val="single" w:color="D5D8DC" w:sz="1"/>
              <w:left w:val="single" w:color="D5D8DC" w:sz="1"/>
              <w:bottom w:val="single" w:color="D5D8DC" w:sz="1"/>
              <w:right w:val="single" w:color="D5D8DC" w:sz="1"/>
            </w:tcBorders>
            <w:shd w:fill="2E6DA4" w:val="clear"/>
            <w:tcMar>
              <w:top w:type="dxa" w:w="60"/>
              <w:left w:type="dxa" w:w="120"/>
              <w:bottom w:type="dxa" w:w="60"/>
              <w:right w:type="dxa" w:w="120"/>
            </w:tcMar>
          </w:tcPr>
          <w:p>
            <w:pPr>
              <w:spacing w:before="40" w:after="40"/>
            </w:pPr>
            <w:r>
              <w:rPr>
                <w:rFonts w:ascii="Arial" w:cs="Arial" w:eastAsia="Arial" w:hAnsi="Arial"/>
                <w:color w:val="FFFFFF"/>
                <w:sz w:val="19"/>
                <w:szCs w:val="19"/>
              </w:rPr>
              <w:t xml:space="preserve">DATO</w:t>
            </w:r>
          </w:p>
        </w:tc>
      </w:tr>
      <w:tr>
        <w:tc>
          <w:tcPr>
            <w:tcW w:type="dxa" w:w="28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Inversión</w:t>
            </w:r>
          </w:p>
        </w:tc>
        <w:tc>
          <w:tcPr>
            <w:tcW w:type="dxa" w:w="65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USD 100M+ (complejo total) | USD 30M (centro adicional, anunciado 2023, entrega 2026)</w:t>
            </w:r>
          </w:p>
        </w:tc>
      </w:tr>
      <w:tr>
        <w:tc>
          <w:tcPr>
            <w:tcW w:type="dxa" w:w="28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Superficie</w:t>
            </w:r>
          </w:p>
        </w:tc>
        <w:tc>
          <w:tcPr>
            <w:tcW w:type="dxa" w:w="65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~150,000 m² totales: hotel, residencias, casino, mall, restaurantes, lago artificial, delfinario, área corporativa</w:t>
            </w:r>
          </w:p>
        </w:tc>
      </w:tr>
      <w:tr>
        <w:tc>
          <w:tcPr>
            <w:tcW w:type="dxa" w:w="28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Fundadores</w:t>
            </w:r>
          </w:p>
        </w:tc>
        <w:tc>
          <w:tcPr>
            <w:tcW w:type="dxa" w:w="65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Familia Herrera Blanco (excontratistas empresa estatal). Hermanos Montoya Salinas (socios de bajo perfil).</w:t>
            </w:r>
          </w:p>
        </w:tc>
      </w:tr>
      <w:tr>
        <w:tc>
          <w:tcPr>
            <w:tcW w:type="dxa" w:w="28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Inauguración con gobierno</w:t>
            </w:r>
          </w:p>
        </w:tc>
        <w:tc>
          <w:tcPr>
            <w:tcW w:type="dxa" w:w="65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2013: Pdte. Daniel Medrano en picada de inicio. 2021: Pdte. Luis Amaro en primer palazo de Central Park DPDO. Financiador: Banco Caribe Nacional.</w:t>
            </w:r>
          </w:p>
        </w:tc>
      </w:tr>
      <w:tr>
        <w:tc>
          <w:tcPr>
            <w:tcW w:type="dxa" w:w="28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Socio local</w:t>
            </w:r>
          </w:p>
        </w:tc>
        <w:tc>
          <w:tcPr>
            <w:tcW w:type="dxa" w:w="65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Miguel José Rosario Paniagua — combustibles, accionista medios, presidente Club Náutico.</w:t>
            </w:r>
          </w:p>
        </w:tc>
      </w:tr>
      <w:tr>
        <w:tc>
          <w:tcPr>
            <w:tcW w:type="dxa" w:w="28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HVR Horizons (hotel)</w:t>
            </w:r>
          </w:p>
        </w:tc>
        <w:tc>
          <w:tcPr>
            <w:tcW w:type="dxa" w:w="65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 Componente hotelero/residencial. 4★, 150 habitaciones. Actualmente CERRADO (sep. 2025 – ago. 2026). Listado en OTAs globales.</w:t>
            </w:r>
          </w:p>
        </w:tc>
      </w:tr>
      <w:tr>
        <w:tc>
          <w:tcPr>
            <w:tcW w:type="dxa" w:w="28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Franquicias activas</w:t>
            </w:r>
          </w:p>
        </w:tc>
        <w:tc>
          <w:tcPr>
            <w:tcW w:type="dxa" w:w="65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9"/>
                <w:szCs w:val="19"/>
              </w:rPr>
              <w:t xml:space="preserve">Coco Bello, Discovery Dolphins, Hard Rock Café, Spektaculo (Cirque de l'Art), 365 Club Experience</w:t>
            </w:r>
          </w:p>
        </w:tc>
      </w:tr>
    </w:tbl>
    <w:p>
      <w:pPr>
        <w:spacing w:before="40" w:after="40"/>
      </w:pPr>
    </w:p>
    <w:p>
      <w:pPr>
        <w:pStyle w:val="Heading1"/>
        <w:pBdr>
          <w:bottom w:val="single" w:color="2E6DA4" w:sz="8" w:space="6"/>
        </w:pBdr>
        <w:spacing w:before="360" w:after="120"/>
      </w:pPr>
      <w:r>
        <w:rPr>
          <w:rFonts w:ascii="Arial" w:cs="Arial" w:eastAsia="Arial" w:hAnsi="Arial"/>
          <w:b/>
          <w:bCs/>
          <w:color w:val="1B3A5C"/>
          <w:sz w:val="28"/>
          <w:szCs w:val="28"/>
        </w:rPr>
        <w:t xml:space="preserve">PARTE VII — EVALUACIÓN DE RIESGO ACTUALIZADA v2.1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400"/>
        <w:gridCol w:w="4760"/>
      </w:tblGrid>
      <w:tr>
        <w:tc>
          <w:tcPr>
            <w:tcW w:type="dxa" w:w="3200"/>
            <w:tcBorders>
              <w:top w:val="single" w:color="D5D8DC" w:sz="1"/>
              <w:left w:val="single" w:color="D5D8DC" w:sz="1"/>
              <w:bottom w:val="single" w:color="D5D8DC" w:sz="1"/>
              <w:right w:val="single" w:color="D5D8DC" w:sz="1"/>
            </w:tcBorders>
            <w:shd w:fill="1B3A5C" w:val="clear"/>
            <w:tcMar>
              <w:top w:type="dxa" w:w="60"/>
              <w:left w:type="dxa" w:w="120"/>
              <w:bottom w:type="dxa" w:w="60"/>
              <w:right w:type="dxa" w:w="120"/>
            </w:tcMar>
          </w:tcPr>
          <w:p>
            <w:pPr>
              <w:spacing w:before="40" w:after="40"/>
            </w:pPr>
            <w:r>
              <w:rPr>
                <w:rFonts w:ascii="Arial" w:cs="Arial" w:eastAsia="Arial" w:hAnsi="Arial"/>
                <w:b/>
                <w:bCs/>
                <w:color w:val="FFFFFF"/>
                <w:sz w:val="18"/>
                <w:szCs w:val="18"/>
              </w:rPr>
              <w:t xml:space="preserve">CATEGORÍA</w:t>
            </w:r>
          </w:p>
        </w:tc>
        <w:tc>
          <w:tcPr>
            <w:tcW w:type="dxa" w:w="1400"/>
            <w:tcBorders>
              <w:top w:val="single" w:color="D5D8DC" w:sz="1"/>
              <w:left w:val="single" w:color="D5D8DC" w:sz="1"/>
              <w:bottom w:val="single" w:color="D5D8DC" w:sz="1"/>
              <w:right w:val="single" w:color="D5D8DC" w:sz="1"/>
            </w:tcBorders>
            <w:shd w:fill="1B3A5C" w:val="clear"/>
            <w:tcMar>
              <w:top w:type="dxa" w:w="60"/>
              <w:left w:type="dxa" w:w="120"/>
              <w:bottom w:type="dxa" w:w="60"/>
              <w:right w:type="dxa" w:w="120"/>
            </w:tcMar>
          </w:tcPr>
          <w:p>
            <w:pPr>
              <w:spacing w:before="40" w:after="40"/>
            </w:pPr>
            <w:r>
              <w:rPr>
                <w:rFonts w:ascii="Arial" w:cs="Arial" w:eastAsia="Arial" w:hAnsi="Arial"/>
                <w:b w:val="false"/>
                <w:bCs w:val="false"/>
                <w:color w:val="FFFFFF"/>
                <w:sz w:val="18"/>
                <w:szCs w:val="18"/>
              </w:rPr>
              <w:t xml:space="preserve">NIVEL</w:t>
            </w:r>
          </w:p>
        </w:tc>
        <w:tc>
          <w:tcPr>
            <w:tcW w:type="dxa" w:w="4760"/>
            <w:tcBorders>
              <w:top w:val="single" w:color="D5D8DC" w:sz="1"/>
              <w:left w:val="single" w:color="D5D8DC" w:sz="1"/>
              <w:bottom w:val="single" w:color="D5D8DC" w:sz="1"/>
              <w:right w:val="single" w:color="D5D8DC" w:sz="1"/>
            </w:tcBorders>
            <w:shd w:fill="1B3A5C" w:val="clear"/>
            <w:tcMar>
              <w:top w:type="dxa" w:w="60"/>
              <w:left w:type="dxa" w:w="120"/>
              <w:bottom w:type="dxa" w:w="60"/>
              <w:right w:type="dxa" w:w="120"/>
            </w:tcMar>
          </w:tcPr>
          <w:p>
            <w:pPr>
              <w:spacing w:before="40" w:after="40"/>
            </w:pPr>
            <w:r>
              <w:rPr>
                <w:rFonts w:ascii="Arial" w:cs="Arial" w:eastAsia="Arial" w:hAnsi="Arial"/>
                <w:color w:val="FFFFFF"/>
                <w:sz w:val="18"/>
                <w:szCs w:val="18"/>
              </w:rPr>
              <w:t xml:space="preserve">FUNDAMENTO</w:t>
            </w:r>
          </w:p>
        </w:tc>
      </w:tr>
      <w:tr>
        <w:tc>
          <w:tcPr>
            <w:tcW w:type="dxa" w:w="32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Riesgo penal (EE.UU.)</w:t>
            </w:r>
          </w:p>
        </w:tc>
        <w:tc>
          <w:tcPr>
            <w:tcW w:type="dxa" w:w="1400"/>
            <w:tcBorders>
              <w:top w:val="single" w:color="D5D8DC" w:sz="1"/>
              <w:left w:val="single" w:color="D5D8DC" w:sz="1"/>
              <w:bottom w:val="single" w:color="D5D8DC" w:sz="1"/>
              <w:right w:val="single" w:color="D5D8DC" w:sz="1"/>
            </w:tcBorders>
            <w:shd w:fill="FDECEA" w:val="clear"/>
            <w:tcMar>
              <w:top w:type="dxa" w:w="60"/>
              <w:left w:type="dxa" w:w="120"/>
              <w:bottom w:type="dxa" w:w="60"/>
              <w:right w:type="dxa" w:w="120"/>
            </w:tcMar>
          </w:tcPr>
          <w:p>
            <w:pPr>
              <w:spacing w:before="40" w:after="40"/>
            </w:pPr>
            <w:r>
              <w:rPr>
                <w:rFonts w:ascii="Arial" w:cs="Arial" w:eastAsia="Arial" w:hAnsi="Arial"/>
                <w:b/>
                <w:bCs/>
                <w:color w:val="C0392B"/>
                <w:sz w:val="19"/>
                <w:szCs w:val="19"/>
              </w:rPr>
              <w:t xml:space="preserve">ALTO</w:t>
            </w:r>
          </w:p>
        </w:tc>
        <w:tc>
          <w:tcPr>
            <w:tcW w:type="dxa" w:w="47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8"/>
                <w:szCs w:val="18"/>
              </w:rPr>
              <w:t xml:space="preserve">Caso FCPA activo/sentenciado (1:21-CR-30174). Roberto Montoya prófugo con orden detención.</w:t>
            </w:r>
          </w:p>
        </w:tc>
      </w:tr>
      <w:tr>
        <w:tc>
          <w:tcPr>
            <w:tcW w:type="dxa" w:w="32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Riesgo lavado de capitales</w:t>
            </w:r>
          </w:p>
        </w:tc>
        <w:tc>
          <w:tcPr>
            <w:tcW w:type="dxa" w:w="1400"/>
            <w:tcBorders>
              <w:top w:val="single" w:color="D5D8DC" w:sz="1"/>
              <w:left w:val="single" w:color="D5D8DC" w:sz="1"/>
              <w:bottom w:val="single" w:color="D5D8DC" w:sz="1"/>
              <w:right w:val="single" w:color="D5D8DC" w:sz="1"/>
            </w:tcBorders>
            <w:shd w:fill="FDECEA" w:val="clear"/>
            <w:tcMar>
              <w:top w:type="dxa" w:w="60"/>
              <w:left w:type="dxa" w:w="120"/>
              <w:bottom w:type="dxa" w:w="60"/>
              <w:right w:type="dxa" w:w="120"/>
            </w:tcMar>
          </w:tcPr>
          <w:p>
            <w:pPr>
              <w:spacing w:before="40" w:after="40"/>
            </w:pPr>
            <w:r>
              <w:rPr>
                <w:rFonts w:ascii="Arial" w:cs="Arial" w:eastAsia="Arial" w:hAnsi="Arial"/>
                <w:b/>
                <w:bCs/>
                <w:color w:val="C0392B"/>
                <w:sz w:val="19"/>
                <w:szCs w:val="19"/>
              </w:rPr>
              <w:t xml:space="preserve">ALTO</w:t>
            </w:r>
          </w:p>
        </w:tc>
        <w:tc>
          <w:tcPr>
            <w:tcW w:type="dxa" w:w="47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8"/>
                <w:szCs w:val="18"/>
              </w:rPr>
              <w:t xml:space="preserve">25+ empresas en 4 jurisdicciones con origen en contratos PETROSAL irregulares. Capital USD 100M+ en proyecto regional.</w:t>
            </w:r>
          </w:p>
        </w:tc>
      </w:tr>
      <w:tr>
        <w:tc>
          <w:tcPr>
            <w:tcW w:type="dxa" w:w="32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Riesgo hotel cerrado</w:t>
            </w:r>
          </w:p>
        </w:tc>
        <w:tc>
          <w:tcPr>
            <w:tcW w:type="dxa" w:w="1400"/>
            <w:tcBorders>
              <w:top w:val="single" w:color="D5D8DC" w:sz="1"/>
              <w:left w:val="single" w:color="D5D8DC" w:sz="1"/>
              <w:bottom w:val="single" w:color="D5D8DC" w:sz="1"/>
              <w:right w:val="single" w:color="D5D8DC" w:sz="1"/>
            </w:tcBorders>
            <w:shd w:fill="FDECEA" w:val="clear"/>
            <w:tcMar>
              <w:top w:type="dxa" w:w="60"/>
              <w:left w:type="dxa" w:w="120"/>
              <w:bottom w:type="dxa" w:w="60"/>
              <w:right w:type="dxa" w:w="120"/>
            </w:tcMar>
          </w:tcPr>
          <w:p>
            <w:pPr>
              <w:spacing w:before="40" w:after="40"/>
            </w:pPr>
            <w:r>
              <w:rPr>
                <w:rFonts w:ascii="Arial" w:cs="Arial" w:eastAsia="Arial" w:hAnsi="Arial"/>
                <w:b/>
                <w:bCs/>
                <w:color w:val="C0392B"/>
                <w:sz w:val="19"/>
                <w:szCs w:val="19"/>
              </w:rPr>
              <w:t xml:space="preserve">NUEVO</w:t>
            </w:r>
          </w:p>
        </w:tc>
        <w:tc>
          <w:tcPr>
            <w:tcW w:type="dxa" w:w="47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8"/>
                <w:szCs w:val="18"/>
              </w:rPr>
              <w:t xml:space="preserve">HVR Horizons CERRADO sep. 2025 – ago. 2026. Impacto en ingresos hoteleros, renta de unidades y retornos de inversores.</w:t>
            </w:r>
          </w:p>
        </w:tc>
      </w:tr>
      <w:tr>
        <w:tc>
          <w:tcPr>
            <w:tcW w:type="dxa" w:w="32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Riesgo del demandante (Apex)</w:t>
            </w:r>
          </w:p>
        </w:tc>
        <w:tc>
          <w:tcPr>
            <w:tcW w:type="dxa" w:w="1400"/>
            <w:tcBorders>
              <w:top w:val="single" w:color="D5D8DC" w:sz="1"/>
              <w:left w:val="single" w:color="D5D8DC" w:sz="1"/>
              <w:bottom w:val="single" w:color="D5D8DC" w:sz="1"/>
              <w:right w:val="single" w:color="D5D8DC" w:sz="1"/>
            </w:tcBorders>
            <w:shd w:fill="FDECEA" w:val="clear"/>
            <w:tcMar>
              <w:top w:type="dxa" w:w="60"/>
              <w:left w:type="dxa" w:w="120"/>
              <w:bottom w:type="dxa" w:w="60"/>
              <w:right w:type="dxa" w:w="120"/>
            </w:tcMar>
          </w:tcPr>
          <w:p>
            <w:pPr>
              <w:spacing w:before="40" w:after="40"/>
            </w:pPr>
            <w:r>
              <w:rPr>
                <w:rFonts w:ascii="Arial" w:cs="Arial" w:eastAsia="Arial" w:hAnsi="Arial"/>
                <w:b/>
                <w:bCs/>
                <w:color w:val="C0392B"/>
                <w:sz w:val="19"/>
                <w:szCs w:val="19"/>
              </w:rPr>
              <w:t xml:space="preserve">ALTO</w:t>
            </w:r>
          </w:p>
        </w:tc>
        <w:tc>
          <w:tcPr>
            <w:tcW w:type="dxa" w:w="47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8"/>
                <w:szCs w:val="18"/>
              </w:rPr>
              <w:t xml:space="preserve">UBO desconocido. Perfil atípico. Nombre inconsistente entre expediente y registro federal.</w:t>
            </w:r>
          </w:p>
        </w:tc>
      </w:tr>
      <w:tr>
        <w:tc>
          <w:tcPr>
            <w:tcW w:type="dxa" w:w="32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Riesgo OFAC / sanciones</w:t>
            </w:r>
          </w:p>
        </w:tc>
        <w:tc>
          <w:tcPr>
            <w:tcW w:type="dxa" w:w="1400"/>
            <w:tcBorders>
              <w:top w:val="single" w:color="D5D8DC" w:sz="1"/>
              <w:left w:val="single" w:color="D5D8DC" w:sz="1"/>
              <w:bottom w:val="single" w:color="D5D8DC" w:sz="1"/>
              <w:right w:val="single" w:color="D5D8DC" w:sz="1"/>
            </w:tcBorders>
            <w:shd w:fill="FEF0E6" w:val="clear"/>
            <w:tcMar>
              <w:top w:type="dxa" w:w="60"/>
              <w:left w:type="dxa" w:w="120"/>
              <w:bottom w:type="dxa" w:w="60"/>
              <w:right w:type="dxa" w:w="120"/>
            </w:tcMar>
          </w:tcPr>
          <w:p>
            <w:pPr>
              <w:spacing w:before="40" w:after="40"/>
            </w:pPr>
            <w:r>
              <w:rPr>
                <w:rFonts w:ascii="Arial" w:cs="Arial" w:eastAsia="Arial" w:hAnsi="Arial"/>
                <w:b/>
                <w:bCs/>
                <w:color w:val="E67E22"/>
                <w:sz w:val="19"/>
                <w:szCs w:val="19"/>
              </w:rPr>
              <w:t xml:space="preserve">MODERADO</w:t>
            </w:r>
          </w:p>
        </w:tc>
        <w:tc>
          <w:tcPr>
            <w:tcW w:type="dxa" w:w="47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8"/>
                <w:szCs w:val="18"/>
              </w:rPr>
              <w:t xml:space="preserve">Sin sanciones OFAC directas confirmadas. Red incluye individuos investigados por vínculos con funcionarios sancionados.</w:t>
            </w:r>
          </w:p>
        </w:tc>
      </w:tr>
      <w:tr>
        <w:tc>
          <w:tcPr>
            <w:tcW w:type="dxa" w:w="32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Riesgo ejecución local</w:t>
            </w:r>
          </w:p>
        </w:tc>
        <w:tc>
          <w:tcPr>
            <w:tcW w:type="dxa" w:w="1400"/>
            <w:tcBorders>
              <w:top w:val="single" w:color="D5D8DC" w:sz="1"/>
              <w:left w:val="single" w:color="D5D8DC" w:sz="1"/>
              <w:bottom w:val="single" w:color="D5D8DC" w:sz="1"/>
              <w:right w:val="single" w:color="D5D8DC" w:sz="1"/>
            </w:tcBorders>
            <w:shd w:fill="FEF0E6" w:val="clear"/>
            <w:tcMar>
              <w:top w:type="dxa" w:w="60"/>
              <w:left w:type="dxa" w:w="120"/>
              <w:bottom w:type="dxa" w:w="60"/>
              <w:right w:type="dxa" w:w="120"/>
            </w:tcMar>
          </w:tcPr>
          <w:p>
            <w:pPr>
              <w:spacing w:before="40" w:after="40"/>
            </w:pPr>
            <w:r>
              <w:rPr>
                <w:rFonts w:ascii="Arial" w:cs="Arial" w:eastAsia="Arial" w:hAnsi="Arial"/>
                <w:b/>
                <w:bCs/>
                <w:color w:val="E67E22"/>
                <w:sz w:val="19"/>
                <w:szCs w:val="19"/>
              </w:rPr>
              <w:t xml:space="preserve">MODERADO</w:t>
            </w:r>
          </w:p>
        </w:tc>
        <w:tc>
          <w:tcPr>
            <w:tcW w:type="dxa" w:w="47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8"/>
                <w:szCs w:val="18"/>
              </w:rPr>
              <w:t xml:space="preserve">Cobertura política de 2 presidentes. Banco Caribe Nacional como financiador. Socio con conexiones mediáticas.</w:t>
            </w:r>
          </w:p>
        </w:tc>
      </w:tr>
      <w:tr>
        <w:tc>
          <w:tcPr>
            <w:tcW w:type="dxa" w:w="32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Riesgo reputacional</w:t>
            </w:r>
          </w:p>
        </w:tc>
        <w:tc>
          <w:tcPr>
            <w:tcW w:type="dxa" w:w="14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b/>
                <w:bCs/>
                <w:color w:val="1A1A1A"/>
                <w:sz w:val="19"/>
                <w:szCs w:val="19"/>
              </w:rPr>
              <w:t xml:space="preserve">ALTO-MOD</w:t>
            </w:r>
          </w:p>
        </w:tc>
        <w:tc>
          <w:tcPr>
            <w:tcW w:type="dxa" w:w="47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8"/>
                <w:szCs w:val="18"/>
              </w:rPr>
              <w:t xml:space="preserve">Documentado por OCCRP, medios de investigación regionales, y publicaciones de transparencia internacional.</w:t>
            </w:r>
          </w:p>
        </w:tc>
      </w:tr>
      <w:tr>
        <w:tc>
          <w:tcPr>
            <w:tcW w:type="dxa" w:w="32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Riesgo inmobiliario/mercado</w:t>
            </w:r>
          </w:p>
        </w:tc>
        <w:tc>
          <w:tcPr>
            <w:tcW w:type="dxa" w:w="1400"/>
            <w:tcBorders>
              <w:top w:val="single" w:color="D5D8DC" w:sz="1"/>
              <w:left w:val="single" w:color="D5D8DC" w:sz="1"/>
              <w:bottom w:val="single" w:color="D5D8DC" w:sz="1"/>
              <w:right w:val="single" w:color="D5D8DC" w:sz="1"/>
            </w:tcBorders>
            <w:shd w:fill="E9F7EF" w:val="clear"/>
            <w:tcMar>
              <w:top w:type="dxa" w:w="60"/>
              <w:left w:type="dxa" w:w="120"/>
              <w:bottom w:type="dxa" w:w="60"/>
              <w:right w:type="dxa" w:w="120"/>
            </w:tcMar>
          </w:tcPr>
          <w:p>
            <w:pPr>
              <w:spacing w:before="40" w:after="40"/>
            </w:pPr>
            <w:r>
              <w:rPr>
                <w:rFonts w:ascii="Arial" w:cs="Arial" w:eastAsia="Arial" w:hAnsi="Arial"/>
                <w:b/>
                <w:bCs/>
                <w:color w:val="1E7A45"/>
                <w:sz w:val="19"/>
                <w:szCs w:val="19"/>
              </w:rPr>
              <w:t xml:space="preserve">BAJO</w:t>
            </w:r>
          </w:p>
        </w:tc>
        <w:tc>
          <w:tcPr>
            <w:tcW w:type="dxa" w:w="47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8"/>
                <w:szCs w:val="18"/>
              </w:rPr>
              <w:t xml:space="preserve">Mercado turístico regional con proyección positiva. Complejo es referente establecido en la zona.</w:t>
            </w:r>
          </w:p>
        </w:tc>
      </w:tr>
    </w:tbl>
    <w:p>
      <w:pPr>
        <w:spacing w:before="40" w:after="40"/>
      </w:pPr>
    </w:p>
    <w:p>
      <w:pPr>
        <w:pStyle w:val="Heading1"/>
        <w:pBdr>
          <w:bottom w:val="single" w:color="2E6DA4" w:sz="8" w:space="6"/>
        </w:pBdr>
        <w:spacing w:before="360" w:after="120"/>
      </w:pPr>
      <w:r>
        <w:rPr>
          <w:rFonts w:ascii="Arial" w:cs="Arial" w:eastAsia="Arial" w:hAnsi="Arial"/>
          <w:b/>
          <w:bCs/>
          <w:color w:val="1B3A5C"/>
          <w:sz w:val="28"/>
          <w:szCs w:val="28"/>
        </w:rPr>
        <w:t xml:space="preserve">PARTE VIII — LÍNEA DE TIEMPO CONSOLIDADA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1400"/>
        <w:gridCol w:w="6760"/>
      </w:tblGrid>
      <w:tr>
        <w:tc>
          <w:tcPr>
            <w:tcW w:type="dxa" w:w="1200"/>
            <w:tcBorders>
              <w:top w:val="single" w:color="D5D8DC" w:sz="1"/>
              <w:left w:val="single" w:color="D5D8DC" w:sz="1"/>
              <w:bottom w:val="single" w:color="D5D8DC" w:sz="1"/>
              <w:right w:val="single" w:color="D5D8DC" w:sz="1"/>
            </w:tcBorders>
            <w:shd w:fill="1B3A5C" w:val="clear"/>
            <w:tcMar>
              <w:top w:type="dxa" w:w="60"/>
              <w:left w:type="dxa" w:w="120"/>
              <w:bottom w:type="dxa" w:w="60"/>
              <w:right w:type="dxa" w:w="120"/>
            </w:tcMar>
            <w:vAlign w:val="top"/>
          </w:tcPr>
          <w:p>
            <w:pPr>
              <w:spacing w:before="40" w:after="40"/>
            </w:pPr>
            <w:r>
              <w:rPr>
                <w:rFonts w:ascii="Arial" w:cs="Arial" w:eastAsia="Arial" w:hAnsi="Arial"/>
                <w:b/>
                <w:bCs/>
                <w:color w:val="FFFFFF"/>
                <w:sz w:val="18"/>
                <w:szCs w:val="18"/>
              </w:rPr>
              <w:t xml:space="preserve">FECHA</w:t>
            </w:r>
          </w:p>
        </w:tc>
        <w:tc>
          <w:tcPr>
            <w:tcW w:type="dxa" w:w="1400"/>
            <w:tcBorders>
              <w:top w:val="single" w:color="D5D8DC" w:sz="1"/>
              <w:left w:val="single" w:color="D5D8DC" w:sz="1"/>
              <w:bottom w:val="single" w:color="D5D8DC" w:sz="1"/>
              <w:right w:val="single" w:color="D5D8DC" w:sz="1"/>
            </w:tcBorders>
            <w:shd w:fill="1B3A5C" w:val="clear"/>
            <w:tcMar>
              <w:top w:type="dxa" w:w="60"/>
              <w:left w:type="dxa" w:w="120"/>
              <w:bottom w:type="dxa" w:w="60"/>
              <w:right w:type="dxa" w:w="120"/>
            </w:tcMar>
            <w:vAlign w:val="top"/>
          </w:tcPr>
          <w:p>
            <w:pPr>
              <w:spacing w:before="40" w:after="40"/>
            </w:pPr>
            <w:r>
              <w:rPr>
                <w:rFonts w:ascii="Arial" w:cs="Arial" w:eastAsia="Arial" w:hAnsi="Arial"/>
                <w:b/>
                <w:bCs/>
                <w:color w:val="FFFFFF"/>
                <w:sz w:val="18"/>
                <w:szCs w:val="18"/>
              </w:rPr>
              <w:t xml:space="preserve">ÁMBITO</w:t>
            </w:r>
          </w:p>
        </w:tc>
        <w:tc>
          <w:tcPr>
            <w:tcW w:type="dxa" w:w="6760"/>
            <w:tcBorders>
              <w:top w:val="single" w:color="D5D8DC" w:sz="1"/>
              <w:left w:val="single" w:color="D5D8DC" w:sz="1"/>
              <w:bottom w:val="single" w:color="D5D8DC" w:sz="1"/>
              <w:right w:val="single" w:color="D5D8DC" w:sz="1"/>
            </w:tcBorders>
            <w:shd w:fill="1B3A5C" w:val="clear"/>
            <w:tcMar>
              <w:top w:type="dxa" w:w="60"/>
              <w:left w:type="dxa" w:w="120"/>
              <w:bottom w:type="dxa" w:w="60"/>
              <w:right w:type="dxa" w:w="120"/>
            </w:tcMar>
            <w:vAlign w:val="top"/>
          </w:tcPr>
          <w:p>
            <w:pPr>
              <w:spacing w:before="40" w:after="40"/>
            </w:pPr>
            <w:r>
              <w:rPr>
                <w:rFonts w:ascii="Arial" w:cs="Arial" w:eastAsia="Arial" w:hAnsi="Arial"/>
                <w:b/>
                <w:bCs/>
                <w:color w:val="FFFFFF"/>
                <w:sz w:val="18"/>
                <w:szCs w:val="18"/>
              </w:rPr>
              <w:t xml:space="preserve">EVENTO</w:t>
            </w:r>
          </w:p>
        </w:tc>
      </w:tr>
      <w:tr>
        <w:tc>
          <w:tcPr>
            <w:tcW w:type="dxa" w:w="12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2010</w:t>
            </w:r>
          </w:p>
        </w:tc>
        <w:tc>
          <w:tcPr>
            <w:tcW w:type="dxa" w:w="14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Regional</w:t>
            </w:r>
          </w:p>
        </w:tc>
        <w:tc>
          <w:tcPr>
            <w:tcW w:type="dxa" w:w="67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Luis Herrera Blanco funda HERCON. Contratos con grupo turístico regional y constructora multinacional.</w:t>
            </w:r>
          </w:p>
        </w:tc>
      </w:tr>
      <w:tr>
        <w:tc>
          <w:tcPr>
            <w:tcW w:type="dxa" w:w="12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2010–2016</w:t>
            </w:r>
          </w:p>
        </w:tc>
        <w:tc>
          <w:tcPr>
            <w:tcW w:type="dxa" w:w="14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País de origen</w:t>
            </w:r>
          </w:p>
        </w:tc>
        <w:tc>
          <w:tcPr>
            <w:tcW w:type="dxa" w:w="67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CONSTAMEX contrata con PETROSAL en zona de extracción. USD 150M+ investigados.</w:t>
            </w:r>
          </w:p>
        </w:tc>
      </w:tr>
      <w:tr>
        <w:tc>
          <w:tcPr>
            <w:tcW w:type="dxa" w:w="12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2013</w:t>
            </w:r>
          </w:p>
        </w:tc>
        <w:tc>
          <w:tcPr>
            <w:tcW w:type="dxa" w:w="14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Regional</w:t>
            </w:r>
          </w:p>
        </w:tc>
        <w:tc>
          <w:tcPr>
            <w:tcW w:type="dxa" w:w="67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Pdte. Daniel Medrano en inauguración Downtown Puerto Dorado junto a Luis Herrera Blanco.</w:t>
            </w:r>
          </w:p>
        </w:tc>
      </w:tr>
      <w:tr>
        <w:tc>
          <w:tcPr>
            <w:tcW w:type="dxa" w:w="12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Nov 2014</w:t>
            </w:r>
          </w:p>
        </w:tc>
        <w:tc>
          <w:tcPr>
            <w:tcW w:type="dxa" w:w="14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País de origen</w:t>
            </w:r>
          </w:p>
        </w:tc>
        <w:tc>
          <w:tcPr>
            <w:tcW w:type="dxa" w:w="67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PETROSAL + CONSTAMEX firman empresa mixta 'Servicios Logísticos Petrolíferos del Sur'.</w:t>
            </w:r>
          </w:p>
        </w:tc>
      </w:tr>
      <w:tr>
        <w:tc>
          <w:tcPr>
            <w:tcW w:type="dxa" w:w="12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Feb 2015</w:t>
            </w:r>
          </w:p>
        </w:tc>
        <w:tc>
          <w:tcPr>
            <w:tcW w:type="dxa" w:w="14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Regional</w:t>
            </w:r>
          </w:p>
        </w:tc>
        <w:tc>
          <w:tcPr>
            <w:tcW w:type="dxa" w:w="67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Primera empresa local Montoya Salinas + Herrera Villegas. Inicio ecosistema conjunto.</w:t>
            </w:r>
          </w:p>
        </w:tc>
      </w:tr>
      <w:tr>
        <w:tc>
          <w:tcPr>
            <w:tcW w:type="dxa" w:w="12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Sep 2017</w:t>
            </w:r>
          </w:p>
        </w:tc>
        <w:tc>
          <w:tcPr>
            <w:tcW w:type="dxa" w:w="14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País de origen</w:t>
            </w:r>
          </w:p>
        </w:tc>
        <w:tc>
          <w:tcPr>
            <w:tcW w:type="dxa" w:w="67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Héctor Montoya detenido. Roberto y Ernesto con órdenes de detención (prófugos).</w:t>
            </w:r>
          </w:p>
        </w:tc>
      </w:tr>
      <w:tr>
        <w:tc>
          <w:tcPr>
            <w:tcW w:type="dxa" w:w="12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Sep 2020</w:t>
            </w:r>
          </w:p>
        </w:tc>
        <w:tc>
          <w:tcPr>
            <w:tcW w:type="dxa" w:w="14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Prensa</w:t>
            </w:r>
          </w:p>
        </w:tc>
        <w:tc>
          <w:tcPr>
            <w:tcW w:type="dxa" w:w="67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'Capitales en el Caribe' — medios de investigación regionales exponen al clan en Puerto Dorado.</w:t>
            </w:r>
          </w:p>
        </w:tc>
      </w:tr>
      <w:tr>
        <w:tc>
          <w:tcPr>
            <w:tcW w:type="dxa" w:w="12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Mar 2020</w:t>
            </w:r>
          </w:p>
        </w:tc>
        <w:tc>
          <w:tcPr>
            <w:tcW w:type="dxa" w:w="14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DOJ</w:t>
            </w:r>
          </w:p>
        </w:tc>
        <w:tc>
          <w:tcPr>
            <w:tcW w:type="dxa" w:w="67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Fiscalía Sur presenta cargos FCPA contra Ernesto Montoya (Docket 1:21-CR-30174).</w:t>
            </w:r>
          </w:p>
        </w:tc>
      </w:tr>
      <w:tr>
        <w:tc>
          <w:tcPr>
            <w:tcW w:type="dxa" w:w="12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22/04/2021</w:t>
            </w:r>
          </w:p>
        </w:tc>
        <w:tc>
          <w:tcPr>
            <w:tcW w:type="dxa" w:w="14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DOJ</w:t>
            </w:r>
          </w:p>
        </w:tc>
        <w:tc>
          <w:tcPr>
            <w:tcW w:type="dxa" w:w="67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Ernesto Montoya se declara culpable. Sobornos USD 1.2M+ vía Florida y Panamá.</w:t>
            </w:r>
          </w:p>
        </w:tc>
      </w:tr>
      <w:tr>
        <w:tc>
          <w:tcPr>
            <w:tcW w:type="dxa" w:w="12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Jul 2021</w:t>
            </w:r>
          </w:p>
        </w:tc>
        <w:tc>
          <w:tcPr>
            <w:tcW w:type="dxa" w:w="14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Regional</w:t>
            </w:r>
          </w:p>
        </w:tc>
        <w:tc>
          <w:tcPr>
            <w:tcW w:type="dxa" w:w="67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Primer palazo Central Park DPDO con Pdte. Amaro y Min. Collantes. Banco Caribe Nacional financia.</w:t>
            </w:r>
          </w:p>
        </w:tc>
      </w:tr>
      <w:tr>
        <w:tc>
          <w:tcPr>
            <w:tcW w:type="dxa" w:w="12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Jun 2022</w:t>
            </w:r>
          </w:p>
        </w:tc>
        <w:tc>
          <w:tcPr>
            <w:tcW w:type="dxa" w:w="14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DOJ</w:t>
            </w:r>
          </w:p>
        </w:tc>
        <w:tc>
          <w:tcPr>
            <w:tcW w:type="dxa" w:w="67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Sentencia: 5 años libertad condicional a Ernesto Montoya. Cooperó con DOJ.</w:t>
            </w:r>
          </w:p>
        </w:tc>
      </w:tr>
      <w:tr>
        <w:tc>
          <w:tcPr>
            <w:tcW w:type="dxa" w:w="12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Jul 2023</w:t>
            </w:r>
          </w:p>
        </w:tc>
        <w:tc>
          <w:tcPr>
            <w:tcW w:type="dxa" w:w="14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Regional</w:t>
            </w:r>
          </w:p>
        </w:tc>
        <w:tc>
          <w:tcPr>
            <w:tcW w:type="dxa" w:w="67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Anuncio Centro Empresarial Turístico (USD 30M, entrega 1er sem. 2026). Presencia grupo inmobiliario regional.</w:t>
            </w:r>
          </w:p>
        </w:tc>
      </w:tr>
      <w:tr>
        <w:tc>
          <w:tcPr>
            <w:tcW w:type="dxa" w:w="12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02/11/2024</w:t>
            </w:r>
          </w:p>
        </w:tc>
        <w:tc>
          <w:tcPr>
            <w:tcW w:type="dxa" w:w="14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 Litigio</w:t>
            </w:r>
          </w:p>
        </w:tc>
        <w:tc>
          <w:tcPr>
            <w:tcW w:type="dxa" w:w="67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APEX GLOBAL VENTURES LLC presenta demanda civil. Filing # 310145203. Case No. 2024-019901-CA-03. Monto: &gt;USD 100K.</w:t>
            </w:r>
          </w:p>
        </w:tc>
      </w:tr>
      <w:tr>
        <w:tc>
          <w:tcPr>
            <w:tcW w:type="dxa" w:w="12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12/09/2025</w:t>
            </w:r>
          </w:p>
        </w:tc>
        <w:tc>
          <w:tcPr>
            <w:tcW w:type="dxa" w:w="14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 Hotel</w:t>
            </w:r>
          </w:p>
        </w:tc>
        <w:tc>
          <w:tcPr>
            <w:tcW w:type="dxa" w:w="67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HVR HORIZONS CIERRA. Reapertura comprometida: 31 ago. 2026. Hotel inoperativo durante ~11.5 meses.</w:t>
            </w:r>
          </w:p>
        </w:tc>
      </w:tr>
      <w:tr>
        <w:tc>
          <w:tcPr>
            <w:tcW w:type="dxa" w:w="1200"/>
            <w:tcBorders>
              <w:top w:val="single" w:color="D5D8DC" w:sz="1"/>
              <w:left w:val="single" w:color="D5D8DC" w:sz="1"/>
              <w:bottom w:val="single" w:color="D5D8DC" w:sz="1"/>
              <w:right w:val="single" w:color="D5D8DC" w:sz="1"/>
            </w:tcBorders>
            <w:shd w:fill="D0E4F7"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Mar 2026</w:t>
            </w:r>
          </w:p>
        </w:tc>
        <w:tc>
          <w:tcPr>
            <w:tcW w:type="dxa" w:w="14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Status</w:t>
            </w:r>
          </w:p>
        </w:tc>
        <w:tc>
          <w:tcPr>
            <w:tcW w:type="dxa" w:w="676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vAlign w:val="top"/>
          </w:tcPr>
          <w:p>
            <w:pPr>
              <w:spacing w:before="40" w:after="40"/>
            </w:pPr>
            <w:r>
              <w:rPr>
                <w:rFonts w:ascii="Arial" w:cs="Arial" w:eastAsia="Arial" w:hAnsi="Arial"/>
                <w:b w:val="false"/>
                <w:bCs w:val="false"/>
                <w:color w:val="1A1A1A"/>
                <w:sz w:val="19"/>
                <w:szCs w:val="19"/>
              </w:rPr>
              <w:t xml:space="preserve">Caso civil 2024 en desarrollo. Hotel cerrado. Roberto Montoya activo en la región (prófugo). Ernesto Montoya en libertad condicional EE.UU.</w:t>
            </w:r>
          </w:p>
        </w:tc>
      </w:tr>
    </w:tbl>
    <w:p>
      <w:pPr>
        <w:spacing w:before="40" w:after="40"/>
      </w:pPr>
    </w:p>
    <w:p>
      <w:pPr>
        <w:pStyle w:val="Heading1"/>
        <w:pBdr>
          <w:bottom w:val="single" w:color="2E6DA4" w:sz="8" w:space="6"/>
        </w:pBdr>
        <w:spacing w:before="360" w:after="120"/>
      </w:pPr>
      <w:r>
        <w:rPr>
          <w:rFonts w:ascii="Arial" w:cs="Arial" w:eastAsia="Arial" w:hAnsi="Arial"/>
          <w:b/>
          <w:bCs/>
          <w:color w:val="1B3A5C"/>
          <w:sz w:val="28"/>
          <w:szCs w:val="28"/>
        </w:rPr>
        <w:t xml:space="preserve">PARTE IX — RECOMENDACIONES ESTRATÉGICAS ACTUALIZADAS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
        <w:gridCol w:w="2760"/>
        <w:gridCol w:w="6000"/>
      </w:tblGrid>
      <w:tr>
        <w:tc>
          <w:tcPr>
            <w:tcW w:type="dxa" w:w="600"/>
            <w:tcBorders>
              <w:top w:val="single" w:color="D5D8DC" w:sz="1"/>
              <w:left w:val="single" w:color="D5D8DC" w:sz="1"/>
              <w:bottom w:val="single" w:color="D5D8DC" w:sz="1"/>
              <w:right w:val="single" w:color="D5D8DC" w:sz="1"/>
            </w:tcBorders>
            <w:shd w:fill="1B3A5C" w:val="clear"/>
            <w:tcMar>
              <w:top w:type="dxa" w:w="60"/>
              <w:left w:type="dxa" w:w="120"/>
              <w:bottom w:type="dxa" w:w="60"/>
              <w:right w:type="dxa" w:w="120"/>
            </w:tcMar>
          </w:tcPr>
          <w:p>
            <w:pPr>
              <w:spacing w:before="40" w:after="40"/>
              <w:jc w:val="center"/>
            </w:pPr>
            <w:r>
              <w:rPr>
                <w:rFonts w:ascii="Arial" w:cs="Arial" w:eastAsia="Arial" w:hAnsi="Arial"/>
                <w:b/>
                <w:bCs/>
                <w:color w:val="FFFFFF"/>
                <w:sz w:val="18"/>
                <w:szCs w:val="18"/>
              </w:rPr>
              <w:t xml:space="preserve">PRI.</w:t>
            </w:r>
          </w:p>
        </w:tc>
        <w:tc>
          <w:tcPr>
            <w:tcW w:type="dxa" w:w="2760"/>
            <w:tcBorders>
              <w:top w:val="single" w:color="D5D8DC" w:sz="1"/>
              <w:left w:val="single" w:color="D5D8DC" w:sz="1"/>
              <w:bottom w:val="single" w:color="D5D8DC" w:sz="1"/>
              <w:right w:val="single" w:color="D5D8DC" w:sz="1"/>
            </w:tcBorders>
            <w:shd w:fill="1B3A5C" w:val="clear"/>
            <w:tcMar>
              <w:top w:type="dxa" w:w="60"/>
              <w:left w:type="dxa" w:w="120"/>
              <w:bottom w:type="dxa" w:w="60"/>
              <w:right w:type="dxa" w:w="120"/>
            </w:tcMar>
          </w:tcPr>
          <w:p>
            <w:pPr>
              <w:spacing w:before="40" w:after="40"/>
            </w:pPr>
            <w:r>
              <w:rPr>
                <w:rFonts w:ascii="Arial" w:cs="Arial" w:eastAsia="Arial" w:hAnsi="Arial"/>
                <w:b/>
                <w:bCs/>
                <w:color w:val="FFFFFF"/>
                <w:sz w:val="19"/>
                <w:szCs w:val="19"/>
              </w:rPr>
              <w:t xml:space="preserve">ACCIÓN</w:t>
            </w:r>
          </w:p>
        </w:tc>
        <w:tc>
          <w:tcPr>
            <w:tcW w:type="dxa" w:w="6000"/>
            <w:tcBorders>
              <w:top w:val="single" w:color="D5D8DC" w:sz="1"/>
              <w:left w:val="single" w:color="D5D8DC" w:sz="1"/>
              <w:bottom w:val="single" w:color="D5D8DC" w:sz="1"/>
              <w:right w:val="single" w:color="D5D8DC" w:sz="1"/>
            </w:tcBorders>
            <w:shd w:fill="1B3A5C" w:val="clear"/>
            <w:tcMar>
              <w:top w:type="dxa" w:w="60"/>
              <w:left w:type="dxa" w:w="120"/>
              <w:bottom w:type="dxa" w:w="60"/>
              <w:right w:type="dxa" w:w="120"/>
            </w:tcMar>
          </w:tcPr>
          <w:p>
            <w:pPr>
              <w:spacing w:before="40" w:after="40"/>
            </w:pPr>
            <w:r>
              <w:rPr>
                <w:rFonts w:ascii="Arial" w:cs="Arial" w:eastAsia="Arial" w:hAnsi="Arial"/>
                <w:color w:val="FFFFFF"/>
                <w:sz w:val="18"/>
                <w:szCs w:val="18"/>
              </w:rPr>
              <w:t xml:space="preserve">FUNDAMENTO</w:t>
            </w:r>
          </w:p>
        </w:tc>
      </w:tr>
      <w:tr>
        <w:tc>
          <w:tcPr>
            <w:tcW w:type="dxa" w:w="600"/>
            <w:tcBorders>
              <w:top w:val="single" w:color="D5D8DC" w:sz="1"/>
              <w:left w:val="single" w:color="D5D8DC" w:sz="1"/>
              <w:bottom w:val="single" w:color="D5D8DC" w:sz="1"/>
              <w:right w:val="single" w:color="D5D8DC" w:sz="1"/>
            </w:tcBorders>
            <w:shd w:fill="FDECEA" w:val="clear"/>
            <w:tcMar>
              <w:top w:type="dxa" w:w="60"/>
              <w:left w:type="dxa" w:w="120"/>
              <w:bottom w:type="dxa" w:w="60"/>
              <w:right w:type="dxa" w:w="120"/>
            </w:tcMar>
          </w:tcPr>
          <w:p>
            <w:pPr>
              <w:spacing w:before="40" w:after="40"/>
              <w:jc w:val="center"/>
            </w:pPr>
            <w:r>
              <w:rPr>
                <w:rFonts w:ascii="Arial" w:cs="Arial" w:eastAsia="Arial" w:hAnsi="Arial"/>
                <w:b w:val="false"/>
                <w:bCs w:val="false"/>
                <w:color w:val="1A1A1A"/>
                <w:sz w:val="18"/>
                <w:szCs w:val="18"/>
              </w:rPr>
              <w:t xml:space="preserve">🔴</w:t>
            </w:r>
          </w:p>
        </w:tc>
        <w:tc>
          <w:tcPr>
            <w:tcW w:type="dxa" w:w="2760"/>
            <w:tcBorders>
              <w:top w:val="single" w:color="D5D8DC" w:sz="1"/>
              <w:left w:val="single" w:color="D5D8DC" w:sz="1"/>
              <w:bottom w:val="single" w:color="D5D8DC" w:sz="1"/>
              <w:right w:val="single" w:color="D5D8DC" w:sz="1"/>
            </w:tcBorders>
            <w:shd w:fill="FDECEA"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Obtener Complaint completa del caso 2024-019901-CA-03</w:t>
            </w:r>
          </w:p>
        </w:tc>
        <w:tc>
          <w:tcPr>
            <w:tcW w:type="dxa" w:w="60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8"/>
                <w:szCs w:val="18"/>
              </w:rPr>
              <w:t xml:space="preserve">Acceder al Clerk of Courts con el Case No. exacto. La Complaint revelará: (a) teoría legal exacta, (b) monto detallado, (c) anexos contractuales, (d) identidad completa de Apex Global.</w:t>
            </w:r>
          </w:p>
        </w:tc>
      </w:tr>
      <w:tr>
        <w:tc>
          <w:tcPr>
            <w:tcW w:type="dxa" w:w="600"/>
            <w:tcBorders>
              <w:top w:val="single" w:color="D5D8DC" w:sz="1"/>
              <w:left w:val="single" w:color="D5D8DC" w:sz="1"/>
              <w:bottom w:val="single" w:color="D5D8DC" w:sz="1"/>
              <w:right w:val="single" w:color="D5D8DC" w:sz="1"/>
            </w:tcBorders>
            <w:shd w:fill="FDECEA" w:val="clear"/>
            <w:tcMar>
              <w:top w:type="dxa" w:w="60"/>
              <w:left w:type="dxa" w:w="120"/>
              <w:bottom w:type="dxa" w:w="60"/>
              <w:right w:type="dxa" w:w="120"/>
            </w:tcMar>
          </w:tcPr>
          <w:p>
            <w:pPr>
              <w:spacing w:before="40" w:after="40"/>
              <w:jc w:val="center"/>
            </w:pPr>
            <w:r>
              <w:rPr>
                <w:rFonts w:ascii="Arial" w:cs="Arial" w:eastAsia="Arial" w:hAnsi="Arial"/>
                <w:b w:val="false"/>
                <w:bCs w:val="false"/>
                <w:color w:val="1A1A1A"/>
                <w:sz w:val="18"/>
                <w:szCs w:val="18"/>
              </w:rPr>
              <w:t xml:space="preserve">🔴</w:t>
            </w:r>
          </w:p>
        </w:tc>
        <w:tc>
          <w:tcPr>
            <w:tcW w:type="dxa" w:w="2760"/>
            <w:tcBorders>
              <w:top w:val="single" w:color="D5D8DC" w:sz="1"/>
              <w:left w:val="single" w:color="D5D8DC" w:sz="1"/>
              <w:bottom w:val="single" w:color="D5D8DC" w:sz="1"/>
              <w:right w:val="single" w:color="D5D8DC" w:sz="1"/>
            </w:tcBorders>
            <w:shd w:fill="FDECEA"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Verificar UBO de Apex Global Ventures LLC</w:t>
            </w:r>
          </w:p>
        </w:tc>
        <w:tc>
          <w:tcPr>
            <w:tcW w:type="dxa" w:w="60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8"/>
                <w:szCs w:val="18"/>
              </w:rPr>
              <w:t xml:space="preserve">Registro estatal: buscar 'Apex Global Ventures LLC'. Obtener Articles of Incorporation. Identificar beneficiario final real.</w:t>
            </w:r>
          </w:p>
        </w:tc>
      </w:tr>
      <w:tr>
        <w:tc>
          <w:tcPr>
            <w:tcW w:type="dxa" w:w="600"/>
            <w:tcBorders>
              <w:top w:val="single" w:color="D5D8DC" w:sz="1"/>
              <w:left w:val="single" w:color="D5D8DC" w:sz="1"/>
              <w:bottom w:val="single" w:color="D5D8DC" w:sz="1"/>
              <w:right w:val="single" w:color="D5D8DC" w:sz="1"/>
            </w:tcBorders>
            <w:shd w:fill="FDECEA" w:val="clear"/>
            <w:tcMar>
              <w:top w:type="dxa" w:w="60"/>
              <w:left w:type="dxa" w:w="120"/>
              <w:bottom w:type="dxa" w:w="60"/>
              <w:right w:type="dxa" w:w="120"/>
            </w:tcMar>
          </w:tcPr>
          <w:p>
            <w:pPr>
              <w:spacing w:before="40" w:after="40"/>
              <w:jc w:val="center"/>
            </w:pPr>
            <w:r>
              <w:rPr>
                <w:rFonts w:ascii="Arial" w:cs="Arial" w:eastAsia="Arial" w:hAnsi="Arial"/>
                <w:b w:val="false"/>
                <w:bCs w:val="false"/>
                <w:color w:val="1A1A1A"/>
                <w:sz w:val="18"/>
                <w:szCs w:val="18"/>
              </w:rPr>
              <w:t xml:space="preserve">🔴</w:t>
            </w:r>
          </w:p>
        </w:tc>
        <w:tc>
          <w:tcPr>
            <w:tcW w:type="dxa" w:w="2760"/>
            <w:tcBorders>
              <w:top w:val="single" w:color="D5D8DC" w:sz="1"/>
              <w:left w:val="single" w:color="D5D8DC" w:sz="1"/>
              <w:bottom w:val="single" w:color="D5D8DC" w:sz="1"/>
              <w:right w:val="single" w:color="D5D8DC" w:sz="1"/>
            </w:tcBorders>
            <w:shd w:fill="FDECEA"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Investigar razón de cierre del hotel HVR Horizons</w:t>
            </w:r>
          </w:p>
        </w:tc>
        <w:tc>
          <w:tcPr>
            <w:tcW w:type="dxa" w:w="60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8"/>
                <w:szCs w:val="18"/>
              </w:rPr>
              <w:t xml:space="preserve">El hotel cerró 10 meses después de la demanda. Verificar si el cierre es por obras, conflicto legal, problemas financieros o decisión estratégica.</w:t>
            </w:r>
          </w:p>
        </w:tc>
      </w:tr>
      <w:tr>
        <w:tc>
          <w:tcPr>
            <w:tcW w:type="dxa" w:w="600"/>
            <w:tcBorders>
              <w:top w:val="single" w:color="D5D8DC" w:sz="1"/>
              <w:left w:val="single" w:color="D5D8DC" w:sz="1"/>
              <w:bottom w:val="single" w:color="D5D8DC" w:sz="1"/>
              <w:right w:val="single" w:color="D5D8DC" w:sz="1"/>
            </w:tcBorders>
            <w:shd w:fill="FDECEA" w:val="clear"/>
            <w:tcMar>
              <w:top w:type="dxa" w:w="60"/>
              <w:left w:type="dxa" w:w="120"/>
              <w:bottom w:type="dxa" w:w="60"/>
              <w:right w:type="dxa" w:w="120"/>
            </w:tcMar>
          </w:tcPr>
          <w:p>
            <w:pPr>
              <w:spacing w:before="40" w:after="40"/>
              <w:jc w:val="center"/>
            </w:pPr>
            <w:r>
              <w:rPr>
                <w:rFonts w:ascii="Arial" w:cs="Arial" w:eastAsia="Arial" w:hAnsi="Arial"/>
                <w:b w:val="false"/>
                <w:bCs w:val="false"/>
                <w:color w:val="1A1A1A"/>
                <w:sz w:val="18"/>
                <w:szCs w:val="18"/>
              </w:rPr>
              <w:t xml:space="preserve">🔴</w:t>
            </w:r>
          </w:p>
        </w:tc>
        <w:tc>
          <w:tcPr>
            <w:tcW w:type="dxa" w:w="2760"/>
            <w:tcBorders>
              <w:top w:val="single" w:color="D5D8DC" w:sz="1"/>
              <w:left w:val="single" w:color="D5D8DC" w:sz="1"/>
              <w:bottom w:val="single" w:color="D5D8DC" w:sz="1"/>
              <w:right w:val="single" w:color="D5D8DC" w:sz="1"/>
            </w:tcBorders>
            <w:shd w:fill="FDECEA"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Revisar Factual Proffer DOJ caso FCPA</w:t>
            </w:r>
          </w:p>
        </w:tc>
        <w:tc>
          <w:tcPr>
            <w:tcW w:type="dxa" w:w="60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8"/>
                <w:szCs w:val="18"/>
              </w:rPr>
              <w:t xml:space="preserve">El Factual Proffer detalla los esquemas bancarios y empresas usadas en los sobornos. Puede mencionar entidades del ecosistema regional.</w:t>
            </w:r>
          </w:p>
        </w:tc>
      </w:tr>
      <w:tr>
        <w:tc>
          <w:tcPr>
            <w:tcW w:type="dxa" w:w="600"/>
            <w:tcBorders>
              <w:top w:val="single" w:color="D5D8DC" w:sz="1"/>
              <w:left w:val="single" w:color="D5D8DC" w:sz="1"/>
              <w:bottom w:val="single" w:color="D5D8DC" w:sz="1"/>
              <w:right w:val="single" w:color="D5D8DC" w:sz="1"/>
            </w:tcBorders>
            <w:shd w:fill="FEF9E7" w:val="clear"/>
            <w:tcMar>
              <w:top w:type="dxa" w:w="60"/>
              <w:left w:type="dxa" w:w="120"/>
              <w:bottom w:type="dxa" w:w="60"/>
              <w:right w:type="dxa" w:w="120"/>
            </w:tcMar>
          </w:tcPr>
          <w:p>
            <w:pPr>
              <w:spacing w:before="40" w:after="40"/>
              <w:jc w:val="center"/>
            </w:pPr>
            <w:r>
              <w:rPr>
                <w:rFonts w:ascii="Arial" w:cs="Arial" w:eastAsia="Arial" w:hAnsi="Arial"/>
                <w:b w:val="false"/>
                <w:bCs w:val="false"/>
                <w:color w:val="1A1A1A"/>
                <w:sz w:val="18"/>
                <w:szCs w:val="18"/>
              </w:rPr>
              <w:t xml:space="preserve">🟡</w:t>
            </w:r>
          </w:p>
        </w:tc>
        <w:tc>
          <w:tcPr>
            <w:tcW w:type="dxa" w:w="2760"/>
            <w:tcBorders>
              <w:top w:val="single" w:color="D5D8DC" w:sz="1"/>
              <w:left w:val="single" w:color="D5D8DC" w:sz="1"/>
              <w:bottom w:val="single" w:color="D5D8DC" w:sz="1"/>
              <w:right w:val="single" w:color="D5D8DC" w:sz="1"/>
            </w:tcBorders>
            <w:shd w:fill="FEF9E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Verificar HVR Horizons LLC en registro estatal</w:t>
            </w:r>
          </w:p>
        </w:tc>
        <w:tc>
          <w:tcPr>
            <w:tcW w:type="dxa" w:w="60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8"/>
                <w:szCs w:val="18"/>
              </w:rPr>
              <w:t xml:space="preserve">Obtener registered agent, officers y fecha de incorporación. Verificar si Roberto Montoya figura como manager.</w:t>
            </w:r>
          </w:p>
        </w:tc>
      </w:tr>
      <w:tr>
        <w:tc>
          <w:tcPr>
            <w:tcW w:type="dxa" w:w="600"/>
            <w:tcBorders>
              <w:top w:val="single" w:color="D5D8DC" w:sz="1"/>
              <w:left w:val="single" w:color="D5D8DC" w:sz="1"/>
              <w:bottom w:val="single" w:color="D5D8DC" w:sz="1"/>
              <w:right w:val="single" w:color="D5D8DC" w:sz="1"/>
            </w:tcBorders>
            <w:shd w:fill="FEF9E7" w:val="clear"/>
            <w:tcMar>
              <w:top w:type="dxa" w:w="60"/>
              <w:left w:type="dxa" w:w="120"/>
              <w:bottom w:type="dxa" w:w="60"/>
              <w:right w:type="dxa" w:w="120"/>
            </w:tcMar>
          </w:tcPr>
          <w:p>
            <w:pPr>
              <w:spacing w:before="40" w:after="40"/>
              <w:jc w:val="center"/>
            </w:pPr>
            <w:r>
              <w:rPr>
                <w:rFonts w:ascii="Arial" w:cs="Arial" w:eastAsia="Arial" w:hAnsi="Arial"/>
                <w:b w:val="false"/>
                <w:bCs w:val="false"/>
                <w:color w:val="1A1A1A"/>
                <w:sz w:val="18"/>
                <w:szCs w:val="18"/>
              </w:rPr>
              <w:t xml:space="preserve">🟡</w:t>
            </w:r>
          </w:p>
        </w:tc>
        <w:tc>
          <w:tcPr>
            <w:tcW w:type="dxa" w:w="2760"/>
            <w:tcBorders>
              <w:top w:val="single" w:color="D5D8DC" w:sz="1"/>
              <w:left w:val="single" w:color="D5D8DC" w:sz="1"/>
              <w:bottom w:val="single" w:color="D5D8DC" w:sz="1"/>
              <w:right w:val="single" w:color="D5D8DC" w:sz="1"/>
            </w:tcBorders>
            <w:shd w:fill="FEF9E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Buscar Coastal Residences HVPC, SRL en Registro Mercantil local</w:t>
            </w:r>
          </w:p>
        </w:tc>
        <w:tc>
          <w:tcPr>
            <w:tcW w:type="dxa" w:w="60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8"/>
                <w:szCs w:val="18"/>
              </w:rPr>
              <w:t xml:space="preserve">Obtener socios, número de registro, acta constitutiva y representante legal.</w:t>
            </w:r>
          </w:p>
        </w:tc>
      </w:tr>
      <w:tr>
        <w:tc>
          <w:tcPr>
            <w:tcW w:type="dxa" w:w="600"/>
            <w:tcBorders>
              <w:top w:val="single" w:color="D5D8DC" w:sz="1"/>
              <w:left w:val="single" w:color="D5D8DC" w:sz="1"/>
              <w:bottom w:val="single" w:color="D5D8DC" w:sz="1"/>
              <w:right w:val="single" w:color="D5D8DC" w:sz="1"/>
            </w:tcBorders>
            <w:shd w:fill="FEF9E7" w:val="clear"/>
            <w:tcMar>
              <w:top w:type="dxa" w:w="60"/>
              <w:left w:type="dxa" w:w="120"/>
              <w:bottom w:type="dxa" w:w="60"/>
              <w:right w:type="dxa" w:w="120"/>
            </w:tcMar>
          </w:tcPr>
          <w:p>
            <w:pPr>
              <w:spacing w:before="40" w:after="40"/>
              <w:jc w:val="center"/>
            </w:pPr>
            <w:r>
              <w:rPr>
                <w:rFonts w:ascii="Arial" w:cs="Arial" w:eastAsia="Arial" w:hAnsi="Arial"/>
                <w:b w:val="false"/>
                <w:bCs w:val="false"/>
                <w:color w:val="1A1A1A"/>
                <w:sz w:val="18"/>
                <w:szCs w:val="18"/>
              </w:rPr>
              <w:t xml:space="preserve">🟡</w:t>
            </w:r>
          </w:p>
        </w:tc>
        <w:tc>
          <w:tcPr>
            <w:tcW w:type="dxa" w:w="2760"/>
            <w:tcBorders>
              <w:top w:val="single" w:color="D5D8DC" w:sz="1"/>
              <w:left w:val="single" w:color="D5D8DC" w:sz="1"/>
              <w:bottom w:val="single" w:color="D5D8DC" w:sz="1"/>
              <w:right w:val="single" w:color="D5D8DC" w:sz="1"/>
            </w:tcBorders>
            <w:shd w:fill="FEF9E7"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Monitoreo de reapertura del hotel (ago. 2026)</w:t>
            </w:r>
          </w:p>
        </w:tc>
        <w:tc>
          <w:tcPr>
            <w:tcW w:type="dxa" w:w="60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8"/>
                <w:szCs w:val="18"/>
              </w:rPr>
              <w:t xml:space="preserve">El hotel comprometió reapertura el 31 ago. 2026. Si no reabre, indica problemas operacionales/financieros graves.</w:t>
            </w:r>
          </w:p>
        </w:tc>
      </w:tr>
      <w:tr>
        <w:tc>
          <w:tcPr>
            <w:tcW w:type="dxa" w:w="600"/>
            <w:tcBorders>
              <w:top w:val="single" w:color="D5D8DC" w:sz="1"/>
              <w:left w:val="single" w:color="D5D8DC" w:sz="1"/>
              <w:bottom w:val="single" w:color="D5D8DC" w:sz="1"/>
              <w:right w:val="single" w:color="D5D8DC" w:sz="1"/>
            </w:tcBorders>
            <w:shd w:fill="FEF0E6" w:val="clear"/>
            <w:tcMar>
              <w:top w:type="dxa" w:w="60"/>
              <w:left w:type="dxa" w:w="120"/>
              <w:bottom w:type="dxa" w:w="60"/>
              <w:right w:type="dxa" w:w="120"/>
            </w:tcMar>
          </w:tcPr>
          <w:p>
            <w:pPr>
              <w:spacing w:before="40" w:after="40"/>
              <w:jc w:val="center"/>
            </w:pPr>
            <w:r>
              <w:rPr>
                <w:rFonts w:ascii="Arial" w:cs="Arial" w:eastAsia="Arial" w:hAnsi="Arial"/>
                <w:b w:val="false"/>
                <w:bCs w:val="false"/>
                <w:color w:val="1A1A1A"/>
                <w:sz w:val="18"/>
                <w:szCs w:val="18"/>
              </w:rPr>
              <w:t xml:space="preserve">🟠</w:t>
            </w:r>
          </w:p>
        </w:tc>
        <w:tc>
          <w:tcPr>
            <w:tcW w:type="dxa" w:w="2760"/>
            <w:tcBorders>
              <w:top w:val="single" w:color="D5D8DC" w:sz="1"/>
              <w:left w:val="single" w:color="D5D8DC" w:sz="1"/>
              <w:bottom w:val="single" w:color="D5D8DC" w:sz="1"/>
              <w:right w:val="single" w:color="D5D8DC" w:sz="1"/>
            </w:tcBorders>
            <w:shd w:fill="FEF0E6"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Investigar relación Apex Global con diáspora latinoamericana</w:t>
            </w:r>
          </w:p>
        </w:tc>
        <w:tc>
          <w:tcPr>
            <w:tcW w:type="dxa" w:w="60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8"/>
                <w:szCs w:val="18"/>
              </w:rPr>
              <w:t xml:space="preserve">Sunfield y Phoenix tienen comunidades importantes. Michael Serrano podría tener conexión al ecosistema regional.</w:t>
            </w:r>
          </w:p>
        </w:tc>
      </w:tr>
      <w:tr>
        <w:tc>
          <w:tcPr>
            <w:tcW w:type="dxa" w:w="600"/>
            <w:tcBorders>
              <w:top w:val="single" w:color="D5D8DC" w:sz="1"/>
              <w:left w:val="single" w:color="D5D8DC" w:sz="1"/>
              <w:bottom w:val="single" w:color="D5D8DC" w:sz="1"/>
              <w:right w:val="single" w:color="D5D8DC" w:sz="1"/>
            </w:tcBorders>
            <w:shd w:fill="E9F7EF" w:val="clear"/>
            <w:tcMar>
              <w:top w:type="dxa" w:w="60"/>
              <w:left w:type="dxa" w:w="120"/>
              <w:bottom w:type="dxa" w:w="60"/>
              <w:right w:type="dxa" w:w="120"/>
            </w:tcMar>
          </w:tcPr>
          <w:p>
            <w:pPr>
              <w:spacing w:before="40" w:after="40"/>
              <w:jc w:val="center"/>
            </w:pPr>
            <w:r>
              <w:rPr>
                <w:rFonts w:ascii="Arial" w:cs="Arial" w:eastAsia="Arial" w:hAnsi="Arial"/>
                <w:b w:val="false"/>
                <w:bCs w:val="false"/>
                <w:color w:val="1A1A1A"/>
                <w:sz w:val="18"/>
                <w:szCs w:val="18"/>
              </w:rPr>
              <w:t xml:space="preserve">🟢</w:t>
            </w:r>
          </w:p>
        </w:tc>
        <w:tc>
          <w:tcPr>
            <w:tcW w:type="dxa" w:w="2760"/>
            <w:tcBorders>
              <w:top w:val="single" w:color="D5D8DC" w:sz="1"/>
              <w:left w:val="single" w:color="D5D8DC" w:sz="1"/>
              <w:bottom w:val="single" w:color="D5D8DC" w:sz="1"/>
              <w:right w:val="single" w:color="D5D8DC" w:sz="1"/>
            </w:tcBorders>
            <w:shd w:fill="E9F7EF" w:val="clear"/>
            <w:tcMar>
              <w:top w:type="dxa" w:w="60"/>
              <w:left w:type="dxa" w:w="120"/>
              <w:bottom w:type="dxa" w:w="60"/>
              <w:right w:type="dxa" w:w="120"/>
            </w:tcMar>
          </w:tcPr>
          <w:p>
            <w:pPr>
              <w:spacing w:before="40" w:after="40"/>
            </w:pPr>
            <w:r>
              <w:rPr>
                <w:rFonts w:ascii="Arial" w:cs="Arial" w:eastAsia="Arial" w:hAnsi="Arial"/>
                <w:b/>
                <w:bCs/>
                <w:color w:val="1B3A5C"/>
                <w:sz w:val="19"/>
                <w:szCs w:val="19"/>
              </w:rPr>
              <w:t xml:space="preserve">Solicitar registros de exención fiscal del proyecto</w:t>
            </w:r>
          </w:p>
        </w:tc>
        <w:tc>
          <w:tcPr>
            <w:tcW w:type="dxa" w:w="6000"/>
            <w:tcBorders>
              <w:top w:val="single" w:color="D5D8DC" w:sz="1"/>
              <w:left w:val="single" w:color="D5D8DC" w:sz="1"/>
              <w:bottom w:val="single" w:color="D5D8DC" w:sz="1"/>
              <w:right w:val="single" w:color="D5D8DC" w:sz="1"/>
            </w:tcBorders>
            <w:shd w:fill="FFFFFF" w:val="clear"/>
            <w:tcMar>
              <w:top w:type="dxa" w:w="60"/>
              <w:left w:type="dxa" w:w="120"/>
              <w:bottom w:type="dxa" w:w="60"/>
              <w:right w:type="dxa" w:w="120"/>
            </w:tcMar>
          </w:tcPr>
          <w:p>
            <w:pPr>
              <w:spacing w:before="40" w:after="40"/>
            </w:pPr>
            <w:r>
              <w:rPr>
                <w:rFonts w:ascii="Arial" w:cs="Arial" w:eastAsia="Arial" w:hAnsi="Arial"/>
                <w:color w:val="1A1A1A"/>
                <w:sz w:val="18"/>
                <w:szCs w:val="18"/>
              </w:rPr>
              <w:t xml:space="preserve">Verificar exenciones fiscales activas para Coastal Residences HVPC. Indicará estado formal del proyecto.</w:t>
            </w:r>
          </w:p>
        </w:tc>
      </w:tr>
    </w:tbl>
    <w:p>
      <w:pPr>
        <w:spacing w:before="40" w:after="40"/>
      </w:pPr>
    </w:p>
    <w:p>
      <w:pPr>
        <w:pStyle w:val="Heading1"/>
        <w:pBdr>
          <w:bottom w:val="single" w:color="2E6DA4" w:sz="8" w:space="6"/>
        </w:pBdr>
        <w:spacing w:before="360" w:after="120"/>
      </w:pPr>
      <w:r>
        <w:rPr>
          <w:rFonts w:ascii="Arial" w:cs="Arial" w:eastAsia="Arial" w:hAnsi="Arial"/>
          <w:b/>
          <w:bCs/>
          <w:color w:val="1B3A5C"/>
          <w:sz w:val="28"/>
          <w:szCs w:val="28"/>
        </w:rPr>
        <w:t xml:space="preserve">PARTE X — CONCLUSIONES FINALES v2.1</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B3A5C" w:sz="1"/>
              <w:left w:val="single" w:color="1B3A5C" w:sz="1"/>
              <w:bottom w:val="nil" w:color="1B3A5C" w:sz="0"/>
              <w:right w:val="single" w:color="1B3A5C" w:sz="1"/>
            </w:tcBorders>
            <w:shd w:fill="1B3A5C" w:val="clear"/>
            <w:tcMar>
              <w:top w:type="dxa" w:w="60"/>
              <w:left w:type="dxa" w:w="120"/>
              <w:bottom w:type="dxa" w:w="60"/>
              <w:right w:type="dxa" w:w="120"/>
            </w:tcMar>
          </w:tcPr>
          <w:p>
            <w:pPr>
              <w:spacing w:before="40" w:after="40"/>
            </w:pPr>
            <w:r>
              <w:rPr>
                <w:rFonts w:ascii="Arial" w:cs="Arial" w:eastAsia="Arial" w:hAnsi="Arial"/>
                <w:b/>
                <w:bCs/>
                <w:color w:val="FFFFFF"/>
                <w:sz w:val="20"/>
                <w:szCs w:val="20"/>
              </w:rPr>
              <w:t xml:space="preserve">📋  CONCLUSIÓN: Caso de alta complejidad con 4 capas simultáneas de riesgo</w:t>
            </w:r>
          </w:p>
        </w:tc>
      </w:tr>
      <w:tr>
        <w:tc>
          <w:tcPr>
            <w:tcBorders>
              <w:top w:val="nil" w:color="1B3A5C" w:sz="0"/>
              <w:left w:val="single" w:color="1B3A5C" w:sz="1"/>
              <w:bottom w:val="single" w:color="1B3A5C" w:sz="1"/>
              <w:right w:val="single" w:color="1B3A5C" w:sz="1"/>
            </w:tcBorders>
            <w:shd w:fill="EBF4FC" w:val="clear"/>
            <w:tcMar>
              <w:top w:type="dxa" w:w="100"/>
              <w:left w:type="dxa" w:w="160"/>
              <w:bottom w:type="dxa" w:w="100"/>
              <w:right w:type="dxa" w:w="160"/>
            </w:tcMar>
          </w:tcPr>
          <w:p>
            <w:pPr>
              <w:spacing w:before="40" w:after="40"/>
            </w:pPr>
            <w:r>
              <w:rPr>
                <w:rFonts w:ascii="Arial" w:cs="Arial" w:eastAsia="Arial" w:hAnsi="Arial"/>
                <w:color w:val="1A1A1A"/>
                <w:sz w:val="19"/>
                <w:szCs w:val="19"/>
              </w:rPr>
              <w:t xml:space="preserve">Este litigio involucra simultáneamente: (1) Un hotel real operativo hoy cerrado. (2) Un empresario prófugo de la justicia. (3) Un hermano condenado bajo la ley anticorrupción más poderosa de EE.UU. (FCPA). (4) Un demandante con perfil empresarial atípico y UBO desconocido. La combinación de estos cuatro elementos eleva el caso a una categoría de riesgo que requiere due diligence legal inmediato antes de cualquier decisión comercial o procesal.</w:t>
            </w:r>
          </w:p>
        </w:tc>
      </w:tr>
    </w:tbl>
    <w:p>
      <w:pPr>
        <w:spacing w:before="40" w:after="40"/>
      </w:pPr>
    </w:p>
    <w:p>
      <w:pPr>
        <w:pStyle w:val="Heading2"/>
        <w:spacing w:before="240" w:after="80"/>
      </w:pPr>
      <w:r>
        <w:rPr>
          <w:rFonts w:ascii="Arial" w:cs="Arial" w:eastAsia="Arial" w:hAnsi="Arial"/>
          <w:b/>
          <w:bCs/>
          <w:color w:val="2E6DA4"/>
          <w:sz w:val="24"/>
          <w:szCs w:val="24"/>
        </w:rPr>
        <w:t xml:space="preserve">Conclusiones verificadas:</w:t>
      </w:r>
    </w:p>
    <w:p>
      <w:pPr>
        <w:pStyle w:val="ListParagraph"/>
        <w:numPr>
          <w:ilvl w:val="0"/>
          <w:numId w:val="2"/>
        </w:numPr>
        <w:spacing w:before="60" w:after="60"/>
      </w:pPr>
      <w:r>
        <w:rPr>
          <w:rFonts w:ascii="Arial" w:cs="Arial" w:eastAsia="Arial" w:hAnsi="Arial"/>
          <w:color w:val="1A1A1A"/>
          <w:sz w:val="19"/>
          <w:szCs w:val="19"/>
        </w:rPr>
        <w:t xml:space="preserve">Filing # 310145203, E-Filed 11/02/2024 (2 noviembre de 2024). Case No. 2024-019901-CA-03, División CA 17, Tribunal de Circuito del Distrito Judicial Sur, Bahía Grande.</w:t>
      </w:r>
    </w:p>
    <w:p>
      <w:pPr>
        <w:pStyle w:val="ListParagraph"/>
        <w:numPr>
          <w:ilvl w:val="0"/>
          <w:numId w:val="2"/>
        </w:numPr>
        <w:spacing w:before="60" w:after="60"/>
      </w:pPr>
      <w:r>
        <w:rPr>
          <w:rFonts w:ascii="Arial" w:cs="Arial" w:eastAsia="Arial" w:hAnsi="Arial"/>
          <w:color w:val="1A1A1A"/>
          <w:sz w:val="19"/>
          <w:szCs w:val="19"/>
        </w:rPr>
        <w:t xml:space="preserve">HVR Horizons LLC / Coastal Residences HVPC, SRL es un hotel real de 4★ con 150 habitaciones, listado en OTAs globales, actualmente CERRADO desde sep. 2025 hasta ago. 2026.</w:t>
      </w:r>
    </w:p>
    <w:p>
      <w:pPr>
        <w:pStyle w:val="ListParagraph"/>
        <w:numPr>
          <w:ilvl w:val="0"/>
          <w:numId w:val="2"/>
        </w:numPr>
        <w:spacing w:before="60" w:after="60"/>
      </w:pPr>
      <w:r>
        <w:rPr>
          <w:rFonts w:ascii="Arial" w:cs="Arial" w:eastAsia="Arial" w:hAnsi="Arial"/>
          <w:color w:val="1A1A1A"/>
          <w:sz w:val="19"/>
          <w:szCs w:val="19"/>
        </w:rPr>
        <w:t xml:space="preserve">Roberto Alejandro Montoya Salinas es prófugo (desde 2017) y parte de un clan investigado por desfalco de USD 150M+ a PETROSAL. Su hermano Ernesto tiene sentencia federal FCPA en EE.UU.</w:t>
      </w:r>
    </w:p>
    <w:p>
      <w:pPr>
        <w:pStyle w:val="ListParagraph"/>
        <w:numPr>
          <w:ilvl w:val="0"/>
          <w:numId w:val="2"/>
        </w:numPr>
        <w:spacing w:before="60" w:after="60"/>
      </w:pPr>
      <w:r>
        <w:rPr>
          <w:rFonts w:ascii="Arial" w:cs="Arial" w:eastAsia="Arial" w:hAnsi="Arial"/>
          <w:color w:val="1A1A1A"/>
          <w:sz w:val="19"/>
          <w:szCs w:val="19"/>
        </w:rPr>
        <w:t xml:space="preserve">Las entidades demandadas (HVR Horizons LLC y Coastal Residences HVPC, SRL) son tratadas en el expediente como la misma entidad bajo múltiples a/k/a.</w:t>
      </w:r>
    </w:p>
    <w:p>
      <w:pPr>
        <w:pStyle w:val="ListParagraph"/>
        <w:numPr>
          <w:ilvl w:val="0"/>
          <w:numId w:val="2"/>
        </w:numPr>
        <w:spacing w:before="60" w:after="60"/>
      </w:pPr>
      <w:r>
        <w:rPr>
          <w:rFonts w:ascii="Arial" w:cs="Arial" w:eastAsia="Arial" w:hAnsi="Arial"/>
          <w:color w:val="1A1A1A"/>
          <w:sz w:val="19"/>
          <w:szCs w:val="19"/>
        </w:rPr>
        <w:t xml:space="preserve">El demandante Apex Global Ventures LLC tiene un perfil atípico (dirección residencial, email Gmail, camión inactivo) y su UBO real es desconocido — factor de riesgo independiente que requiere verificación urgente.</w:t>
      </w:r>
    </w:p>
    <w:p>
      <w:pPr>
        <w:pStyle w:val="ListParagraph"/>
        <w:numPr>
          <w:ilvl w:val="0"/>
          <w:numId w:val="2"/>
        </w:numPr>
        <w:spacing w:before="60" w:after="60"/>
      </w:pPr>
      <w:r>
        <w:rPr>
          <w:rFonts w:ascii="Arial" w:cs="Arial" w:eastAsia="Arial" w:hAnsi="Arial"/>
          <w:color w:val="1A1A1A"/>
          <w:sz w:val="19"/>
          <w:szCs w:val="19"/>
        </w:rPr>
        <w:t xml:space="preserve">El proyecto Downtown Puerto Dorado (matriz del hotel) tiene respaldo político de dos presidentes y financiamiento del Banco Caribe Nacional — factor que puede dificultar la ejecución de sentencias sobre activos locales.</w:t>
      </w:r>
    </w:p>
    <w:p>
      <w:pPr>
        <w:spacing w:before="40" w:after="40"/>
      </w:pPr>
    </w:p>
    <w:p>
      <w:pPr>
        <w:pBdr>
          <w:top w:val="single" w:color="2E6DA4" w:sz="4" w:space="6"/>
        </w:pBdr>
        <w:spacing w:before="120" w:after="60"/>
        <w:jc w:val="center"/>
      </w:pPr>
      <w:r>
        <w:rPr>
          <w:rFonts w:ascii="Arial" w:cs="Arial" w:eastAsia="Arial" w:hAnsi="Arial"/>
          <w:i/>
          <w:iCs/>
          <w:color w:val="5D6D7E"/>
          <w:sz w:val="17"/>
          <w:szCs w:val="17"/>
        </w:rPr>
        <w:t xml:space="preserve">OSINT v2.1 — Apex Global Ventures LLC vs. HVR Horizons / Coastal Residences HVPC / Roberto Montoya Salinas  |  Marzo 2026  |  CONFIDENCIAL</w:t>
      </w:r>
    </w:p>
    <w:p>
      <w:pPr>
        <w:spacing w:before="40" w:after="40"/>
        <w:jc w:val="center"/>
      </w:pPr>
      <w:r>
        <w:rPr>
          <w:rFonts w:ascii="Arial" w:cs="Arial" w:eastAsia="Arial" w:hAnsi="Arial"/>
          <w:color w:val="5D6D7E"/>
          <w:sz w:val="16"/>
          <w:szCs w:val="16"/>
        </w:rPr>
        <w:t xml:space="preserve">Fuentes: Expediente judicial (Filing # 310145203), Expedia (h91266710), Hotels.com (ho3192840115), DOJ/FCPA (case 1:21-CR-30174, justice.gov), Registro federal de transporte (DOT# 4102853), Medios de investigación regionales ('Capitales en el Caribe' sep. 2020). No constituye asesoría legal.</w:t>
      </w:r>
    </w:p>
    <w:sectPr>
      <w:headerReference w:type="default" r:id="rId6"/>
      <w:footerReference w:type="default" r:id="rId7"/>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6DA4" w:sz="4" w:space="4"/>
      </w:pBdr>
      <w:tabs>
        <w:tab w:val="right" w:pos="9360"/>
      </w:tabs>
      <w:spacing w:before="80"/>
    </w:pPr>
    <w:r>
      <w:rPr>
        <w:rFonts w:ascii="Arial" w:cs="Arial" w:eastAsia="Arial" w:hAnsi="Arial"/>
        <w:color w:val="5D6D7E"/>
        <w:sz w:val="16"/>
        <w:szCs w:val="16"/>
      </w:rPr>
      <w:t xml:space="preserve">CONFIDENCIAL — USO RESTRINGIDO</w:t>
    </w:r>
    <w:r>
      <w:rPr>
        <w:rFonts w:ascii="Arial" w:cs="Arial" w:eastAsia="Arial" w:hAnsi="Arial"/>
        <w:sz w:val="16"/>
        <w:szCs w:val="16"/>
      </w:rPr>
      <w:t xml:space="preserve">	</w:t>
    </w:r>
    <w:r>
      <w:rPr>
        <w:rFonts w:ascii="Arial" w:cs="Arial" w:eastAsia="Arial" w:hAnsi="Arial"/>
        <w:color w:val="5D6D7E"/>
        <w:sz w:val="16"/>
        <w:szCs w:val="16"/>
      </w:rPr>
      <w:t xml:space="preserve">Pág. </w:t>
    </w:r>
    <w:r>
      <w:rPr>
        <w:rFonts w:ascii="Arial" w:cs="Arial" w:eastAsia="Arial" w:hAnsi="Arial"/>
        <w:color w:val="5D6D7E"/>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6DA4" w:sz="6" w:space="4"/>
      </w:pBdr>
      <w:spacing w:after="100"/>
    </w:pPr>
    <w:r>
      <w:rPr>
        <w:rFonts w:ascii="Arial" w:cs="Arial" w:eastAsia="Arial" w:hAnsi="Arial"/>
        <w:b/>
        <w:bCs/>
        <w:color w:val="2E6DA4"/>
        <w:sz w:val="17"/>
        <w:szCs w:val="17"/>
      </w:rPr>
      <w:t xml:space="preserve">INTELIGENCIA EMPRESARIAL — DOSSIER OSINT  |  </w:t>
    </w:r>
    <w:r>
      <w:rPr>
        <w:rFonts w:ascii="Arial" w:cs="Arial" w:eastAsia="Arial" w:hAnsi="Arial"/>
        <w:color w:val="5D6D7E"/>
        <w:sz w:val="17"/>
        <w:szCs w:val="17"/>
      </w:rPr>
      <w:t xml:space="preserve">APEX GLOBAL VENTURES LLC  vs.  HVR HORIZONS / ROBERTO MONTOYA SALINAS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1B3A5C"/>
      <w:sz w:val="28"/>
      <w:szCs w:val="28"/>
    </w:rPr>
  </w:style>
  <w:style w:type="paragraph" w:styleId="Heading2">
    <w:name w:val="Heading 2"/>
    <w:basedOn w:val="Normal"/>
    <w:next w:val="Normal"/>
    <w:qFormat/>
    <w:pPr>
      <w:spacing w:before="240" w:after="80"/>
      <w:outlineLvl w:val="1"/>
    </w:pPr>
    <w:rPr>
      <w:rFonts w:ascii="Arial" w:cs="Arial" w:eastAsia="Arial" w:hAnsi="Arial"/>
      <w:b/>
      <w:bCs/>
      <w:color w:val="2E6DA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2026-03-30T20:08:17.528Z</dcterms:created>
  <dcterms:modified xsi:type="dcterms:W3CDTF">2026-03-30T20:08:17.529Z</dcterms:modified>
</cp:coreProperties>
</file>

<file path=docProps/custom.xml><?xml version="1.0" encoding="utf-8"?>
<Properties xmlns="http://schemas.openxmlformats.org/officeDocument/2006/custom-properties" xmlns:vt="http://schemas.openxmlformats.org/officeDocument/2006/docPropsVTypes"/>
</file>