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
        <w:tblW w:w="9350" w:type="dxa"/>
        <w:tblCellMar>
          <w:left w:w="10" w:type="dxa"/>
          <w:right w:w="10" w:type="dxa"/>
        </w:tblCellMar>
        <w:tblLook w:val="04A0" w:firstRow="1" w:lastRow="0" w:firstColumn="1" w:lastColumn="0" w:noHBand="0" w:noVBand="1"/>
      </w:tblPr>
      <w:tblGrid>
        <w:gridCol w:w="2838"/>
        <w:gridCol w:w="2057"/>
        <w:gridCol w:w="2275"/>
        <w:gridCol w:w="2180"/>
      </w:tblGrid>
      <w:tr w:rsidRPr="004E7FA7" w:rsidR="00C62E24" w:rsidTr="0A7FB300" w14:paraId="7B771A4D" w14:textId="77777777">
        <w:tc>
          <w:tcPr>
            <w:tcW w:w="9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A3377" w:rsidP="2E0D4A58" w:rsidRDefault="00BA3377" w14:paraId="4FC0167B" w14:textId="5B6B386E">
            <w:pPr>
              <w:spacing w:after="160" w:line="259" w:lineRule="auto"/>
              <w:ind w:left="360"/>
              <w:jc w:val="center"/>
              <w:rPr>
                <w:rFonts w:ascii="Arial" w:hAnsi="Arial" w:eastAsia="Calibri" w:cs="Arial"/>
                <w:b w:val="1"/>
                <w:bCs w:val="1"/>
              </w:rPr>
            </w:pPr>
            <w:r w:rsidRPr="0A7FB300">
              <w:rPr>
                <w:rFonts w:ascii="Arial" w:hAnsi="Arial" w:cs="Arial"/>
                <w:b w:val="1"/>
                <w:bCs w:val="1"/>
                <w:sz w:val="28"/>
                <w:szCs w:val="28"/>
              </w:rPr>
              <w:br w:type="page"/>
            </w:r>
            <w:r w:rsidRPr="0A7FB300" w:rsidR="00BA3377">
              <w:rPr>
                <w:rFonts w:ascii="Arial" w:hAnsi="Arial" w:eastAsia="Calibri" w:cs="Arial"/>
                <w:b w:val="1"/>
                <w:bCs w:val="1"/>
              </w:rPr>
              <w:t xml:space="preserve"> B</w:t>
            </w:r>
            <w:r w:rsidRPr="0A7FB300" w:rsidR="08971FA8">
              <w:rPr>
                <w:rFonts w:ascii="Arial" w:hAnsi="Arial" w:eastAsia="Calibri" w:cs="Arial"/>
                <w:b w:val="1"/>
                <w:bCs w:val="1"/>
              </w:rPr>
              <w:t>u</w:t>
            </w:r>
            <w:r w:rsidRPr="0A7FB300" w:rsidR="00BA3377">
              <w:rPr>
                <w:rFonts w:ascii="Arial" w:hAnsi="Arial" w:eastAsia="Calibri" w:cs="Arial"/>
                <w:b w:val="1"/>
                <w:bCs w:val="1"/>
              </w:rPr>
              <w:t>ckinghamshire Community Wellbeing (BCW) Hub</w:t>
            </w:r>
          </w:p>
          <w:p w:rsidRPr="00BA3377" w:rsidR="00C62E24" w:rsidP="00BA3377" w:rsidRDefault="00BA3377" w14:paraId="48A887C6" w14:textId="53E5DD9B">
            <w:pPr>
              <w:spacing w:after="160" w:line="259" w:lineRule="auto"/>
              <w:ind w:left="360"/>
              <w:jc w:val="center"/>
              <w:rPr>
                <w:rFonts w:ascii="Arial" w:hAnsi="Arial" w:eastAsia="Calibri" w:cs="Arial"/>
                <w:b/>
              </w:rPr>
            </w:pPr>
            <w:r w:rsidRPr="003B17C9">
              <w:rPr>
                <w:rFonts w:ascii="Arial" w:hAnsi="Arial" w:eastAsia="Calibri" w:cs="Arial"/>
                <w:b/>
              </w:rPr>
              <w:t>DOCUMENT IDENTITY</w:t>
            </w:r>
          </w:p>
          <w:p w:rsidRPr="004E7FA7" w:rsidR="00C62E24" w:rsidP="00697174" w:rsidRDefault="00C62E24" w14:paraId="046D9844" w14:textId="77777777">
            <w:pPr>
              <w:spacing w:after="160" w:line="259" w:lineRule="auto"/>
              <w:jc w:val="center"/>
              <w:rPr>
                <w:rFonts w:ascii="Arial" w:hAnsi="Arial" w:cs="Arial"/>
                <w:b/>
              </w:rPr>
            </w:pPr>
          </w:p>
        </w:tc>
      </w:tr>
      <w:tr w:rsidRPr="004E7FA7" w:rsidR="00C62E24" w:rsidTr="0A7FB300" w14:paraId="4EDA3C3F"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2339059E" w14:textId="77777777">
            <w:pPr>
              <w:spacing w:after="160" w:line="259" w:lineRule="auto"/>
              <w:ind w:left="360"/>
              <w:rPr>
                <w:rFonts w:ascii="Arial" w:hAnsi="Arial" w:cs="Arial"/>
                <w:b/>
              </w:rPr>
            </w:pPr>
            <w:r w:rsidRPr="004E7FA7">
              <w:rPr>
                <w:rFonts w:ascii="Arial" w:hAnsi="Arial" w:cs="Arial"/>
                <w:b/>
              </w:rPr>
              <w:t>Title:</w:t>
            </w:r>
          </w:p>
          <w:p w:rsidRPr="004E7FA7" w:rsidR="00C62E24" w:rsidP="00697174" w:rsidRDefault="00C62E24" w14:paraId="5D994BCC" w14:textId="77777777">
            <w:pPr>
              <w:spacing w:after="160" w:line="259" w:lineRule="auto"/>
              <w:rPr>
                <w:rFonts w:ascii="Arial" w:hAnsi="Arial"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A3377" w:rsidP="00BA3377" w:rsidRDefault="00BA3377" w14:paraId="2D21E3FC" w14:textId="77777777">
            <w:pPr>
              <w:pStyle w:val="NoSpacing"/>
              <w:jc w:val="center"/>
              <w:rPr>
                <w:rFonts w:ascii="Arial" w:hAnsi="Arial" w:cs="Arial"/>
              </w:rPr>
            </w:pPr>
          </w:p>
          <w:p w:rsidRPr="00BA3377" w:rsidR="00BA3377" w:rsidP="00BA3377" w:rsidRDefault="00C62E24" w14:paraId="6E245D7D" w14:textId="037EA8E4">
            <w:pPr>
              <w:pStyle w:val="NoSpacing"/>
              <w:jc w:val="center"/>
              <w:rPr>
                <w:rFonts w:ascii="Arial" w:hAnsi="Arial" w:cs="Arial"/>
              </w:rPr>
            </w:pPr>
            <w:r w:rsidRPr="00BA3377">
              <w:rPr>
                <w:rFonts w:ascii="Arial" w:hAnsi="Arial" w:cs="Arial"/>
              </w:rPr>
              <w:t>D</w:t>
            </w:r>
            <w:r w:rsidRPr="00BA3377" w:rsidR="00BA3377">
              <w:rPr>
                <w:rFonts w:ascii="Arial" w:hAnsi="Arial" w:cs="Arial"/>
              </w:rPr>
              <w:t>ata Protection Policy</w:t>
            </w:r>
          </w:p>
          <w:p w:rsidRPr="00BA3377" w:rsidR="00C62E24" w:rsidP="00BA3377" w:rsidRDefault="00C62E24" w14:paraId="7776CC19" w14:textId="66B2A301">
            <w:pPr>
              <w:pStyle w:val="NoSpacing"/>
              <w:jc w:val="center"/>
              <w:rPr>
                <w:rFonts w:ascii="Arial" w:hAnsi="Arial" w:cs="Arial"/>
              </w:rPr>
            </w:pPr>
            <w:r w:rsidRPr="00BA3377">
              <w:rPr>
                <w:rFonts w:ascii="Arial" w:hAnsi="Arial" w:cs="Arial"/>
              </w:rPr>
              <w:t>(GDPR compliant)</w:t>
            </w:r>
          </w:p>
          <w:p w:rsidRPr="004E7FA7" w:rsidR="00C62E24" w:rsidP="00C62E24" w:rsidRDefault="00C62E24" w14:paraId="69E69B21" w14:textId="77777777">
            <w:pPr>
              <w:jc w:val="center"/>
              <w:rPr>
                <w:rFonts w:ascii="Arial" w:hAnsi="Arial" w:cs="Arial"/>
              </w:rPr>
            </w:pPr>
          </w:p>
        </w:tc>
      </w:tr>
      <w:tr w:rsidRPr="004E7FA7" w:rsidR="00C62E24" w:rsidTr="0A7FB300" w14:paraId="7D64DD95"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25460F03" w14:textId="77777777">
            <w:pPr>
              <w:spacing w:after="160" w:line="259" w:lineRule="auto"/>
              <w:ind w:left="360"/>
              <w:rPr>
                <w:rFonts w:ascii="Arial" w:hAnsi="Arial" w:cs="Arial"/>
                <w:b/>
              </w:rPr>
            </w:pPr>
            <w:r w:rsidRPr="004E7FA7">
              <w:rPr>
                <w:rFonts w:ascii="Arial" w:hAnsi="Arial" w:cs="Arial"/>
                <w:b/>
              </w:rPr>
              <w:t>Document Ref:</w:t>
            </w:r>
          </w:p>
          <w:p w:rsidRPr="004E7FA7" w:rsidR="00C62E24" w:rsidP="00697174" w:rsidRDefault="00C62E24" w14:paraId="0BBA9C91" w14:textId="77777777">
            <w:pPr>
              <w:spacing w:after="160" w:line="259" w:lineRule="auto"/>
              <w:rPr>
                <w:rFonts w:ascii="Arial" w:hAnsi="Arial" w:cs="Arial"/>
                <w:b/>
              </w:rPr>
            </w:pPr>
          </w:p>
          <w:p w:rsidRPr="004E7FA7" w:rsidR="00C62E24" w:rsidP="00697174" w:rsidRDefault="00C62E24" w14:paraId="11151C2E" w14:textId="77777777">
            <w:pPr>
              <w:spacing w:after="160" w:line="259" w:lineRule="auto"/>
              <w:rPr>
                <w:rFonts w:ascii="Arial" w:hAnsi="Arial"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BA3377" w:rsidRDefault="00C62E24" w14:paraId="3B3B0B8B" w14:textId="77777777">
            <w:pPr>
              <w:spacing w:after="160" w:line="259" w:lineRule="auto"/>
              <w:ind w:left="360"/>
              <w:rPr>
                <w:rFonts w:ascii="Arial" w:hAnsi="Arial" w:cs="Arial"/>
              </w:rPr>
            </w:pP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6336ABD6" w14:textId="77777777">
            <w:pPr>
              <w:spacing w:after="160" w:line="259" w:lineRule="auto"/>
              <w:ind w:left="360"/>
              <w:rPr>
                <w:rFonts w:ascii="Arial" w:hAnsi="Arial" w:cs="Arial"/>
                <w:b/>
              </w:rPr>
            </w:pPr>
            <w:r w:rsidRPr="004E7FA7">
              <w:rPr>
                <w:rFonts w:ascii="Arial" w:hAnsi="Arial" w:cs="Arial"/>
                <w:b/>
              </w:rPr>
              <w:t>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436B1080" w14:textId="77777777">
            <w:pPr>
              <w:spacing w:after="160" w:line="259" w:lineRule="auto"/>
              <w:ind w:left="360"/>
              <w:rPr>
                <w:rFonts w:ascii="Arial" w:hAnsi="Arial" w:cs="Arial"/>
              </w:rPr>
            </w:pPr>
            <w:r w:rsidRPr="004E7FA7">
              <w:rPr>
                <w:rFonts w:ascii="Arial" w:hAnsi="Arial" w:cs="Arial"/>
              </w:rPr>
              <w:t>First version</w:t>
            </w:r>
          </w:p>
        </w:tc>
      </w:tr>
      <w:tr w:rsidRPr="004E7FA7" w:rsidR="00C62E24" w:rsidTr="0A7FB300" w14:paraId="3D0A2FC4"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21958A3A" w14:textId="77777777">
            <w:pPr>
              <w:spacing w:after="160" w:line="259" w:lineRule="auto"/>
              <w:ind w:left="360"/>
              <w:rPr>
                <w:rFonts w:ascii="Arial" w:hAnsi="Arial" w:cs="Arial"/>
                <w:b/>
              </w:rPr>
            </w:pPr>
            <w:r w:rsidRPr="004E7FA7">
              <w:rPr>
                <w:rFonts w:ascii="Arial" w:hAnsi="Arial" w:cs="Arial"/>
                <w:b/>
              </w:rPr>
              <w:t xml:space="preserve">Date of original publication: </w:t>
            </w:r>
          </w:p>
          <w:p w:rsidRPr="004E7FA7" w:rsidR="00C62E24" w:rsidP="00697174" w:rsidRDefault="00C62E24" w14:paraId="00E49888" w14:textId="77777777">
            <w:pPr>
              <w:spacing w:after="160" w:line="259" w:lineRule="auto"/>
              <w:rPr>
                <w:rFonts w:ascii="Arial" w:hAnsi="Arial"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19925C0D" w:rsidRDefault="00BA3377" w14:paraId="5CBC5B7E" w14:textId="195EA599">
            <w:pPr>
              <w:pStyle w:val="Normal"/>
              <w:spacing w:after="160" w:line="259" w:lineRule="auto"/>
              <w:ind w:left="360"/>
              <w:rPr>
                <w:rFonts w:ascii="Arial" w:hAnsi="Arial" w:cs="Arial"/>
                <w:color w:val="auto"/>
              </w:rPr>
            </w:pPr>
            <w:r w:rsidRPr="19925C0D" w:rsidR="4F5CBE17">
              <w:rPr>
                <w:rFonts w:ascii="Arial" w:hAnsi="Arial" w:cs="Arial"/>
                <w:color w:val="auto"/>
              </w:rPr>
              <w:t>18 Dec</w:t>
            </w:r>
            <w:r w:rsidRPr="19925C0D" w:rsidR="00BA3377">
              <w:rPr>
                <w:rFonts w:ascii="Arial" w:hAnsi="Arial" w:cs="Arial"/>
                <w:color w:val="auto"/>
              </w:rPr>
              <w:t>ember 2024</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410ED28E" w14:textId="77777777">
            <w:pPr>
              <w:spacing w:after="160" w:line="259" w:lineRule="auto"/>
              <w:ind w:left="360"/>
              <w:rPr>
                <w:rFonts w:ascii="Arial" w:hAnsi="Arial" w:cs="Arial"/>
                <w:b/>
              </w:rPr>
            </w:pPr>
            <w:r w:rsidRPr="004E7FA7">
              <w:rPr>
                <w:rFonts w:ascii="Arial" w:hAnsi="Arial" w:cs="Arial"/>
                <w:b/>
              </w:rPr>
              <w:t>Date of this 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19925C0D" w:rsidRDefault="00BA3377" w14:paraId="70B07876" w14:textId="72A5AAE5">
            <w:pPr>
              <w:spacing w:after="160" w:line="259" w:lineRule="auto"/>
              <w:ind w:left="360"/>
              <w:rPr>
                <w:rFonts w:ascii="Arial" w:hAnsi="Arial" w:cs="Arial"/>
                <w:color w:val="auto"/>
              </w:rPr>
            </w:pPr>
            <w:r w:rsidRPr="19925C0D" w:rsidR="2885F6CB">
              <w:rPr>
                <w:rFonts w:ascii="Arial" w:hAnsi="Arial" w:cs="Arial"/>
                <w:color w:val="auto"/>
              </w:rPr>
              <w:t>18 Dec</w:t>
            </w:r>
            <w:r w:rsidRPr="19925C0D" w:rsidR="00BA3377">
              <w:rPr>
                <w:rFonts w:ascii="Arial" w:hAnsi="Arial" w:cs="Arial"/>
                <w:color w:val="auto"/>
              </w:rPr>
              <w:t>ember 2024</w:t>
            </w:r>
          </w:p>
        </w:tc>
      </w:tr>
      <w:tr w:rsidRPr="004E7FA7" w:rsidR="00C62E24" w:rsidTr="0A7FB300" w14:paraId="39B728F8"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4AD7576E" w14:textId="77777777">
            <w:pPr>
              <w:spacing w:after="160" w:line="259" w:lineRule="auto"/>
              <w:ind w:left="360"/>
              <w:rPr>
                <w:rFonts w:ascii="Arial" w:hAnsi="Arial" w:cs="Arial"/>
                <w:b/>
              </w:rPr>
            </w:pPr>
            <w:r w:rsidRPr="004E7FA7">
              <w:rPr>
                <w:rFonts w:ascii="Arial" w:hAnsi="Arial" w:cs="Arial"/>
                <w:b/>
              </w:rPr>
              <w:t>Review Scheduled:</w:t>
            </w:r>
          </w:p>
          <w:p w:rsidRPr="004E7FA7" w:rsidR="00C62E24" w:rsidP="00697174" w:rsidRDefault="00C62E24" w14:paraId="42420003" w14:textId="77777777">
            <w:pPr>
              <w:spacing w:after="160" w:line="259" w:lineRule="auto"/>
              <w:rPr>
                <w:rFonts w:ascii="Arial" w:hAnsi="Arial"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19925C0D" w:rsidRDefault="00BA3377" w14:paraId="79073FE3" w14:textId="230D43EF">
            <w:pPr>
              <w:spacing w:after="160" w:line="259" w:lineRule="auto"/>
              <w:ind w:left="360"/>
              <w:rPr>
                <w:rFonts w:ascii="Arial" w:hAnsi="Arial" w:cs="Arial"/>
                <w:color w:val="auto"/>
              </w:rPr>
            </w:pPr>
            <w:r w:rsidRPr="19925C0D" w:rsidR="45EDC295">
              <w:rPr>
                <w:rFonts w:ascii="Arial" w:hAnsi="Arial" w:cs="Arial"/>
                <w:color w:val="auto"/>
              </w:rPr>
              <w:t>Dec</w:t>
            </w:r>
            <w:r w:rsidRPr="19925C0D" w:rsidR="00BA3377">
              <w:rPr>
                <w:rFonts w:ascii="Arial" w:hAnsi="Arial" w:cs="Arial"/>
                <w:color w:val="auto"/>
              </w:rPr>
              <w:t>ember 202</w:t>
            </w:r>
            <w:r w:rsidRPr="19925C0D" w:rsidR="00BA3377">
              <w:rPr>
                <w:rFonts w:ascii="Arial" w:hAnsi="Arial" w:cs="Arial"/>
                <w:color w:val="auto"/>
              </w:rPr>
              <w:t>5</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262AEEA3" w14:textId="77777777">
            <w:pPr>
              <w:spacing w:after="160" w:line="259" w:lineRule="auto"/>
              <w:ind w:left="360"/>
              <w:rPr>
                <w:rFonts w:ascii="Arial" w:hAnsi="Arial" w:cs="Arial"/>
                <w:b/>
              </w:rPr>
            </w:pPr>
            <w:r w:rsidRPr="004E7FA7">
              <w:rPr>
                <w:rFonts w:ascii="Arial" w:hAnsi="Arial" w:cs="Arial"/>
                <w:b/>
              </w:rPr>
              <w:t xml:space="preserve">Obsoletes: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5811B0C4" w14:textId="77777777">
            <w:pPr>
              <w:spacing w:after="160" w:line="259" w:lineRule="auto"/>
              <w:ind w:left="360"/>
              <w:rPr>
                <w:rFonts w:ascii="Arial" w:hAnsi="Arial" w:cs="Arial"/>
              </w:rPr>
            </w:pPr>
          </w:p>
        </w:tc>
      </w:tr>
      <w:tr w:rsidRPr="004E7FA7" w:rsidR="00C62E24" w:rsidTr="0A7FB300" w14:paraId="3BB13A2A"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42AB7CCC" w14:textId="77777777">
            <w:pPr>
              <w:spacing w:after="160" w:line="259" w:lineRule="auto"/>
              <w:ind w:left="360"/>
              <w:rPr>
                <w:rFonts w:ascii="Arial" w:hAnsi="Arial" w:cs="Arial"/>
                <w:b/>
              </w:rPr>
            </w:pPr>
            <w:r w:rsidRPr="004E7FA7">
              <w:rPr>
                <w:rFonts w:ascii="Arial" w:hAnsi="Arial" w:cs="Arial"/>
                <w:b/>
              </w:rPr>
              <w:t>Status:</w:t>
            </w:r>
          </w:p>
          <w:p w:rsidRPr="004E7FA7" w:rsidR="00C62E24" w:rsidP="00697174" w:rsidRDefault="00C62E24" w14:paraId="47DF7B9F" w14:textId="77777777">
            <w:pPr>
              <w:spacing w:after="160" w:line="259" w:lineRule="auto"/>
              <w:rPr>
                <w:rFonts w:ascii="Arial" w:hAnsi="Arial"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6396509C" w14:textId="77777777">
            <w:pPr>
              <w:spacing w:after="160" w:line="259" w:lineRule="auto"/>
              <w:ind w:left="360"/>
              <w:rPr>
                <w:rFonts w:ascii="Arial" w:hAnsi="Arial" w:cs="Arial"/>
              </w:rPr>
            </w:pPr>
            <w:r w:rsidRPr="004E7FA7">
              <w:rPr>
                <w:rFonts w:ascii="Arial" w:hAnsi="Arial" w:cs="Arial"/>
              </w:rPr>
              <w:t>Active</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189F6650" w14:textId="77777777">
            <w:pPr>
              <w:spacing w:after="160" w:line="259" w:lineRule="auto"/>
              <w:ind w:left="360"/>
              <w:rPr>
                <w:rFonts w:ascii="Arial" w:hAnsi="Arial" w:cs="Arial"/>
                <w:b/>
              </w:rPr>
            </w:pPr>
            <w:r w:rsidRPr="004E7FA7">
              <w:rPr>
                <w:rFonts w:ascii="Arial" w:hAnsi="Arial" w:cs="Arial"/>
                <w:b/>
              </w:rPr>
              <w:t xml:space="preserve">Comments: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3624C548" w14:textId="77777777">
            <w:pPr>
              <w:spacing w:after="160" w:line="259" w:lineRule="auto"/>
              <w:ind w:left="360"/>
              <w:rPr>
                <w:rFonts w:ascii="Arial" w:hAnsi="Arial" w:cs="Arial"/>
              </w:rPr>
            </w:pPr>
          </w:p>
        </w:tc>
      </w:tr>
      <w:tr w:rsidRPr="004E7FA7" w:rsidR="00C62E24" w:rsidTr="0A7FB300" w14:paraId="7DA6A75F"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19114363" w14:textId="77777777">
            <w:pPr>
              <w:spacing w:after="160" w:line="259" w:lineRule="auto"/>
              <w:ind w:left="360"/>
              <w:rPr>
                <w:rFonts w:ascii="Arial" w:hAnsi="Arial" w:cs="Arial"/>
                <w:b/>
              </w:rPr>
            </w:pPr>
          </w:p>
          <w:p w:rsidRPr="004E7FA7" w:rsidR="00C62E24" w:rsidP="00697174" w:rsidRDefault="00C62E24" w14:paraId="4652F68B" w14:textId="77777777">
            <w:pPr>
              <w:spacing w:after="160" w:line="259" w:lineRule="auto"/>
              <w:ind w:left="360"/>
              <w:rPr>
                <w:rFonts w:ascii="Arial" w:hAnsi="Arial" w:cs="Arial"/>
                <w:b/>
              </w:rPr>
            </w:pPr>
          </w:p>
          <w:p w:rsidRPr="004E7FA7" w:rsidR="00C62E24" w:rsidP="00697174" w:rsidRDefault="00C62E24" w14:paraId="77C91A92" w14:textId="77777777">
            <w:pPr>
              <w:spacing w:after="160" w:line="259" w:lineRule="auto"/>
              <w:jc w:val="both"/>
              <w:rPr>
                <w:rFonts w:ascii="Arial" w:hAnsi="Arial" w:cs="Arial"/>
                <w:b/>
              </w:rPr>
            </w:pPr>
            <w:r w:rsidRPr="004E7FA7">
              <w:rPr>
                <w:rFonts w:ascii="Arial" w:hAnsi="Arial" w:cs="Arial"/>
                <w:b/>
              </w:rPr>
              <w:t xml:space="preserve">Policy </w:t>
            </w:r>
          </w:p>
          <w:p w:rsidRPr="004E7FA7" w:rsidR="00C62E24" w:rsidP="00697174" w:rsidRDefault="00C62E24" w14:paraId="790D3857" w14:textId="504E7CD0">
            <w:pPr>
              <w:spacing w:after="160" w:line="259" w:lineRule="auto"/>
              <w:rPr>
                <w:rFonts w:ascii="Arial" w:hAnsi="Arial" w:cs="Arial"/>
              </w:rPr>
            </w:pPr>
            <w:r w:rsidRPr="004E7FA7">
              <w:rPr>
                <w:rFonts w:ascii="Arial" w:hAnsi="Arial" w:cs="Arial"/>
              </w:rPr>
              <w:t xml:space="preserve">Adopted by </w:t>
            </w:r>
            <w:r w:rsidR="00BA3377">
              <w:rPr>
                <w:rFonts w:ascii="Arial" w:hAnsi="Arial" w:cs="Arial"/>
              </w:rPr>
              <w:t>BCW Hub</w:t>
            </w:r>
            <w:r w:rsidRPr="004E7FA7">
              <w:rPr>
                <w:rFonts w:ascii="Arial" w:hAnsi="Arial" w:cs="Arial"/>
              </w:rPr>
              <w:t>:</w:t>
            </w:r>
          </w:p>
          <w:p w:rsidRPr="004E7FA7" w:rsidR="00C62E24" w:rsidP="00697174" w:rsidRDefault="00C62E24" w14:paraId="0B3751A0" w14:textId="77777777">
            <w:pPr>
              <w:spacing w:after="160" w:line="259" w:lineRule="auto"/>
              <w:rPr>
                <w:rFonts w:ascii="Arial" w:hAnsi="Arial" w:cs="Arial"/>
              </w:rPr>
            </w:pPr>
          </w:p>
          <w:p w:rsidRPr="004E7FA7" w:rsidR="00C62E24" w:rsidP="00697174" w:rsidRDefault="00C62E24" w14:paraId="64432FE1" w14:textId="77777777">
            <w:pPr>
              <w:spacing w:after="160" w:line="259" w:lineRule="auto"/>
              <w:rPr>
                <w:rFonts w:ascii="Arial" w:hAnsi="Arial" w:cs="Arial"/>
              </w:rPr>
            </w:pPr>
          </w:p>
          <w:p w:rsidRPr="004E7FA7" w:rsidR="00C62E24" w:rsidP="00697174" w:rsidRDefault="00C62E24" w14:paraId="0090B2E5" w14:textId="77777777">
            <w:pPr>
              <w:spacing w:after="160" w:line="259" w:lineRule="auto"/>
              <w:rPr>
                <w:rFonts w:ascii="Arial" w:hAnsi="Arial" w:cs="Arial"/>
              </w:rPr>
            </w:pPr>
            <w:r w:rsidRPr="004E7FA7">
              <w:rPr>
                <w:rFonts w:ascii="Arial" w:hAnsi="Arial" w:cs="Arial"/>
              </w:rPr>
              <w:t>Signed on behalf of management board:</w:t>
            </w:r>
          </w:p>
          <w:p w:rsidRPr="004E7FA7" w:rsidR="00C62E24" w:rsidP="00697174" w:rsidRDefault="00C62E24" w14:paraId="4A2B9ABC" w14:textId="77777777">
            <w:pPr>
              <w:spacing w:after="160" w:line="259" w:lineRule="auto"/>
              <w:jc w:val="both"/>
              <w:rPr>
                <w:rFonts w:ascii="Arial" w:hAnsi="Arial" w:cs="Arial"/>
              </w:rPr>
            </w:pPr>
          </w:p>
          <w:p w:rsidRPr="004E7FA7" w:rsidR="00C62E24" w:rsidP="00697174" w:rsidRDefault="00C62E24" w14:paraId="05DC0A33" w14:textId="77777777">
            <w:pPr>
              <w:spacing w:after="160" w:line="259" w:lineRule="auto"/>
              <w:jc w:val="both"/>
              <w:rPr>
                <w:rFonts w:ascii="Arial" w:hAnsi="Arial" w:cs="Arial"/>
              </w:rPr>
            </w:pPr>
          </w:p>
          <w:p w:rsidRPr="004E7FA7" w:rsidR="00C62E24" w:rsidP="19925C0D" w:rsidRDefault="00C62E24" w14:paraId="657FF4AE" w14:textId="0C0D35A2">
            <w:pPr>
              <w:spacing w:after="160" w:line="259" w:lineRule="auto"/>
              <w:jc w:val="left"/>
              <w:rPr>
                <w:rFonts w:ascii="Arial" w:hAnsi="Arial" w:cs="Arial"/>
                <w:b w:val="1"/>
                <w:bCs w:val="1"/>
              </w:rPr>
            </w:pPr>
            <w:r w:rsidRPr="19925C0D" w:rsidR="00C62E24">
              <w:rPr>
                <w:rFonts w:ascii="Arial" w:hAnsi="Arial" w:cs="Arial"/>
              </w:rPr>
              <w:t>Date:</w:t>
            </w:r>
            <w:r w:rsidRPr="19925C0D" w:rsidR="32E0BC8C">
              <w:rPr>
                <w:rFonts w:ascii="Arial" w:hAnsi="Arial" w:cs="Arial"/>
              </w:rPr>
              <w:t xml:space="preserve"> 18 December 2024</w:t>
            </w:r>
          </w:p>
          <w:p w:rsidRPr="004E7FA7" w:rsidR="00C62E24" w:rsidP="00697174" w:rsidRDefault="00C62E24" w14:paraId="78DAB337" w14:textId="77777777">
            <w:pPr>
              <w:spacing w:after="160" w:line="259" w:lineRule="auto"/>
              <w:ind w:left="360"/>
              <w:rPr>
                <w:rFonts w:ascii="Arial" w:hAnsi="Arial"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E7FA7" w:rsidR="00C62E24" w:rsidP="00697174" w:rsidRDefault="00C62E24" w14:paraId="791A366B" w14:textId="77777777">
            <w:pPr>
              <w:spacing w:after="160" w:line="259" w:lineRule="auto"/>
              <w:ind w:left="360"/>
              <w:rPr>
                <w:rFonts w:ascii="Arial" w:hAnsi="Arial" w:cs="Arial"/>
              </w:rPr>
            </w:pPr>
          </w:p>
        </w:tc>
      </w:tr>
    </w:tbl>
    <w:p w:rsidR="00C62E24" w:rsidP="00060385" w:rsidRDefault="00C62E24" w14:paraId="029451A7" w14:textId="77777777">
      <w:pPr>
        <w:widowControl w:val="0"/>
        <w:autoSpaceDE w:val="0"/>
        <w:autoSpaceDN w:val="0"/>
        <w:adjustRightInd w:val="0"/>
        <w:spacing w:after="240" w:line="860" w:lineRule="atLeast"/>
        <w:jc w:val="center"/>
        <w:outlineLvl w:val="0"/>
        <w:rPr>
          <w:rFonts w:ascii="Arial" w:hAnsi="Arial" w:cs="Arial"/>
          <w:b/>
          <w:iCs/>
          <w:color w:val="000000"/>
        </w:rPr>
      </w:pPr>
    </w:p>
    <w:p w:rsidRPr="00060385" w:rsidR="00AD1835" w:rsidP="00060385" w:rsidRDefault="002A042B" w14:paraId="380444DE" w14:textId="3CBC86A4">
      <w:pPr>
        <w:widowControl w:val="0"/>
        <w:autoSpaceDE w:val="0"/>
        <w:autoSpaceDN w:val="0"/>
        <w:adjustRightInd w:val="0"/>
        <w:spacing w:after="240" w:line="860" w:lineRule="atLeast"/>
        <w:jc w:val="center"/>
        <w:outlineLvl w:val="0"/>
        <w:rPr>
          <w:rFonts w:ascii="Arial" w:hAnsi="Arial" w:cs="Arial"/>
          <w:b/>
          <w:color w:val="000000"/>
        </w:rPr>
      </w:pPr>
      <w:r>
        <w:rPr>
          <w:rFonts w:ascii="Arial" w:hAnsi="Arial" w:cs="Arial"/>
          <w:b/>
          <w:iCs/>
          <w:color w:val="000000"/>
        </w:rPr>
        <w:lastRenderedPageBreak/>
        <w:t>D</w:t>
      </w:r>
      <w:r w:rsidR="00BA3377">
        <w:rPr>
          <w:rFonts w:ascii="Arial" w:hAnsi="Arial" w:cs="Arial"/>
          <w:b/>
          <w:iCs/>
          <w:color w:val="000000"/>
        </w:rPr>
        <w:t xml:space="preserve">ata Protection Policy </w:t>
      </w:r>
      <w:r w:rsidRPr="00060385" w:rsidR="00AD1835">
        <w:rPr>
          <w:rFonts w:ascii="Arial" w:hAnsi="Arial" w:cs="Arial"/>
          <w:b/>
          <w:iCs/>
          <w:color w:val="000000"/>
        </w:rPr>
        <w:t>(GDPR compliant)</w:t>
      </w:r>
    </w:p>
    <w:p w:rsidRPr="00060385" w:rsidR="00AD1835" w:rsidP="00AD1835" w:rsidRDefault="00AD1835" w14:paraId="16D2D018"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General Statement of Duties and Scope </w:t>
      </w:r>
    </w:p>
    <w:p w:rsidRPr="00985368" w:rsidR="00AD1835" w:rsidP="00AD1835" w:rsidRDefault="00BA3377" w14:paraId="3085DB39" w14:textId="1F42D4DC">
      <w:pPr>
        <w:widowControl w:val="0"/>
        <w:autoSpaceDE w:val="0"/>
        <w:autoSpaceDN w:val="0"/>
        <w:adjustRightInd w:val="0"/>
        <w:spacing w:after="240" w:line="360" w:lineRule="atLeast"/>
        <w:rPr>
          <w:rFonts w:ascii="Arial" w:hAnsi="Arial" w:cs="Arial"/>
          <w:color w:val="000000"/>
        </w:rPr>
      </w:pPr>
      <w:r>
        <w:rPr>
          <w:rFonts w:ascii="Arial" w:hAnsi="Arial" w:cs="Arial"/>
          <w:color w:val="000000"/>
        </w:rPr>
        <w:t>Buckinghamshire Community Wellbeing Hub (BCW</w:t>
      </w:r>
      <w:r w:rsidR="00F72EC9">
        <w:rPr>
          <w:rFonts w:ascii="Arial" w:hAnsi="Arial" w:cs="Arial"/>
          <w:color w:val="000000"/>
        </w:rPr>
        <w:t>)</w:t>
      </w:r>
      <w:r w:rsidR="006E3AA9">
        <w:rPr>
          <w:rFonts w:ascii="Arial" w:hAnsi="Arial" w:cs="Arial"/>
          <w:color w:val="000000"/>
        </w:rPr>
        <w:t xml:space="preserve"> Hub</w:t>
      </w:r>
      <w:r w:rsidR="00F72EC9">
        <w:rPr>
          <w:rFonts w:ascii="Arial" w:hAnsi="Arial" w:cs="Arial"/>
          <w:color w:val="000000"/>
        </w:rPr>
        <w:t xml:space="preserve"> </w:t>
      </w:r>
      <w:r w:rsidRPr="00985368" w:rsidR="00AD1835">
        <w:rPr>
          <w:rFonts w:ascii="Arial" w:hAnsi="Arial" w:cs="Arial"/>
          <w:color w:val="000000"/>
        </w:rPr>
        <w:t xml:space="preserve">is required to process relevant personal data regarding </w:t>
      </w:r>
      <w:r w:rsidR="00F72EC9">
        <w:rPr>
          <w:rFonts w:ascii="Arial" w:hAnsi="Arial" w:cs="Arial"/>
          <w:color w:val="000000"/>
        </w:rPr>
        <w:t xml:space="preserve">service users, </w:t>
      </w:r>
      <w:r w:rsidRPr="00985368" w:rsidR="00AD1835">
        <w:rPr>
          <w:rFonts w:ascii="Arial" w:hAnsi="Arial" w:cs="Arial"/>
          <w:color w:val="000000"/>
        </w:rPr>
        <w:t xml:space="preserve">staff, volunteers, </w:t>
      </w:r>
      <w:r w:rsidR="00F72EC9">
        <w:rPr>
          <w:rFonts w:ascii="Arial" w:hAnsi="Arial" w:cs="Arial"/>
          <w:color w:val="000000"/>
        </w:rPr>
        <w:t>and trustees</w:t>
      </w:r>
      <w:r w:rsidRPr="00985368" w:rsidR="00AD1835">
        <w:rPr>
          <w:rFonts w:ascii="Arial" w:hAnsi="Arial" w:cs="Arial"/>
          <w:color w:val="000000"/>
        </w:rPr>
        <w:t xml:space="preserve"> as part of its operation and shall take all reasonable steps to do so in accordance with this Policy. </w:t>
      </w:r>
    </w:p>
    <w:p w:rsidRPr="00060385" w:rsidR="00AD1835" w:rsidP="00AD1835" w:rsidRDefault="00AD1835" w14:paraId="1A37DD85" w14:textId="2AFA7255">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Data Protection </w:t>
      </w:r>
      <w:r w:rsidR="0096753F">
        <w:rPr>
          <w:rFonts w:ascii="Arial" w:hAnsi="Arial" w:cs="Arial"/>
          <w:b/>
          <w:color w:val="000000"/>
        </w:rPr>
        <w:t>Manager</w:t>
      </w:r>
    </w:p>
    <w:p w:rsidRPr="00985368" w:rsidR="00AD1835" w:rsidP="00AD1835" w:rsidRDefault="00BA3377" w14:paraId="6C39F98D" w14:textId="6B1D468B">
      <w:pPr>
        <w:widowControl w:val="0"/>
        <w:autoSpaceDE w:val="0"/>
        <w:autoSpaceDN w:val="0"/>
        <w:adjustRightInd w:val="0"/>
        <w:spacing w:after="240" w:line="360" w:lineRule="atLeast"/>
        <w:rPr>
          <w:rFonts w:ascii="Arial" w:hAnsi="Arial" w:cs="Arial"/>
          <w:color w:val="000000"/>
        </w:rPr>
      </w:pPr>
      <w:r>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 xml:space="preserve">has appointed </w:t>
      </w:r>
      <w:r w:rsidRPr="00812D77" w:rsidR="00AD1835">
        <w:rPr>
          <w:rFonts w:ascii="Arial" w:hAnsi="Arial" w:cs="Arial"/>
        </w:rPr>
        <w:t xml:space="preserve">the </w:t>
      </w:r>
      <w:r w:rsidRPr="00812D77">
        <w:rPr>
          <w:rFonts w:ascii="Arial" w:hAnsi="Arial" w:cs="Arial"/>
        </w:rPr>
        <w:t>Hub Manager</w:t>
      </w:r>
      <w:r w:rsidRPr="00812D77" w:rsidR="00F72EC9">
        <w:rPr>
          <w:rFonts w:ascii="Arial" w:hAnsi="Arial" w:cs="Arial"/>
        </w:rPr>
        <w:t xml:space="preserve"> </w:t>
      </w:r>
      <w:r w:rsidRPr="00812D77" w:rsidR="00AD1835">
        <w:rPr>
          <w:rFonts w:ascii="Arial" w:hAnsi="Arial" w:cs="Arial"/>
        </w:rPr>
        <w:t xml:space="preserve">as the </w:t>
      </w:r>
      <w:r w:rsidR="003A18FB">
        <w:rPr>
          <w:rFonts w:ascii="Arial" w:hAnsi="Arial" w:cs="Arial"/>
          <w:color w:val="000000"/>
        </w:rPr>
        <w:t>Privacy Manager</w:t>
      </w:r>
      <w:r w:rsidRPr="00985368" w:rsidR="00AD1835">
        <w:rPr>
          <w:rFonts w:ascii="Arial" w:hAnsi="Arial" w:cs="Arial"/>
          <w:color w:val="000000"/>
        </w:rPr>
        <w:t xml:space="preserve"> who will endeavour to ensure that all personal data is processed in compliance with this Policy and the Principles </w:t>
      </w:r>
      <w:r w:rsidR="00AD1835">
        <w:rPr>
          <w:rFonts w:ascii="Arial" w:hAnsi="Arial" w:cs="Arial"/>
          <w:color w:val="000000"/>
        </w:rPr>
        <w:t>of the Data Protection Act 1998</w:t>
      </w:r>
      <w:r w:rsidRPr="00985368" w:rsidR="00AD1835">
        <w:rPr>
          <w:rFonts w:ascii="Arial" w:hAnsi="Arial" w:cs="Arial"/>
          <w:color w:val="000000"/>
        </w:rPr>
        <w:t>. The</w:t>
      </w:r>
      <w:r w:rsidR="00AD1835">
        <w:rPr>
          <w:rFonts w:ascii="Arial" w:hAnsi="Arial" w:cs="Arial"/>
          <w:color w:val="000000"/>
        </w:rPr>
        <w:t xml:space="preserve"> Freedom of I</w:t>
      </w:r>
      <w:r w:rsidRPr="00985368" w:rsidR="00AD1835">
        <w:rPr>
          <w:rFonts w:ascii="Arial" w:hAnsi="Arial" w:cs="Arial"/>
          <w:color w:val="000000"/>
        </w:rPr>
        <w:t>nformation Act 2000 and the Protection of Freedoms Act 2012 are also r</w:t>
      </w:r>
      <w:r w:rsidR="00AD1835">
        <w:rPr>
          <w:rFonts w:ascii="Arial" w:hAnsi="Arial" w:cs="Arial"/>
          <w:color w:val="000000"/>
        </w:rPr>
        <w:t xml:space="preserve">elevant to parts of this </w:t>
      </w:r>
      <w:r w:rsidR="00AA466D">
        <w:rPr>
          <w:rFonts w:ascii="Arial" w:hAnsi="Arial" w:cs="Arial"/>
          <w:color w:val="000000"/>
        </w:rPr>
        <w:t>P</w:t>
      </w:r>
      <w:r w:rsidR="00AD1835">
        <w:rPr>
          <w:rFonts w:ascii="Arial" w:hAnsi="Arial" w:cs="Arial"/>
          <w:color w:val="000000"/>
        </w:rPr>
        <w:t>olicy</w:t>
      </w:r>
      <w:r w:rsidRPr="00985368" w:rsidR="00AD1835">
        <w:rPr>
          <w:rFonts w:ascii="Arial" w:hAnsi="Arial" w:cs="Arial"/>
          <w:color w:val="000000"/>
        </w:rPr>
        <w:t xml:space="preserve">. </w:t>
      </w:r>
    </w:p>
    <w:p w:rsidRPr="00985368" w:rsidR="00AD1835" w:rsidP="00AD1835" w:rsidRDefault="00BA3377" w14:paraId="072785F2" w14:textId="564ACBA8">
      <w:pPr>
        <w:widowControl w:val="0"/>
        <w:autoSpaceDE w:val="0"/>
        <w:autoSpaceDN w:val="0"/>
        <w:adjustRightInd w:val="0"/>
        <w:spacing w:after="240" w:line="360" w:lineRule="atLeast"/>
        <w:rPr>
          <w:rFonts w:ascii="Arial" w:hAnsi="Arial" w:cs="Arial"/>
          <w:color w:val="000000"/>
        </w:rPr>
      </w:pPr>
      <w:r>
        <w:rPr>
          <w:rFonts w:ascii="Arial" w:hAnsi="Arial" w:cs="Arial"/>
          <w:color w:val="000000"/>
        </w:rPr>
        <w:t>BCW Hub</w:t>
      </w:r>
      <w:r w:rsidRPr="00985368" w:rsidR="00AD1835">
        <w:rPr>
          <w:rFonts w:ascii="Arial" w:hAnsi="Arial" w:cs="Arial"/>
          <w:color w:val="000000"/>
        </w:rPr>
        <w:t xml:space="preserve"> recognises The General Data Protection Regulation (GDPR) (Regulation (EU) 2016/679) adopted 27 April 2016, </w:t>
      </w:r>
      <w:r w:rsidR="00060385">
        <w:rPr>
          <w:rFonts w:ascii="Arial" w:hAnsi="Arial" w:cs="Arial"/>
          <w:color w:val="000000"/>
        </w:rPr>
        <w:t xml:space="preserve">which </w:t>
      </w:r>
      <w:r w:rsidR="0096753F">
        <w:rPr>
          <w:rFonts w:ascii="Arial" w:hAnsi="Arial" w:cs="Arial"/>
          <w:color w:val="000000"/>
        </w:rPr>
        <w:t>comes</w:t>
      </w:r>
      <w:r w:rsidR="00060385">
        <w:rPr>
          <w:rFonts w:ascii="Arial" w:hAnsi="Arial" w:cs="Arial"/>
          <w:color w:val="000000"/>
        </w:rPr>
        <w:t xml:space="preserve"> into force in the UK on</w:t>
      </w:r>
      <w:r w:rsidRPr="00985368" w:rsidR="00AD1835">
        <w:rPr>
          <w:rFonts w:ascii="Arial" w:hAnsi="Arial" w:cs="Arial"/>
          <w:color w:val="000000"/>
        </w:rPr>
        <w:t xml:space="preserve"> 25 May 2018 and </w:t>
      </w:r>
      <w:r>
        <w:rPr>
          <w:rFonts w:ascii="Arial" w:hAnsi="Arial" w:cs="Arial"/>
          <w:color w:val="000000"/>
        </w:rPr>
        <w:t>are</w:t>
      </w:r>
      <w:r w:rsidRPr="00985368" w:rsidR="00AD1835">
        <w:rPr>
          <w:rFonts w:ascii="Arial" w:hAnsi="Arial" w:cs="Arial"/>
          <w:color w:val="000000"/>
        </w:rPr>
        <w:t xml:space="preserve"> actively working</w:t>
      </w:r>
      <w:r w:rsidR="00AD1835">
        <w:rPr>
          <w:rFonts w:ascii="Arial" w:hAnsi="Arial" w:cs="Arial"/>
          <w:color w:val="000000"/>
        </w:rPr>
        <w:t xml:space="preserve"> towards compliance with that </w:t>
      </w:r>
      <w:r w:rsidR="00060385">
        <w:rPr>
          <w:rFonts w:ascii="Arial" w:hAnsi="Arial" w:cs="Arial"/>
          <w:color w:val="000000"/>
        </w:rPr>
        <w:t>Regulation</w:t>
      </w:r>
      <w:r w:rsidRPr="00985368" w:rsidR="00AD1835">
        <w:rPr>
          <w:rFonts w:ascii="Arial" w:hAnsi="Arial" w:cs="Arial"/>
          <w:color w:val="000000"/>
        </w:rPr>
        <w:t xml:space="preserve">. </w:t>
      </w:r>
    </w:p>
    <w:p w:rsidRPr="00060385" w:rsidR="00AD1835" w:rsidP="00AD1835" w:rsidRDefault="00AD1835" w14:paraId="124A41CD"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The </w:t>
      </w:r>
      <w:proofErr w:type="gramStart"/>
      <w:r w:rsidRPr="00060385">
        <w:rPr>
          <w:rFonts w:ascii="Arial" w:hAnsi="Arial" w:cs="Arial"/>
          <w:b/>
          <w:color w:val="000000"/>
        </w:rPr>
        <w:t>Principles</w:t>
      </w:r>
      <w:proofErr w:type="gramEnd"/>
      <w:r w:rsidRPr="00060385">
        <w:rPr>
          <w:rFonts w:ascii="Arial" w:hAnsi="Arial" w:cs="Arial"/>
          <w:b/>
          <w:color w:val="000000"/>
        </w:rPr>
        <w:t xml:space="preserve"> </w:t>
      </w:r>
    </w:p>
    <w:p w:rsidRPr="00985368" w:rsidR="00AD1835" w:rsidP="00AD1835" w:rsidRDefault="00BA3377" w14:paraId="45CB0161" w14:textId="2A8F94D8">
      <w:pPr>
        <w:widowControl w:val="0"/>
        <w:autoSpaceDE w:val="0"/>
        <w:autoSpaceDN w:val="0"/>
        <w:adjustRightInd w:val="0"/>
        <w:spacing w:after="240" w:line="360" w:lineRule="atLeast"/>
        <w:rPr>
          <w:rFonts w:ascii="Arial" w:hAnsi="Arial" w:cs="Arial"/>
          <w:color w:val="000000"/>
        </w:rPr>
      </w:pPr>
      <w:r>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 xml:space="preserve">shall so far as is reasonably practicable comply with the Data Protection Principles (the </w:t>
      </w:r>
      <w:proofErr w:type="gramStart"/>
      <w:r w:rsidRPr="00985368" w:rsidR="00AD1835">
        <w:rPr>
          <w:rFonts w:ascii="Arial" w:hAnsi="Arial" w:cs="Arial"/>
          <w:color w:val="000000"/>
        </w:rPr>
        <w:t>Principles</w:t>
      </w:r>
      <w:proofErr w:type="gramEnd"/>
      <w:r w:rsidRPr="00985368" w:rsidR="00AD1835">
        <w:rPr>
          <w:rFonts w:ascii="Arial" w:hAnsi="Arial" w:cs="Arial"/>
          <w:color w:val="000000"/>
        </w:rPr>
        <w:t>) contained in the Data Protection Act</w:t>
      </w:r>
      <w:r w:rsidR="00060385">
        <w:rPr>
          <w:rFonts w:ascii="Arial" w:hAnsi="Arial" w:cs="Arial"/>
          <w:color w:val="000000"/>
        </w:rPr>
        <w:t xml:space="preserve"> 1988</w:t>
      </w:r>
      <w:r w:rsidRPr="00985368" w:rsidR="00AD1835">
        <w:rPr>
          <w:rFonts w:ascii="Arial" w:hAnsi="Arial" w:cs="Arial"/>
          <w:color w:val="000000"/>
        </w:rPr>
        <w:t xml:space="preserve"> to ensure all data is: </w:t>
      </w:r>
    </w:p>
    <w:p w:rsidRPr="00BA3377" w:rsidR="00AD1835" w:rsidP="00BA3377" w:rsidRDefault="00AD1835" w14:paraId="1800D104" w14:textId="1CA76AC9">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Fairly and lawfully </w:t>
      </w:r>
      <w:proofErr w:type="gramStart"/>
      <w:r w:rsidRPr="00BA3377">
        <w:rPr>
          <w:rFonts w:ascii="Arial" w:hAnsi="Arial" w:cs="Arial"/>
          <w:color w:val="000000"/>
          <w:sz w:val="24"/>
          <w:szCs w:val="24"/>
        </w:rPr>
        <w:t>processed</w:t>
      </w:r>
      <w:proofErr w:type="gramEnd"/>
      <w:r w:rsidRPr="00BA3377">
        <w:rPr>
          <w:rFonts w:ascii="Arial" w:hAnsi="Arial" w:cs="Arial"/>
          <w:color w:val="000000"/>
          <w:sz w:val="24"/>
          <w:szCs w:val="24"/>
        </w:rPr>
        <w:t xml:space="preserve"> </w:t>
      </w:r>
    </w:p>
    <w:p w:rsidRPr="00BA3377" w:rsidR="00AD1835" w:rsidP="00BA3377" w:rsidRDefault="00AD1835" w14:paraId="725F33B5" w14:textId="6CDC42CE">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Processed for a lawful </w:t>
      </w:r>
      <w:proofErr w:type="gramStart"/>
      <w:r w:rsidRPr="00BA3377">
        <w:rPr>
          <w:rFonts w:ascii="Arial" w:hAnsi="Arial" w:cs="Arial"/>
          <w:color w:val="000000"/>
          <w:sz w:val="24"/>
          <w:szCs w:val="24"/>
        </w:rPr>
        <w:t>purpose</w:t>
      </w:r>
      <w:proofErr w:type="gramEnd"/>
      <w:r w:rsidRPr="00BA3377">
        <w:rPr>
          <w:rFonts w:ascii="Arial" w:hAnsi="Arial" w:cs="Arial"/>
          <w:color w:val="000000"/>
          <w:sz w:val="24"/>
          <w:szCs w:val="24"/>
        </w:rPr>
        <w:t xml:space="preserve"> </w:t>
      </w:r>
    </w:p>
    <w:p w:rsidRPr="00BA3377" w:rsidR="00AD1835" w:rsidP="00BA3377" w:rsidRDefault="00AD1835" w14:paraId="494F9BDE" w14:textId="4294073D">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Adequate, </w:t>
      </w:r>
      <w:proofErr w:type="gramStart"/>
      <w:r w:rsidRPr="00BA3377">
        <w:rPr>
          <w:rFonts w:ascii="Arial" w:hAnsi="Arial" w:cs="Arial"/>
          <w:color w:val="000000"/>
          <w:sz w:val="24"/>
          <w:szCs w:val="24"/>
        </w:rPr>
        <w:t>relevant</w:t>
      </w:r>
      <w:proofErr w:type="gramEnd"/>
      <w:r w:rsidRPr="00BA3377">
        <w:rPr>
          <w:rFonts w:ascii="Arial" w:hAnsi="Arial" w:cs="Arial"/>
          <w:color w:val="000000"/>
          <w:sz w:val="24"/>
          <w:szCs w:val="24"/>
        </w:rPr>
        <w:t xml:space="preserve"> and not excessive </w:t>
      </w:r>
    </w:p>
    <w:p w:rsidRPr="00BA3377" w:rsidR="00AD1835" w:rsidP="00BA3377" w:rsidRDefault="00AD1835" w14:paraId="0E1B69E5" w14:textId="7BF36F9C">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Accurate and up to date </w:t>
      </w:r>
    </w:p>
    <w:p w:rsidRPr="00BA3377" w:rsidR="00AD1835" w:rsidP="00BA3377" w:rsidRDefault="00AD1835" w14:paraId="4CBA2C4A" w14:textId="3CCE92B1">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Not kept for longer than necessary </w:t>
      </w:r>
    </w:p>
    <w:p w:rsidRPr="00BA3377" w:rsidR="00AD1835" w:rsidP="00BA3377" w:rsidRDefault="00AD1835" w14:paraId="1D41F245" w14:textId="741EFC5C">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Processed in accordance with the data subject's </w:t>
      </w:r>
      <w:proofErr w:type="gramStart"/>
      <w:r w:rsidRPr="00BA3377">
        <w:rPr>
          <w:rFonts w:ascii="Arial" w:hAnsi="Arial" w:cs="Arial"/>
          <w:color w:val="000000"/>
          <w:sz w:val="24"/>
          <w:szCs w:val="24"/>
        </w:rPr>
        <w:t>rights</w:t>
      </w:r>
      <w:proofErr w:type="gramEnd"/>
      <w:r w:rsidRPr="00BA3377">
        <w:rPr>
          <w:rFonts w:ascii="Arial" w:hAnsi="Arial" w:cs="Arial"/>
          <w:color w:val="000000"/>
          <w:sz w:val="24"/>
          <w:szCs w:val="24"/>
        </w:rPr>
        <w:t xml:space="preserve"> </w:t>
      </w:r>
    </w:p>
    <w:p w:rsidRPr="00BA3377" w:rsidR="00AD1835" w:rsidP="00BA3377" w:rsidRDefault="00AD1835" w14:paraId="05F7FD50" w14:textId="298CBA39">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Secure </w:t>
      </w:r>
    </w:p>
    <w:p w:rsidRPr="00BA3377" w:rsidR="00717573" w:rsidP="00BA3377" w:rsidRDefault="00AD1835" w14:paraId="34D9E567" w14:textId="25F20691">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Not transferred to other countries without adequate protection </w:t>
      </w:r>
    </w:p>
    <w:p w:rsidRPr="00060385" w:rsidR="00AD1835" w:rsidP="00AD1835" w:rsidRDefault="00AD1835" w14:paraId="3F83420A" w14:textId="2C7D5C5A">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Definitions </w:t>
      </w:r>
    </w:p>
    <w:p w:rsidRPr="00BA3377" w:rsidR="00AD1835" w:rsidP="00BA3377" w:rsidRDefault="00BA3377" w14:paraId="29894F5A" w14:textId="6A748DD0">
      <w:pPr>
        <w:pStyle w:val="ListParagraph"/>
        <w:widowControl w:val="0"/>
        <w:numPr>
          <w:ilvl w:val="0"/>
          <w:numId w:val="3"/>
        </w:numPr>
        <w:autoSpaceDE w:val="0"/>
        <w:autoSpaceDN w:val="0"/>
        <w:adjustRightInd w:val="0"/>
        <w:spacing w:after="240" w:line="360" w:lineRule="atLeast"/>
        <w:rPr>
          <w:rFonts w:ascii="Arial" w:hAnsi="Arial" w:cs="Arial"/>
          <w:color w:val="000000"/>
          <w:sz w:val="24"/>
          <w:szCs w:val="24"/>
        </w:rPr>
      </w:pPr>
      <w:r w:rsidRPr="5A81EC9D">
        <w:rPr>
          <w:rFonts w:ascii="Arial" w:hAnsi="Arial" w:cs="Arial"/>
          <w:color w:val="000000" w:themeColor="text1"/>
          <w:sz w:val="24"/>
          <w:szCs w:val="24"/>
        </w:rPr>
        <w:t>BCW Hub</w:t>
      </w:r>
      <w:r w:rsidRPr="5A81EC9D" w:rsidR="00F72EC9">
        <w:rPr>
          <w:rFonts w:ascii="Arial" w:hAnsi="Arial" w:cs="Arial"/>
          <w:color w:val="000000" w:themeColor="text1"/>
          <w:sz w:val="28"/>
          <w:szCs w:val="28"/>
        </w:rPr>
        <w:t xml:space="preserve"> </w:t>
      </w:r>
      <w:r w:rsidRPr="5A81EC9D" w:rsidR="00F72EC9">
        <w:rPr>
          <w:rFonts w:ascii="Arial" w:hAnsi="Arial" w:cs="Arial"/>
          <w:color w:val="000000" w:themeColor="text1"/>
          <w:sz w:val="24"/>
          <w:szCs w:val="24"/>
        </w:rPr>
        <w:t>i</w:t>
      </w:r>
      <w:r w:rsidRPr="5A81EC9D" w:rsidR="00AD1835">
        <w:rPr>
          <w:rFonts w:ascii="Arial" w:hAnsi="Arial" w:cs="Arial"/>
          <w:color w:val="000000" w:themeColor="text1"/>
          <w:sz w:val="24"/>
          <w:szCs w:val="24"/>
        </w:rPr>
        <w:t xml:space="preserve">s a </w:t>
      </w:r>
      <w:r w:rsidRPr="5A81EC9D" w:rsidR="00865E80">
        <w:rPr>
          <w:rFonts w:ascii="Arial" w:hAnsi="Arial" w:cs="Arial"/>
          <w:color w:val="000000" w:themeColor="text1"/>
          <w:sz w:val="24"/>
          <w:szCs w:val="24"/>
        </w:rPr>
        <w:t>C</w:t>
      </w:r>
      <w:r w:rsidRPr="5A81EC9D" w:rsidR="00F72EC9">
        <w:rPr>
          <w:rFonts w:ascii="Arial" w:hAnsi="Arial" w:cs="Arial"/>
          <w:color w:val="000000" w:themeColor="text1"/>
          <w:sz w:val="24"/>
          <w:szCs w:val="24"/>
        </w:rPr>
        <w:t xml:space="preserve">haritable Incorporated </w:t>
      </w:r>
      <w:r w:rsidRPr="5A81EC9D" w:rsidR="401DF9FF">
        <w:rPr>
          <w:rFonts w:ascii="Arial" w:hAnsi="Arial" w:cs="Arial"/>
          <w:color w:val="000000" w:themeColor="text1"/>
          <w:sz w:val="24"/>
          <w:szCs w:val="24"/>
        </w:rPr>
        <w:t>O</w:t>
      </w:r>
      <w:r w:rsidRPr="5A81EC9D" w:rsidR="00F72EC9">
        <w:rPr>
          <w:rFonts w:ascii="Arial" w:hAnsi="Arial" w:cs="Arial"/>
          <w:color w:val="000000" w:themeColor="text1"/>
          <w:sz w:val="24"/>
          <w:szCs w:val="24"/>
        </w:rPr>
        <w:t>rganisation</w:t>
      </w:r>
      <w:r w:rsidRPr="5A81EC9D" w:rsidR="00AD1835">
        <w:rPr>
          <w:rFonts w:ascii="Arial" w:hAnsi="Arial" w:cs="Arial"/>
          <w:color w:val="000000" w:themeColor="text1"/>
          <w:sz w:val="24"/>
          <w:szCs w:val="24"/>
        </w:rPr>
        <w:t xml:space="preserve">. </w:t>
      </w:r>
    </w:p>
    <w:p w:rsidRPr="00BA3377" w:rsidR="00AD1835" w:rsidP="00BA3377" w:rsidRDefault="00AD1835" w14:paraId="13B601BF" w14:textId="4EE3E629">
      <w:pPr>
        <w:pStyle w:val="ListParagraph"/>
        <w:widowControl w:val="0"/>
        <w:numPr>
          <w:ilvl w:val="0"/>
          <w:numId w:val="3"/>
        </w:numPr>
        <w:autoSpaceDE w:val="0"/>
        <w:autoSpaceDN w:val="0"/>
        <w:adjustRightInd w:val="0"/>
        <w:spacing w:after="240" w:line="360" w:lineRule="atLeast"/>
        <w:rPr>
          <w:rFonts w:ascii="Arial" w:hAnsi="Arial" w:cs="Arial"/>
          <w:color w:val="000000"/>
          <w:sz w:val="24"/>
          <w:szCs w:val="24"/>
        </w:rPr>
      </w:pPr>
      <w:r w:rsidRPr="00BA3377">
        <w:rPr>
          <w:rFonts w:ascii="Arial" w:hAnsi="Arial" w:cs="Arial"/>
          <w:color w:val="000000"/>
          <w:sz w:val="24"/>
          <w:szCs w:val="24"/>
        </w:rPr>
        <w:t>Consent includes</w:t>
      </w:r>
      <w:r w:rsidRPr="00BA3377" w:rsidR="00060385">
        <w:rPr>
          <w:rFonts w:ascii="Arial" w:hAnsi="Arial" w:cs="Arial"/>
          <w:color w:val="000000"/>
          <w:sz w:val="24"/>
          <w:szCs w:val="24"/>
        </w:rPr>
        <w:t>, where applicable,</w:t>
      </w:r>
      <w:r w:rsidRPr="00BA3377">
        <w:rPr>
          <w:rFonts w:ascii="Arial" w:hAnsi="Arial" w:cs="Arial"/>
          <w:color w:val="000000"/>
          <w:sz w:val="24"/>
          <w:szCs w:val="24"/>
        </w:rPr>
        <w:t xml:space="preserve"> the consent of staff, volunteer,</w:t>
      </w:r>
      <w:r w:rsidRPr="00BA3377">
        <w:rPr>
          <w:rFonts w:ascii="Arial" w:hAnsi="Arial" w:cs="Arial"/>
          <w:i/>
          <w:color w:val="000000"/>
          <w:sz w:val="24"/>
          <w:szCs w:val="24"/>
        </w:rPr>
        <w:t xml:space="preserve"> </w:t>
      </w:r>
      <w:r w:rsidRPr="00BA3377" w:rsidR="00F72EC9">
        <w:rPr>
          <w:rFonts w:ascii="Arial" w:hAnsi="Arial" w:cs="Arial"/>
          <w:color w:val="000000"/>
          <w:sz w:val="24"/>
          <w:szCs w:val="24"/>
        </w:rPr>
        <w:t>service user</w:t>
      </w:r>
      <w:r w:rsidRPr="00BA3377" w:rsidR="00060385">
        <w:rPr>
          <w:rFonts w:ascii="Arial" w:hAnsi="Arial" w:cs="Arial"/>
          <w:color w:val="000000"/>
          <w:sz w:val="24"/>
          <w:szCs w:val="24"/>
        </w:rPr>
        <w:t>,</w:t>
      </w:r>
      <w:r w:rsidRPr="00BA3377">
        <w:rPr>
          <w:rFonts w:ascii="Arial" w:hAnsi="Arial" w:cs="Arial"/>
          <w:color w:val="000000"/>
          <w:sz w:val="24"/>
          <w:szCs w:val="24"/>
        </w:rPr>
        <w:t xml:space="preserve"> </w:t>
      </w:r>
      <w:proofErr w:type="gramStart"/>
      <w:r w:rsidRPr="00BA3377" w:rsidR="00060385">
        <w:rPr>
          <w:rFonts w:ascii="Arial" w:hAnsi="Arial" w:cs="Arial"/>
          <w:color w:val="000000"/>
          <w:sz w:val="24"/>
          <w:szCs w:val="24"/>
        </w:rPr>
        <w:t>supporters</w:t>
      </w:r>
      <w:proofErr w:type="gramEnd"/>
      <w:r w:rsidRPr="00BA3377" w:rsidR="00060385">
        <w:rPr>
          <w:rFonts w:ascii="Arial" w:hAnsi="Arial" w:cs="Arial"/>
          <w:color w:val="000000"/>
          <w:sz w:val="24"/>
          <w:szCs w:val="24"/>
        </w:rPr>
        <w:t xml:space="preserve"> and donors.</w:t>
      </w:r>
      <w:r w:rsidRPr="00BA3377">
        <w:rPr>
          <w:rFonts w:ascii="Arial" w:hAnsi="Arial" w:cs="Arial"/>
          <w:color w:val="000000"/>
          <w:sz w:val="24"/>
          <w:szCs w:val="24"/>
        </w:rPr>
        <w:t xml:space="preserve"> </w:t>
      </w:r>
    </w:p>
    <w:p w:rsidRPr="00BA3377" w:rsidR="00AD1835" w:rsidP="00BA3377" w:rsidRDefault="002A042B" w14:paraId="486DABE4" w14:textId="509AA2D0">
      <w:pPr>
        <w:pStyle w:val="ListParagraph"/>
        <w:widowControl w:val="0"/>
        <w:numPr>
          <w:ilvl w:val="0"/>
          <w:numId w:val="3"/>
        </w:numPr>
        <w:autoSpaceDE w:val="0"/>
        <w:autoSpaceDN w:val="0"/>
        <w:adjustRightInd w:val="0"/>
        <w:spacing w:after="240" w:line="360" w:lineRule="atLeast"/>
        <w:rPr>
          <w:rFonts w:ascii="Arial" w:hAnsi="Arial" w:cs="Arial"/>
          <w:color w:val="000000"/>
          <w:sz w:val="24"/>
          <w:szCs w:val="24"/>
        </w:rPr>
      </w:pPr>
      <w:r w:rsidRPr="00BA3377">
        <w:rPr>
          <w:rFonts w:ascii="Arial" w:hAnsi="Arial" w:cs="Arial"/>
          <w:color w:val="000000"/>
          <w:sz w:val="24"/>
          <w:szCs w:val="24"/>
        </w:rPr>
        <w:t>Data Subject</w:t>
      </w:r>
      <w:r w:rsidRPr="00BA3377" w:rsidR="00AD1835">
        <w:rPr>
          <w:rFonts w:ascii="Arial" w:hAnsi="Arial" w:cs="Arial"/>
          <w:color w:val="000000"/>
          <w:sz w:val="24"/>
          <w:szCs w:val="24"/>
        </w:rPr>
        <w:t xml:space="preserve"> is an individual who is the subject of the personal data. </w:t>
      </w:r>
    </w:p>
    <w:p w:rsidR="00BA3377" w:rsidP="00AD1835" w:rsidRDefault="00BA3377" w14:paraId="6AAE6AD8" w14:textId="77777777">
      <w:pPr>
        <w:widowControl w:val="0"/>
        <w:autoSpaceDE w:val="0"/>
        <w:autoSpaceDN w:val="0"/>
        <w:adjustRightInd w:val="0"/>
        <w:spacing w:after="240" w:line="360" w:lineRule="atLeast"/>
        <w:outlineLvl w:val="0"/>
        <w:rPr>
          <w:rFonts w:ascii="Arial" w:hAnsi="Arial" w:cs="Arial"/>
          <w:b/>
          <w:color w:val="000000"/>
        </w:rPr>
      </w:pPr>
    </w:p>
    <w:p w:rsidRPr="00060385" w:rsidR="00AD1835" w:rsidP="00AD1835" w:rsidRDefault="00AD1835" w14:paraId="326829D0" w14:textId="79EBEB4A">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lastRenderedPageBreak/>
        <w:t xml:space="preserve">Personal Data </w:t>
      </w:r>
    </w:p>
    <w:p w:rsidRPr="00985368" w:rsidR="00AD1835" w:rsidP="00AD1835" w:rsidRDefault="00AD1835" w14:paraId="6118DE30" w14:textId="5EE8ABBE">
      <w:pPr>
        <w:widowControl w:val="0"/>
        <w:autoSpaceDE w:val="0"/>
        <w:autoSpaceDN w:val="0"/>
        <w:adjustRightInd w:val="0"/>
        <w:spacing w:after="240" w:line="360" w:lineRule="atLeast"/>
        <w:rPr>
          <w:rFonts w:ascii="Arial" w:hAnsi="Arial" w:cs="Arial"/>
          <w:color w:val="000000"/>
        </w:rPr>
      </w:pPr>
      <w:r w:rsidRPr="00985368">
        <w:rPr>
          <w:rFonts w:ascii="Arial" w:hAnsi="Arial" w:cs="Arial"/>
          <w:color w:val="000000"/>
        </w:rPr>
        <w:t xml:space="preserve">Personal data </w:t>
      </w:r>
      <w:r w:rsidR="00060385">
        <w:rPr>
          <w:rFonts w:ascii="Arial" w:hAnsi="Arial" w:cs="Arial"/>
          <w:color w:val="000000"/>
        </w:rPr>
        <w:t>includes</w:t>
      </w:r>
      <w:r w:rsidRPr="00985368">
        <w:rPr>
          <w:rFonts w:ascii="Arial" w:hAnsi="Arial" w:cs="Arial"/>
          <w:color w:val="000000"/>
        </w:rPr>
        <w:t xml:space="preserve"> both facts and </w:t>
      </w:r>
      <w:r w:rsidR="00060385">
        <w:rPr>
          <w:rFonts w:ascii="Arial" w:hAnsi="Arial" w:cs="Arial"/>
          <w:color w:val="000000"/>
        </w:rPr>
        <w:t xml:space="preserve">photos, </w:t>
      </w:r>
      <w:proofErr w:type="gramStart"/>
      <w:r w:rsidR="00060385">
        <w:rPr>
          <w:rFonts w:ascii="Arial" w:hAnsi="Arial" w:cs="Arial"/>
          <w:color w:val="000000"/>
        </w:rPr>
        <w:t>documents</w:t>
      </w:r>
      <w:proofErr w:type="gramEnd"/>
      <w:r w:rsidR="00060385">
        <w:rPr>
          <w:rFonts w:ascii="Arial" w:hAnsi="Arial" w:cs="Arial"/>
          <w:color w:val="000000"/>
        </w:rPr>
        <w:t xml:space="preserve"> and records</w:t>
      </w:r>
      <w:r w:rsidRPr="00985368">
        <w:rPr>
          <w:rFonts w:ascii="Arial" w:hAnsi="Arial" w:cs="Arial"/>
          <w:color w:val="000000"/>
        </w:rPr>
        <w:t xml:space="preserve"> about an individual where tha</w:t>
      </w:r>
      <w:r>
        <w:rPr>
          <w:rFonts w:ascii="Arial" w:hAnsi="Arial" w:cs="Arial"/>
          <w:color w:val="000000"/>
        </w:rPr>
        <w:t>t data identifies an individual. For e</w:t>
      </w:r>
      <w:r w:rsidRPr="00985368">
        <w:rPr>
          <w:rFonts w:ascii="Arial" w:hAnsi="Arial" w:cs="Arial"/>
          <w:color w:val="000000"/>
        </w:rPr>
        <w:t xml:space="preserve">xample, it includes information necessary for employment such as the member of staff’s name and address and details for payment of salary or a </w:t>
      </w:r>
      <w:r w:rsidR="00F72EC9">
        <w:rPr>
          <w:rFonts w:ascii="Arial" w:hAnsi="Arial" w:cs="Arial"/>
          <w:color w:val="000000"/>
        </w:rPr>
        <w:t xml:space="preserve">service </w:t>
      </w:r>
      <w:proofErr w:type="gramStart"/>
      <w:r w:rsidR="00F72EC9">
        <w:rPr>
          <w:rFonts w:ascii="Arial" w:hAnsi="Arial" w:cs="Arial"/>
          <w:color w:val="000000"/>
        </w:rPr>
        <w:t>users</w:t>
      </w:r>
      <w:proofErr w:type="gramEnd"/>
      <w:r w:rsidR="00F72EC9">
        <w:rPr>
          <w:rFonts w:ascii="Arial" w:hAnsi="Arial" w:cs="Arial"/>
          <w:color w:val="000000"/>
        </w:rPr>
        <w:t xml:space="preserve"> </w:t>
      </w:r>
      <w:r>
        <w:rPr>
          <w:rFonts w:ascii="Arial" w:hAnsi="Arial" w:cs="Arial"/>
          <w:color w:val="000000"/>
        </w:rPr>
        <w:t xml:space="preserve">details and </w:t>
      </w:r>
      <w:r w:rsidR="00F72EC9">
        <w:rPr>
          <w:rFonts w:ascii="Arial" w:hAnsi="Arial" w:cs="Arial"/>
          <w:color w:val="000000"/>
        </w:rPr>
        <w:t>records.</w:t>
      </w:r>
      <w:r w:rsidRPr="00985368">
        <w:rPr>
          <w:rFonts w:ascii="Arial" w:hAnsi="Arial" w:cs="Arial"/>
          <w:color w:val="000000"/>
        </w:rPr>
        <w:t xml:space="preserve"> Personal da</w:t>
      </w:r>
      <w:r>
        <w:rPr>
          <w:rFonts w:ascii="Arial" w:hAnsi="Arial" w:cs="Arial"/>
          <w:color w:val="000000"/>
        </w:rPr>
        <w:t>ta may also include sensitive p</w:t>
      </w:r>
      <w:r w:rsidRPr="00985368">
        <w:rPr>
          <w:rFonts w:ascii="Arial" w:hAnsi="Arial" w:cs="Arial"/>
          <w:color w:val="000000"/>
        </w:rPr>
        <w:t>e</w:t>
      </w:r>
      <w:r>
        <w:rPr>
          <w:rFonts w:ascii="Arial" w:hAnsi="Arial" w:cs="Arial"/>
          <w:color w:val="000000"/>
        </w:rPr>
        <w:t>rsonal data as defined in the A</w:t>
      </w:r>
      <w:r w:rsidRPr="00985368">
        <w:rPr>
          <w:rFonts w:ascii="Arial" w:hAnsi="Arial" w:cs="Arial"/>
          <w:color w:val="000000"/>
        </w:rPr>
        <w:t xml:space="preserve">ct. </w:t>
      </w:r>
    </w:p>
    <w:p w:rsidRPr="00060385" w:rsidR="00AD1835" w:rsidP="00AD1835" w:rsidRDefault="00AD1835" w14:paraId="1210B82C"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Processing of Personal Data </w:t>
      </w:r>
    </w:p>
    <w:p w:rsidRPr="00985368" w:rsidR="00AD1835" w:rsidP="00AD1835" w:rsidRDefault="00AD1835" w14:paraId="26763692" w14:textId="344EAB36">
      <w:pPr>
        <w:widowControl w:val="0"/>
        <w:autoSpaceDE w:val="0"/>
        <w:autoSpaceDN w:val="0"/>
        <w:adjustRightInd w:val="0"/>
        <w:spacing w:after="240" w:line="360" w:lineRule="atLeast"/>
        <w:rPr>
          <w:rFonts w:ascii="Arial" w:hAnsi="Arial" w:cs="Arial"/>
          <w:color w:val="000000"/>
        </w:rPr>
      </w:pPr>
      <w:r>
        <w:rPr>
          <w:rFonts w:ascii="Arial" w:hAnsi="Arial" w:cs="Arial"/>
          <w:color w:val="000000"/>
        </w:rPr>
        <w:t>Con</w:t>
      </w:r>
      <w:r w:rsidRPr="00985368">
        <w:rPr>
          <w:rFonts w:ascii="Arial" w:hAnsi="Arial" w:cs="Arial"/>
          <w:color w:val="000000"/>
        </w:rPr>
        <w:t>sent may be required for the processing of personal data unless processing is necessary for the performance of the contract of employment</w:t>
      </w:r>
      <w:r w:rsidR="00060385">
        <w:rPr>
          <w:rFonts w:ascii="Arial" w:hAnsi="Arial" w:cs="Arial"/>
          <w:color w:val="000000"/>
        </w:rPr>
        <w:t xml:space="preserve"> or operationally</w:t>
      </w:r>
      <w:r w:rsidRPr="00985368">
        <w:rPr>
          <w:rFonts w:ascii="Arial" w:hAnsi="Arial" w:cs="Arial"/>
          <w:color w:val="000000"/>
        </w:rPr>
        <w:t>. Any information which falls under the definition of personal data and is not otherwise</w:t>
      </w:r>
      <w:r>
        <w:rPr>
          <w:rFonts w:ascii="Arial" w:hAnsi="Arial" w:cs="Arial"/>
          <w:color w:val="000000"/>
        </w:rPr>
        <w:t xml:space="preserve"> exempt, will remain confidenti</w:t>
      </w:r>
      <w:r w:rsidRPr="00985368">
        <w:rPr>
          <w:rFonts w:ascii="Arial" w:hAnsi="Arial" w:cs="Arial"/>
          <w:color w:val="000000"/>
        </w:rPr>
        <w:t>al and will only be disclosed to third p</w:t>
      </w:r>
      <w:r>
        <w:rPr>
          <w:rFonts w:ascii="Arial" w:hAnsi="Arial" w:cs="Arial"/>
          <w:color w:val="000000"/>
        </w:rPr>
        <w:t>arties with appropriate consent</w:t>
      </w:r>
      <w:r w:rsidRPr="00985368">
        <w:rPr>
          <w:rFonts w:ascii="Arial" w:hAnsi="Arial" w:cs="Arial"/>
          <w:color w:val="000000"/>
        </w:rPr>
        <w:t xml:space="preserve">. </w:t>
      </w:r>
    </w:p>
    <w:p w:rsidRPr="00985368" w:rsidR="00AD1835" w:rsidP="00AD1835" w:rsidRDefault="00A20AED" w14:paraId="20183690" w14:textId="5094C409">
      <w:pPr>
        <w:widowControl w:val="0"/>
        <w:autoSpaceDE w:val="0"/>
        <w:autoSpaceDN w:val="0"/>
        <w:adjustRightInd w:val="0"/>
        <w:spacing w:after="240" w:line="360" w:lineRule="atLeast"/>
        <w:rPr>
          <w:rFonts w:ascii="Arial" w:hAnsi="Arial" w:cs="Arial"/>
          <w:color w:val="000000"/>
        </w:rPr>
      </w:pPr>
      <w:r>
        <w:rPr>
          <w:rFonts w:ascii="Arial" w:hAnsi="Arial" w:cs="Arial"/>
          <w:color w:val="000000"/>
        </w:rPr>
        <w:t xml:space="preserve">Where </w:t>
      </w:r>
      <w:r w:rsidRPr="00BA3377" w:rsidR="00BA3377">
        <w:rPr>
          <w:rFonts w:ascii="Arial" w:hAnsi="Arial" w:cs="Arial"/>
          <w:color w:val="000000"/>
        </w:rPr>
        <w:t>BCW Hub</w:t>
      </w:r>
      <w:r w:rsidRPr="00985368" w:rsidR="00AD1835">
        <w:rPr>
          <w:rFonts w:ascii="Arial" w:hAnsi="Arial" w:cs="Arial"/>
          <w:color w:val="000000"/>
        </w:rPr>
        <w:t xml:space="preserve"> processes personal data fo</w:t>
      </w:r>
      <w:r w:rsidR="00AD1835">
        <w:rPr>
          <w:rFonts w:ascii="Arial" w:hAnsi="Arial" w:cs="Arial"/>
          <w:color w:val="000000"/>
        </w:rPr>
        <w:t>r marketing and fundr</w:t>
      </w:r>
      <w:r w:rsidRPr="00985368" w:rsidR="00AD1835">
        <w:rPr>
          <w:rFonts w:ascii="Arial" w:hAnsi="Arial" w:cs="Arial"/>
          <w:color w:val="000000"/>
        </w:rPr>
        <w:t>ai</w:t>
      </w:r>
      <w:r w:rsidR="00AD1835">
        <w:rPr>
          <w:rFonts w:ascii="Arial" w:hAnsi="Arial" w:cs="Arial"/>
          <w:color w:val="000000"/>
        </w:rPr>
        <w:t>sing purposes, data subjects ha</w:t>
      </w:r>
      <w:r w:rsidRPr="00985368" w:rsidR="00AD1835">
        <w:rPr>
          <w:rFonts w:ascii="Arial" w:hAnsi="Arial" w:cs="Arial"/>
          <w:color w:val="000000"/>
        </w:rPr>
        <w:t>ve the righ</w:t>
      </w:r>
      <w:r w:rsidR="00AD1835">
        <w:rPr>
          <w:rFonts w:ascii="Arial" w:hAnsi="Arial" w:cs="Arial"/>
          <w:color w:val="000000"/>
        </w:rPr>
        <w:t xml:space="preserve">t to request an </w:t>
      </w:r>
      <w:r>
        <w:rPr>
          <w:rFonts w:ascii="Arial" w:hAnsi="Arial" w:cs="Arial"/>
          <w:color w:val="000000"/>
        </w:rPr>
        <w:t>opt</w:t>
      </w:r>
      <w:r w:rsidRPr="00985368">
        <w:rPr>
          <w:rFonts w:ascii="Arial" w:hAnsi="Arial" w:cs="Arial"/>
          <w:color w:val="000000"/>
        </w:rPr>
        <w:t xml:space="preserve"> out</w:t>
      </w:r>
      <w:r w:rsidRPr="00985368" w:rsidR="00AD1835">
        <w:rPr>
          <w:rFonts w:ascii="Arial" w:hAnsi="Arial" w:cs="Arial"/>
          <w:color w:val="000000"/>
        </w:rPr>
        <w:t xml:space="preserve"> to these acti</w:t>
      </w:r>
      <w:r w:rsidR="00AD1835">
        <w:rPr>
          <w:rFonts w:ascii="Arial" w:hAnsi="Arial" w:cs="Arial"/>
          <w:color w:val="000000"/>
        </w:rPr>
        <w:t xml:space="preserve">vities, which </w:t>
      </w:r>
      <w:r>
        <w:rPr>
          <w:rFonts w:ascii="Arial" w:hAnsi="Arial" w:cs="Arial"/>
          <w:color w:val="000000"/>
        </w:rPr>
        <w:t>will</w:t>
      </w:r>
      <w:r w:rsidR="00AD1835">
        <w:rPr>
          <w:rFonts w:ascii="Arial" w:hAnsi="Arial" w:cs="Arial"/>
          <w:color w:val="000000"/>
        </w:rPr>
        <w:t xml:space="preserve"> be respected</w:t>
      </w:r>
      <w:r w:rsidRPr="00985368" w:rsidR="00AD1835">
        <w:rPr>
          <w:rFonts w:ascii="Arial" w:hAnsi="Arial" w:cs="Arial"/>
          <w:color w:val="000000"/>
        </w:rPr>
        <w:t xml:space="preserve">. </w:t>
      </w:r>
    </w:p>
    <w:p w:rsidRPr="00060385" w:rsidR="00AD1835" w:rsidP="00AD1835" w:rsidRDefault="00AD1835" w14:paraId="5BF1FCA4"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Sensitive Personal Data </w:t>
      </w:r>
    </w:p>
    <w:p w:rsidRPr="00985368" w:rsidR="00AD1835" w:rsidP="00AD1835" w:rsidRDefault="00BA3377" w14:paraId="6D76009C" w14:textId="61FC9B71">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 xml:space="preserve">may, from time to time, be required to process sensitive personal data. </w:t>
      </w:r>
      <w:r w:rsidR="00AD1835">
        <w:rPr>
          <w:rFonts w:ascii="Arial" w:hAnsi="Arial" w:cs="Arial"/>
          <w:color w:val="000000"/>
        </w:rPr>
        <w:t>Sensitive personal data include</w:t>
      </w:r>
      <w:r w:rsidRPr="00985368" w:rsidR="00AD1835">
        <w:rPr>
          <w:rFonts w:ascii="Arial" w:hAnsi="Arial" w:cs="Arial"/>
          <w:color w:val="000000"/>
        </w:rPr>
        <w:t xml:space="preserve">s data </w:t>
      </w:r>
      <w:r w:rsidR="00AD1835">
        <w:rPr>
          <w:rFonts w:ascii="Arial" w:hAnsi="Arial" w:cs="Arial"/>
          <w:color w:val="000000"/>
        </w:rPr>
        <w:t>relating to medical information</w:t>
      </w:r>
      <w:r w:rsidRPr="00985368" w:rsidR="00AD1835">
        <w:rPr>
          <w:rFonts w:ascii="Arial" w:hAnsi="Arial" w:cs="Arial"/>
          <w:color w:val="000000"/>
        </w:rPr>
        <w:t>, gender, religion, race, sexual orientation</w:t>
      </w:r>
      <w:r w:rsidR="00AD1835">
        <w:rPr>
          <w:rFonts w:ascii="Arial" w:hAnsi="Arial" w:cs="Arial"/>
          <w:color w:val="000000"/>
        </w:rPr>
        <w:t>, trade union membership and cr</w:t>
      </w:r>
      <w:r w:rsidRPr="00985368" w:rsidR="00AD1835">
        <w:rPr>
          <w:rFonts w:ascii="Arial" w:hAnsi="Arial" w:cs="Arial"/>
          <w:color w:val="000000"/>
        </w:rPr>
        <w:t xml:space="preserve">iminal records and proceedings. </w:t>
      </w:r>
    </w:p>
    <w:p w:rsidRPr="00060385" w:rsidR="00AD1835" w:rsidP="00AD1835" w:rsidRDefault="00AD1835" w14:paraId="63024320"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Rights of Access to Information </w:t>
      </w:r>
    </w:p>
    <w:p w:rsidRPr="00985368" w:rsidR="00AD1835" w:rsidP="00AD1835" w:rsidRDefault="00AD1835" w14:paraId="68D61689" w14:textId="4A3EB32E">
      <w:pPr>
        <w:widowControl w:val="0"/>
        <w:autoSpaceDE w:val="0"/>
        <w:autoSpaceDN w:val="0"/>
        <w:adjustRightInd w:val="0"/>
        <w:spacing w:after="240" w:line="360" w:lineRule="atLeast"/>
        <w:rPr>
          <w:rFonts w:ascii="Arial" w:hAnsi="Arial" w:cs="Arial"/>
          <w:color w:val="000000"/>
        </w:rPr>
      </w:pPr>
      <w:r w:rsidRPr="00985368">
        <w:rPr>
          <w:rFonts w:ascii="Arial" w:hAnsi="Arial" w:cs="Arial"/>
          <w:color w:val="000000"/>
        </w:rPr>
        <w:t xml:space="preserve">Data subjects have </w:t>
      </w:r>
      <w:r w:rsidR="00A20AED">
        <w:rPr>
          <w:rFonts w:ascii="Arial" w:hAnsi="Arial" w:cs="Arial"/>
          <w:color w:val="000000"/>
        </w:rPr>
        <w:t>a</w:t>
      </w:r>
      <w:r w:rsidRPr="00985368">
        <w:rPr>
          <w:rFonts w:ascii="Arial" w:hAnsi="Arial" w:cs="Arial"/>
          <w:color w:val="000000"/>
        </w:rPr>
        <w:t xml:space="preserve"> right of access to information held by</w:t>
      </w:r>
      <w:r w:rsidR="00F72EC9">
        <w:rPr>
          <w:rFonts w:ascii="Arial" w:hAnsi="Arial" w:cs="Arial"/>
          <w:color w:val="000000"/>
        </w:rPr>
        <w:t xml:space="preserve"> </w:t>
      </w:r>
      <w:r w:rsidRPr="00BA3377" w:rsidR="00BA3377">
        <w:rPr>
          <w:rFonts w:ascii="Arial" w:hAnsi="Arial" w:cs="Arial"/>
          <w:color w:val="000000"/>
        </w:rPr>
        <w:t>BCW Hub</w:t>
      </w:r>
      <w:r>
        <w:rPr>
          <w:rFonts w:ascii="Arial" w:hAnsi="Arial" w:cs="Arial"/>
          <w:color w:val="000000"/>
        </w:rPr>
        <w:t>, subje</w:t>
      </w:r>
      <w:r w:rsidRPr="00985368">
        <w:rPr>
          <w:rFonts w:ascii="Arial" w:hAnsi="Arial" w:cs="Arial"/>
          <w:color w:val="000000"/>
        </w:rPr>
        <w:t>ct to the provisions of</w:t>
      </w:r>
      <w:r>
        <w:rPr>
          <w:rFonts w:ascii="Arial" w:hAnsi="Arial" w:cs="Arial"/>
          <w:color w:val="000000"/>
        </w:rPr>
        <w:t xml:space="preserve"> the Data Protection Act 1998 a</w:t>
      </w:r>
      <w:r w:rsidRPr="00985368">
        <w:rPr>
          <w:rFonts w:ascii="Arial" w:hAnsi="Arial" w:cs="Arial"/>
          <w:color w:val="000000"/>
        </w:rPr>
        <w:t xml:space="preserve">nd the </w:t>
      </w:r>
      <w:r>
        <w:rPr>
          <w:rFonts w:ascii="Arial" w:hAnsi="Arial" w:cs="Arial"/>
          <w:color w:val="000000"/>
        </w:rPr>
        <w:t>Freedom of Information Act 2000</w:t>
      </w:r>
      <w:r w:rsidRPr="00985368">
        <w:rPr>
          <w:rFonts w:ascii="Arial" w:hAnsi="Arial" w:cs="Arial"/>
          <w:color w:val="000000"/>
        </w:rPr>
        <w:t xml:space="preserve">. Any data subject wishing to access their personal data should </w:t>
      </w:r>
      <w:r w:rsidR="00A20AED">
        <w:rPr>
          <w:rFonts w:ascii="Arial" w:hAnsi="Arial" w:cs="Arial"/>
          <w:color w:val="000000"/>
        </w:rPr>
        <w:t>make a</w:t>
      </w:r>
      <w:r w:rsidR="003A18FB">
        <w:rPr>
          <w:rFonts w:ascii="Arial" w:hAnsi="Arial" w:cs="Arial"/>
          <w:color w:val="000000"/>
        </w:rPr>
        <w:t xml:space="preserve"> request in writing to the Privacy Manager</w:t>
      </w:r>
      <w:r w:rsidRPr="00985368">
        <w:rPr>
          <w:rFonts w:ascii="Arial" w:hAnsi="Arial" w:cs="Arial"/>
          <w:color w:val="000000"/>
        </w:rPr>
        <w:t xml:space="preserve">. </w:t>
      </w:r>
      <w:r w:rsidRPr="00BA3377" w:rsidR="00BA3377">
        <w:rPr>
          <w:rFonts w:ascii="Arial" w:hAnsi="Arial" w:cs="Arial"/>
          <w:color w:val="000000"/>
        </w:rPr>
        <w:t>BCW Hub</w:t>
      </w:r>
      <w:r w:rsidR="00F72EC9">
        <w:rPr>
          <w:rFonts w:ascii="Arial" w:hAnsi="Arial" w:cs="Arial"/>
          <w:color w:val="000000"/>
        </w:rPr>
        <w:t xml:space="preserve"> </w:t>
      </w:r>
      <w:r w:rsidR="00A20AED">
        <w:rPr>
          <w:rFonts w:ascii="Arial" w:hAnsi="Arial" w:cs="Arial"/>
          <w:color w:val="000000"/>
        </w:rPr>
        <w:t xml:space="preserve">will </w:t>
      </w:r>
      <w:r w:rsidR="006E109A">
        <w:rPr>
          <w:rFonts w:ascii="Arial" w:hAnsi="Arial" w:cs="Arial"/>
          <w:color w:val="000000"/>
        </w:rPr>
        <w:t xml:space="preserve">not </w:t>
      </w:r>
      <w:r w:rsidR="00A20AED">
        <w:rPr>
          <w:rFonts w:ascii="Arial" w:hAnsi="Arial" w:cs="Arial"/>
          <w:color w:val="000000"/>
        </w:rPr>
        <w:t>charge a fee</w:t>
      </w:r>
      <w:r w:rsidR="006E109A">
        <w:rPr>
          <w:rFonts w:ascii="Arial" w:hAnsi="Arial" w:cs="Arial"/>
          <w:color w:val="000000"/>
        </w:rPr>
        <w:t xml:space="preserve">. </w:t>
      </w:r>
      <w:r w:rsidRPr="00BA3377" w:rsidR="00BA3377">
        <w:rPr>
          <w:rFonts w:ascii="Arial" w:hAnsi="Arial" w:cs="Arial"/>
          <w:color w:val="000000"/>
        </w:rPr>
        <w:t>BCW Hub</w:t>
      </w:r>
      <w:r w:rsidR="00F72EC9">
        <w:rPr>
          <w:rFonts w:ascii="Arial" w:hAnsi="Arial" w:cs="Arial"/>
          <w:color w:val="000000"/>
        </w:rPr>
        <w:t xml:space="preserve"> </w:t>
      </w:r>
      <w:r w:rsidR="00A20AED">
        <w:rPr>
          <w:rFonts w:ascii="Arial" w:hAnsi="Arial" w:cs="Arial"/>
          <w:color w:val="000000"/>
        </w:rPr>
        <w:t>will</w:t>
      </w:r>
      <w:r>
        <w:rPr>
          <w:rFonts w:ascii="Arial" w:hAnsi="Arial" w:cs="Arial"/>
          <w:color w:val="000000"/>
        </w:rPr>
        <w:t xml:space="preserve"> respond to any such written r</w:t>
      </w:r>
      <w:r w:rsidRPr="00985368">
        <w:rPr>
          <w:rFonts w:ascii="Arial" w:hAnsi="Arial" w:cs="Arial"/>
          <w:color w:val="000000"/>
        </w:rPr>
        <w:t xml:space="preserve">equests as soon as is reasonably practicable </w:t>
      </w:r>
      <w:r w:rsidRPr="00985368" w:rsidR="00BA3377">
        <w:rPr>
          <w:rFonts w:ascii="Arial" w:hAnsi="Arial" w:cs="Arial"/>
          <w:color w:val="000000"/>
        </w:rPr>
        <w:t>and, in any event,</w:t>
      </w:r>
      <w:r w:rsidRPr="00985368">
        <w:rPr>
          <w:rFonts w:ascii="Arial" w:hAnsi="Arial" w:cs="Arial"/>
          <w:color w:val="000000"/>
        </w:rPr>
        <w:t xml:space="preserve"> within </w:t>
      </w:r>
      <w:r w:rsidR="006E109A">
        <w:rPr>
          <w:rFonts w:ascii="Arial" w:hAnsi="Arial" w:cs="Arial"/>
          <w:color w:val="000000"/>
        </w:rPr>
        <w:t>1 month</w:t>
      </w:r>
      <w:r w:rsidRPr="00985368">
        <w:rPr>
          <w:rFonts w:ascii="Arial" w:hAnsi="Arial" w:cs="Arial"/>
          <w:color w:val="000000"/>
        </w:rPr>
        <w:t xml:space="preserve"> for access to records and 21 days to provide a reply to an access to information request. The information will be </w:t>
      </w:r>
      <w:r>
        <w:rPr>
          <w:rFonts w:ascii="Arial" w:hAnsi="Arial" w:cs="Arial"/>
          <w:color w:val="000000"/>
        </w:rPr>
        <w:t>conveyed</w:t>
      </w:r>
      <w:r w:rsidRPr="00985368">
        <w:rPr>
          <w:rFonts w:ascii="Arial" w:hAnsi="Arial" w:cs="Arial"/>
          <w:color w:val="000000"/>
        </w:rPr>
        <w:t xml:space="preserve"> to the data subject in co</w:t>
      </w:r>
      <w:r>
        <w:rPr>
          <w:rFonts w:ascii="Arial" w:hAnsi="Arial" w:cs="Arial"/>
          <w:color w:val="000000"/>
        </w:rPr>
        <w:t>mpliance with the relevant Acts</w:t>
      </w:r>
      <w:r w:rsidRPr="00985368">
        <w:rPr>
          <w:rFonts w:ascii="Arial" w:hAnsi="Arial" w:cs="Arial"/>
          <w:color w:val="000000"/>
        </w:rPr>
        <w:t xml:space="preserve">. </w:t>
      </w:r>
    </w:p>
    <w:p w:rsidRPr="00060385" w:rsidR="00AD1835" w:rsidP="00AD1835" w:rsidRDefault="00AD1835" w14:paraId="782B85E5"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Exemptions </w:t>
      </w:r>
    </w:p>
    <w:p w:rsidRPr="00985368" w:rsidR="00AD1835" w:rsidP="00AD1835" w:rsidRDefault="00A20AED" w14:paraId="38BC9342" w14:textId="26D743AF">
      <w:pPr>
        <w:widowControl w:val="0"/>
        <w:autoSpaceDE w:val="0"/>
        <w:autoSpaceDN w:val="0"/>
        <w:adjustRightInd w:val="0"/>
        <w:spacing w:after="240" w:line="360" w:lineRule="atLeast"/>
        <w:rPr>
          <w:rFonts w:ascii="Arial" w:hAnsi="Arial" w:cs="Arial"/>
          <w:color w:val="000000"/>
        </w:rPr>
      </w:pPr>
      <w:r>
        <w:rPr>
          <w:rFonts w:ascii="Arial" w:hAnsi="Arial" w:cs="Arial"/>
          <w:color w:val="000000"/>
        </w:rPr>
        <w:t>Certain data is exempt</w:t>
      </w:r>
      <w:r w:rsidRPr="00985368" w:rsidR="00AD1835">
        <w:rPr>
          <w:rFonts w:ascii="Arial" w:hAnsi="Arial" w:cs="Arial"/>
          <w:color w:val="000000"/>
        </w:rPr>
        <w:t xml:space="preserve"> from the provisions of the Data Protection Act </w:t>
      </w:r>
      <w:r>
        <w:rPr>
          <w:rFonts w:ascii="Arial" w:hAnsi="Arial" w:cs="Arial"/>
          <w:color w:val="000000"/>
        </w:rPr>
        <w:t>1998 including</w:t>
      </w:r>
      <w:r w:rsidRPr="00985368" w:rsidR="00AD1835">
        <w:rPr>
          <w:rFonts w:ascii="Arial" w:hAnsi="Arial" w:cs="Arial"/>
          <w:color w:val="000000"/>
        </w:rPr>
        <w:t xml:space="preserve"> the following: </w:t>
      </w:r>
    </w:p>
    <w:p w:rsidRPr="00BA3377" w:rsidR="00AD1835" w:rsidP="00BA3377" w:rsidRDefault="00AD1835" w14:paraId="356A2890" w14:textId="3C29A815">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National security and the prevention or detection of crime </w:t>
      </w:r>
    </w:p>
    <w:p w:rsidRPr="00BA3377" w:rsidR="00AD1835" w:rsidP="00BA3377" w:rsidRDefault="00AD1835" w14:paraId="44A2F122" w14:textId="3E6C8D5F">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t xml:space="preserve">The assessment of any tax or duty </w:t>
      </w:r>
    </w:p>
    <w:p w:rsidRPr="00BA3377" w:rsidR="00AD1835" w:rsidP="00BA3377" w:rsidRDefault="00AD1835" w14:paraId="3A097081" w14:textId="29E980BB">
      <w:pPr>
        <w:pStyle w:val="ListParagraph"/>
        <w:widowControl w:val="0"/>
        <w:numPr>
          <w:ilvl w:val="0"/>
          <w:numId w:val="3"/>
        </w:numPr>
        <w:autoSpaceDE w:val="0"/>
        <w:autoSpaceDN w:val="0"/>
        <w:adjustRightInd w:val="0"/>
        <w:spacing w:after="240" w:line="300" w:lineRule="atLeast"/>
        <w:rPr>
          <w:rFonts w:ascii="Arial" w:hAnsi="Arial" w:cs="Arial"/>
          <w:color w:val="000000"/>
          <w:sz w:val="24"/>
          <w:szCs w:val="24"/>
        </w:rPr>
      </w:pPr>
      <w:r w:rsidRPr="00BA3377">
        <w:rPr>
          <w:rFonts w:ascii="Arial" w:hAnsi="Arial" w:cs="Arial"/>
          <w:color w:val="000000"/>
          <w:sz w:val="24"/>
          <w:szCs w:val="24"/>
        </w:rPr>
        <w:lastRenderedPageBreak/>
        <w:t>Where the processing is necessary to exercise a right or obligation conferred or imposed by law upon</w:t>
      </w:r>
      <w:r w:rsidRPr="00BA3377" w:rsidR="00F72EC9">
        <w:rPr>
          <w:rFonts w:ascii="Arial" w:hAnsi="Arial" w:cs="Arial"/>
          <w:color w:val="000000"/>
          <w:sz w:val="24"/>
          <w:szCs w:val="24"/>
        </w:rPr>
        <w:t xml:space="preserve"> </w:t>
      </w:r>
      <w:r w:rsidRPr="00BA3377" w:rsidR="00BA3377">
        <w:rPr>
          <w:rFonts w:ascii="Arial" w:hAnsi="Arial" w:cs="Arial"/>
          <w:color w:val="000000"/>
          <w:sz w:val="24"/>
          <w:szCs w:val="24"/>
        </w:rPr>
        <w:t>BCW Hub</w:t>
      </w:r>
      <w:r w:rsidRPr="00BA3377">
        <w:rPr>
          <w:rFonts w:ascii="Arial" w:hAnsi="Arial" w:cs="Arial"/>
          <w:color w:val="000000"/>
          <w:sz w:val="24"/>
          <w:szCs w:val="24"/>
        </w:rPr>
        <w:t xml:space="preserve">, including safeguarding and prevention of terrorism and </w:t>
      </w:r>
      <w:proofErr w:type="gramStart"/>
      <w:r w:rsidRPr="00BA3377">
        <w:rPr>
          <w:rFonts w:ascii="Arial" w:hAnsi="Arial" w:cs="Arial"/>
          <w:color w:val="000000"/>
          <w:sz w:val="24"/>
          <w:szCs w:val="24"/>
        </w:rPr>
        <w:t>radicalisation</w:t>
      </w:r>
      <w:proofErr w:type="gramEnd"/>
      <w:r w:rsidRPr="00BA3377">
        <w:rPr>
          <w:rFonts w:ascii="Arial" w:hAnsi="Arial" w:cs="Arial"/>
          <w:color w:val="000000"/>
          <w:sz w:val="24"/>
          <w:szCs w:val="24"/>
        </w:rPr>
        <w:t xml:space="preserve"> </w:t>
      </w:r>
    </w:p>
    <w:p w:rsidRPr="00985368" w:rsidR="00AD1835" w:rsidP="00AD1835" w:rsidRDefault="00AD1835" w14:paraId="172DE5D3" w14:textId="005051C5">
      <w:pPr>
        <w:widowControl w:val="0"/>
        <w:autoSpaceDE w:val="0"/>
        <w:autoSpaceDN w:val="0"/>
        <w:adjustRightInd w:val="0"/>
        <w:spacing w:after="240" w:line="360" w:lineRule="atLeast"/>
        <w:rPr>
          <w:rFonts w:ascii="Arial" w:hAnsi="Arial" w:cs="Arial"/>
          <w:color w:val="000000"/>
        </w:rPr>
      </w:pPr>
      <w:r w:rsidRPr="00985368">
        <w:rPr>
          <w:rFonts w:ascii="Arial" w:hAnsi="Arial" w:cs="Arial"/>
          <w:color w:val="000000"/>
        </w:rPr>
        <w:t>The above are examples only of some of the exemptions under the Act. Any further information on exemptio</w:t>
      </w:r>
      <w:r w:rsidR="003A18FB">
        <w:rPr>
          <w:rFonts w:ascii="Arial" w:hAnsi="Arial" w:cs="Arial"/>
          <w:color w:val="000000"/>
        </w:rPr>
        <w:t>ns should be sought from the Privacy Manager</w:t>
      </w:r>
      <w:r w:rsidRPr="00985368">
        <w:rPr>
          <w:rFonts w:ascii="Arial" w:hAnsi="Arial" w:cs="Arial"/>
          <w:color w:val="000000"/>
        </w:rPr>
        <w:t xml:space="preserve">. </w:t>
      </w:r>
    </w:p>
    <w:p w:rsidRPr="00060385" w:rsidR="00AD1835" w:rsidP="00AD1835" w:rsidRDefault="00AD1835" w14:paraId="56D684C7"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Accuracy </w:t>
      </w:r>
    </w:p>
    <w:p w:rsidRPr="00985368" w:rsidR="00AD1835" w:rsidP="00AD1835" w:rsidRDefault="00BA3377" w14:paraId="7EB097D0" w14:textId="5C1A3057">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 xml:space="preserve">will endeavour to ensure that all personal data held in relation to all data subjects is accurate. Data subjects </w:t>
      </w:r>
      <w:r w:rsidR="00A20AED">
        <w:rPr>
          <w:rFonts w:ascii="Arial" w:hAnsi="Arial" w:cs="Arial"/>
          <w:color w:val="000000"/>
        </w:rPr>
        <w:t>will</w:t>
      </w:r>
      <w:r w:rsidRPr="00985368" w:rsidR="00AD1835">
        <w:rPr>
          <w:rFonts w:ascii="Arial" w:hAnsi="Arial" w:cs="Arial"/>
          <w:color w:val="000000"/>
        </w:rPr>
        <w:t xml:space="preserve"> notify the data processor of any changes to info</w:t>
      </w:r>
      <w:r w:rsidR="00AD1835">
        <w:rPr>
          <w:rFonts w:ascii="Arial" w:hAnsi="Arial" w:cs="Arial"/>
          <w:color w:val="000000"/>
        </w:rPr>
        <w:t>rmation held about them. Data s</w:t>
      </w:r>
      <w:r w:rsidRPr="00985368" w:rsidR="00AD1835">
        <w:rPr>
          <w:rFonts w:ascii="Arial" w:hAnsi="Arial" w:cs="Arial"/>
          <w:color w:val="000000"/>
        </w:rPr>
        <w:t>ubjects have the right in some circumstances to request that inaccurate i</w:t>
      </w:r>
      <w:r w:rsidR="00AD1835">
        <w:rPr>
          <w:rFonts w:ascii="Arial" w:hAnsi="Arial" w:cs="Arial"/>
          <w:color w:val="000000"/>
        </w:rPr>
        <w:t>nformation about them is erased. This does not apply in all cases, for example</w:t>
      </w:r>
      <w:r w:rsidRPr="00985368" w:rsidR="00AD1835">
        <w:rPr>
          <w:rFonts w:ascii="Arial" w:hAnsi="Arial" w:cs="Arial"/>
          <w:color w:val="000000"/>
        </w:rPr>
        <w:t xml:space="preserve">, where records of mistakes or corrections are kept, or records which </w:t>
      </w:r>
      <w:r w:rsidR="00A20AED">
        <w:rPr>
          <w:rFonts w:ascii="Arial" w:hAnsi="Arial" w:cs="Arial"/>
          <w:color w:val="000000"/>
        </w:rPr>
        <w:t>will</w:t>
      </w:r>
      <w:r w:rsidRPr="00985368" w:rsidR="00AD1835">
        <w:rPr>
          <w:rFonts w:ascii="Arial" w:hAnsi="Arial" w:cs="Arial"/>
          <w:color w:val="000000"/>
        </w:rPr>
        <w:t xml:space="preserve"> be kept in the interests of </w:t>
      </w:r>
      <w:r w:rsidR="00AD1835">
        <w:rPr>
          <w:rFonts w:ascii="Arial" w:hAnsi="Arial" w:cs="Arial"/>
          <w:color w:val="000000"/>
        </w:rPr>
        <w:t>all parties to which they apply</w:t>
      </w:r>
      <w:r w:rsidRPr="00985368" w:rsidR="00AD1835">
        <w:rPr>
          <w:rFonts w:ascii="Arial" w:hAnsi="Arial" w:cs="Arial"/>
          <w:color w:val="000000"/>
        </w:rPr>
        <w:t xml:space="preserve">. </w:t>
      </w:r>
    </w:p>
    <w:p w:rsidRPr="00060385" w:rsidR="00AD1835" w:rsidP="00AD1835" w:rsidRDefault="00AD1835" w14:paraId="57BCF861"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Enforcement </w:t>
      </w:r>
    </w:p>
    <w:p w:rsidRPr="00985368" w:rsidR="00AD1835" w:rsidP="00AD1835" w:rsidRDefault="00AD1835" w14:paraId="079177C9" w14:textId="4FF4C7E7">
      <w:pPr>
        <w:widowControl w:val="0"/>
        <w:autoSpaceDE w:val="0"/>
        <w:autoSpaceDN w:val="0"/>
        <w:adjustRightInd w:val="0"/>
        <w:spacing w:after="240" w:line="360" w:lineRule="atLeast"/>
        <w:rPr>
          <w:rFonts w:ascii="Arial" w:hAnsi="Arial" w:cs="Arial"/>
          <w:color w:val="000000"/>
        </w:rPr>
      </w:pPr>
      <w:r w:rsidRPr="19925C0D" w:rsidR="00AD1835">
        <w:rPr>
          <w:rFonts w:ascii="Arial" w:hAnsi="Arial" w:cs="Arial"/>
          <w:color w:val="000000" w:themeColor="text1" w:themeTint="FF" w:themeShade="FF"/>
        </w:rPr>
        <w:t xml:space="preserve">If an individual believes that </w:t>
      </w:r>
      <w:r w:rsidRPr="19925C0D" w:rsidR="00BA3377">
        <w:rPr>
          <w:rFonts w:ascii="Arial" w:hAnsi="Arial" w:cs="Arial"/>
          <w:color w:val="000000" w:themeColor="text1" w:themeTint="FF" w:themeShade="FF"/>
        </w:rPr>
        <w:t>BCW Hub</w:t>
      </w:r>
      <w:r w:rsidRPr="19925C0D" w:rsidR="00F72EC9">
        <w:rPr>
          <w:rFonts w:ascii="Arial" w:hAnsi="Arial" w:cs="Arial"/>
          <w:color w:val="000000" w:themeColor="text1" w:themeTint="FF" w:themeShade="FF"/>
        </w:rPr>
        <w:t xml:space="preserve"> </w:t>
      </w:r>
      <w:r w:rsidRPr="19925C0D" w:rsidR="00AD1835">
        <w:rPr>
          <w:rFonts w:ascii="Arial" w:hAnsi="Arial" w:cs="Arial"/>
          <w:color w:val="000000" w:themeColor="text1" w:themeTint="FF" w:themeShade="FF"/>
        </w:rPr>
        <w:t xml:space="preserve">has not </w:t>
      </w:r>
      <w:r w:rsidRPr="19925C0D" w:rsidR="00AD1835">
        <w:rPr>
          <w:rFonts w:ascii="Arial" w:hAnsi="Arial" w:cs="Arial"/>
          <w:color w:val="000000" w:themeColor="text1" w:themeTint="FF" w:themeShade="FF"/>
        </w:rPr>
        <w:t>complied with</w:t>
      </w:r>
      <w:r w:rsidRPr="19925C0D" w:rsidR="00AD1835">
        <w:rPr>
          <w:rFonts w:ascii="Arial" w:hAnsi="Arial" w:cs="Arial"/>
          <w:color w:val="000000" w:themeColor="text1" w:themeTint="FF" w:themeShade="FF"/>
        </w:rPr>
        <w:t xml:space="preserve"> this Policy or acted otherwise than </w:t>
      </w:r>
      <w:r w:rsidRPr="19925C0D" w:rsidR="00AD1835">
        <w:rPr>
          <w:rFonts w:ascii="Arial" w:hAnsi="Arial" w:cs="Arial"/>
          <w:color w:val="000000" w:themeColor="text1" w:themeTint="FF" w:themeShade="FF"/>
        </w:rPr>
        <w:t>in ac</w:t>
      </w:r>
      <w:r w:rsidRPr="19925C0D" w:rsidR="00AD1835">
        <w:rPr>
          <w:rFonts w:ascii="Arial" w:hAnsi="Arial" w:cs="Arial"/>
          <w:color w:val="000000" w:themeColor="text1" w:themeTint="FF" w:themeShade="FF"/>
        </w:rPr>
        <w:t>cordance with</w:t>
      </w:r>
      <w:r w:rsidRPr="19925C0D" w:rsidR="00AD1835">
        <w:rPr>
          <w:rFonts w:ascii="Arial" w:hAnsi="Arial" w:cs="Arial"/>
          <w:color w:val="000000" w:themeColor="text1" w:themeTint="FF" w:themeShade="FF"/>
        </w:rPr>
        <w:t xml:space="preserve"> the Data Protecti</w:t>
      </w:r>
      <w:r w:rsidRPr="19925C0D" w:rsidR="00AD1835">
        <w:rPr>
          <w:rFonts w:ascii="Arial" w:hAnsi="Arial" w:cs="Arial"/>
          <w:color w:val="000000" w:themeColor="text1" w:themeTint="FF" w:themeShade="FF"/>
        </w:rPr>
        <w:t xml:space="preserve">on Act, the member of staff should utilise </w:t>
      </w:r>
      <w:r w:rsidRPr="19925C0D" w:rsidR="00BA3377">
        <w:rPr>
          <w:rFonts w:ascii="Arial" w:hAnsi="Arial" w:cs="Arial"/>
          <w:color w:val="000000" w:themeColor="text1" w:themeTint="FF" w:themeShade="FF"/>
        </w:rPr>
        <w:t>BCW Hub</w:t>
      </w:r>
      <w:r w:rsidRPr="19925C0D" w:rsidR="00F72EC9">
        <w:rPr>
          <w:rFonts w:ascii="Arial" w:hAnsi="Arial" w:cs="Arial"/>
          <w:color w:val="000000" w:themeColor="text1" w:themeTint="FF" w:themeShade="FF"/>
        </w:rPr>
        <w:t xml:space="preserve"> </w:t>
      </w:r>
      <w:r w:rsidRPr="19925C0D" w:rsidR="59751590">
        <w:rPr>
          <w:rFonts w:ascii="Arial" w:hAnsi="Arial" w:cs="Arial"/>
          <w:color w:val="000000" w:themeColor="text1" w:themeTint="FF" w:themeShade="FF"/>
        </w:rPr>
        <w:t>C</w:t>
      </w:r>
      <w:r w:rsidRPr="19925C0D" w:rsidR="00AD1835">
        <w:rPr>
          <w:rFonts w:ascii="Arial" w:hAnsi="Arial" w:cs="Arial"/>
          <w:color w:val="000000" w:themeColor="text1" w:themeTint="FF" w:themeShade="FF"/>
        </w:rPr>
        <w:t>omplaints</w:t>
      </w:r>
      <w:r w:rsidRPr="19925C0D" w:rsidR="00AD1835">
        <w:rPr>
          <w:rFonts w:ascii="Arial" w:hAnsi="Arial" w:cs="Arial"/>
          <w:color w:val="000000" w:themeColor="text1" w:themeTint="FF" w:themeShade="FF"/>
        </w:rPr>
        <w:t xml:space="preserve"> </w:t>
      </w:r>
      <w:r w:rsidRPr="19925C0D" w:rsidR="21E9F921">
        <w:rPr>
          <w:rFonts w:ascii="Arial" w:hAnsi="Arial" w:cs="Arial"/>
          <w:color w:val="000000" w:themeColor="text1" w:themeTint="FF" w:themeShade="FF"/>
        </w:rPr>
        <w:t>P</w:t>
      </w:r>
      <w:r w:rsidRPr="19925C0D" w:rsidR="00AD1835">
        <w:rPr>
          <w:rFonts w:ascii="Arial" w:hAnsi="Arial" w:cs="Arial"/>
          <w:color w:val="000000" w:themeColor="text1" w:themeTint="FF" w:themeShade="FF"/>
        </w:rPr>
        <w:t xml:space="preserve">rocedure </w:t>
      </w:r>
      <w:r w:rsidRPr="19925C0D" w:rsidR="00AD1835">
        <w:rPr>
          <w:rFonts w:ascii="Arial" w:hAnsi="Arial" w:cs="Arial"/>
          <w:color w:val="000000" w:themeColor="text1" w:themeTint="FF" w:themeShade="FF"/>
        </w:rPr>
        <w:t>and should also notify the DPC</w:t>
      </w:r>
      <w:r w:rsidRPr="19925C0D" w:rsidR="00A20AED">
        <w:rPr>
          <w:rFonts w:ascii="Arial" w:hAnsi="Arial" w:cs="Arial"/>
          <w:color w:val="000000" w:themeColor="text1" w:themeTint="FF" w:themeShade="FF"/>
        </w:rPr>
        <w:t>.</w:t>
      </w:r>
    </w:p>
    <w:p w:rsidRPr="00060385" w:rsidR="00AD1835" w:rsidP="00AD1835" w:rsidRDefault="00AD1835" w14:paraId="72AD05A0"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Data Security </w:t>
      </w:r>
    </w:p>
    <w:p w:rsidRPr="00985368" w:rsidR="00AD1835" w:rsidP="00AD1835" w:rsidRDefault="00BA3377" w14:paraId="72BDC063" w14:textId="50BF6A2A">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 xml:space="preserve">will take appropriate technical and organisational steps to ensure the security of personal data. </w:t>
      </w:r>
    </w:p>
    <w:p w:rsidRPr="00985368" w:rsidR="00AD1835" w:rsidP="00AD1835" w:rsidRDefault="00AD1835" w14:paraId="748A7A24" w14:textId="77777777">
      <w:pPr>
        <w:widowControl w:val="0"/>
        <w:autoSpaceDE w:val="0"/>
        <w:autoSpaceDN w:val="0"/>
        <w:adjustRightInd w:val="0"/>
        <w:spacing w:after="240" w:line="360" w:lineRule="atLeast"/>
        <w:rPr>
          <w:rFonts w:ascii="Arial" w:hAnsi="Arial" w:cs="Arial"/>
          <w:color w:val="000000"/>
        </w:rPr>
      </w:pPr>
      <w:r>
        <w:rPr>
          <w:rFonts w:ascii="Arial" w:hAnsi="Arial" w:cs="Arial"/>
          <w:color w:val="000000"/>
        </w:rPr>
        <w:t>All staff and volunteers will be made a</w:t>
      </w:r>
      <w:r w:rsidRPr="00985368">
        <w:rPr>
          <w:rFonts w:ascii="Arial" w:hAnsi="Arial" w:cs="Arial"/>
          <w:color w:val="000000"/>
        </w:rPr>
        <w:t xml:space="preserve">ware of this policy and their duties under the Act.  </w:t>
      </w:r>
    </w:p>
    <w:p w:rsidRPr="00985368" w:rsidR="00AD1835" w:rsidP="00AD1835" w:rsidRDefault="00BA3377" w14:paraId="7F7CB1BB" w14:textId="1C998DD2">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00F72EC9">
        <w:rPr>
          <w:rFonts w:ascii="Arial" w:hAnsi="Arial" w:cs="Arial"/>
          <w:color w:val="000000"/>
        </w:rPr>
        <w:t xml:space="preserve"> </w:t>
      </w:r>
      <w:r w:rsidR="00AD1835">
        <w:rPr>
          <w:rFonts w:ascii="Arial" w:hAnsi="Arial" w:cs="Arial"/>
          <w:color w:val="000000"/>
        </w:rPr>
        <w:t>and therefor</w:t>
      </w:r>
      <w:r w:rsidRPr="00985368" w:rsidR="00AD1835">
        <w:rPr>
          <w:rFonts w:ascii="Arial" w:hAnsi="Arial" w:cs="Arial"/>
          <w:color w:val="000000"/>
        </w:rPr>
        <w:t>e all staff</w:t>
      </w:r>
      <w:r w:rsidR="00AD1835">
        <w:rPr>
          <w:rFonts w:ascii="Arial" w:hAnsi="Arial" w:cs="Arial"/>
          <w:color w:val="000000"/>
        </w:rPr>
        <w:t>, volunteers</w:t>
      </w:r>
      <w:r w:rsidRPr="00985368" w:rsidR="00AD1835">
        <w:rPr>
          <w:rFonts w:ascii="Arial" w:hAnsi="Arial" w:cs="Arial"/>
          <w:color w:val="000000"/>
        </w:rPr>
        <w:t xml:space="preserve"> and </w:t>
      </w:r>
      <w:r w:rsidR="00AD1835">
        <w:rPr>
          <w:rFonts w:ascii="Arial" w:hAnsi="Arial" w:cs="Arial"/>
          <w:color w:val="000000"/>
        </w:rPr>
        <w:t>participants</w:t>
      </w:r>
      <w:r w:rsidRPr="00985368" w:rsidR="00AD1835">
        <w:rPr>
          <w:rFonts w:ascii="Arial" w:hAnsi="Arial" w:cs="Arial"/>
          <w:color w:val="000000"/>
        </w:rPr>
        <w:t xml:space="preserve"> are required to respect the personal data and privacy of others and </w:t>
      </w:r>
      <w:r w:rsidR="00A20AED">
        <w:rPr>
          <w:rFonts w:ascii="Arial" w:hAnsi="Arial" w:cs="Arial"/>
          <w:color w:val="000000"/>
        </w:rPr>
        <w:t>will</w:t>
      </w:r>
      <w:r w:rsidRPr="00985368" w:rsidR="00AD1835">
        <w:rPr>
          <w:rFonts w:ascii="Arial" w:hAnsi="Arial" w:cs="Arial"/>
          <w:color w:val="000000"/>
        </w:rPr>
        <w:t xml:space="preserve"> ensure that appropriate protection and security me</w:t>
      </w:r>
      <w:r w:rsidR="00AD1835">
        <w:rPr>
          <w:rFonts w:ascii="Arial" w:hAnsi="Arial" w:cs="Arial"/>
          <w:color w:val="000000"/>
        </w:rPr>
        <w:t>asures are taken against unlawf</w:t>
      </w:r>
      <w:r w:rsidRPr="00985368" w:rsidR="00AD1835">
        <w:rPr>
          <w:rFonts w:ascii="Arial" w:hAnsi="Arial" w:cs="Arial"/>
          <w:color w:val="000000"/>
        </w:rPr>
        <w:t xml:space="preserve">ul or unauthorised </w:t>
      </w:r>
      <w:r w:rsidR="00A20AED">
        <w:rPr>
          <w:rFonts w:ascii="Arial" w:hAnsi="Arial" w:cs="Arial"/>
          <w:color w:val="000000"/>
        </w:rPr>
        <w:t xml:space="preserve">access to </w:t>
      </w:r>
      <w:r w:rsidRPr="00985368" w:rsidR="00AD1835">
        <w:rPr>
          <w:rFonts w:ascii="Arial" w:hAnsi="Arial" w:cs="Arial"/>
          <w:color w:val="000000"/>
        </w:rPr>
        <w:t>processing of per</w:t>
      </w:r>
      <w:r w:rsidR="00AD1835">
        <w:rPr>
          <w:rFonts w:ascii="Arial" w:hAnsi="Arial" w:cs="Arial"/>
          <w:color w:val="000000"/>
        </w:rPr>
        <w:t>sonal data, and against the acc</w:t>
      </w:r>
      <w:r w:rsidRPr="00985368" w:rsidR="00AD1835">
        <w:rPr>
          <w:rFonts w:ascii="Arial" w:hAnsi="Arial" w:cs="Arial"/>
          <w:color w:val="000000"/>
        </w:rPr>
        <w:t xml:space="preserve">idental loss of, or damage to all personal data. </w:t>
      </w:r>
    </w:p>
    <w:p w:rsidRPr="00985368" w:rsidR="00AD1835" w:rsidP="00AD1835" w:rsidRDefault="00AD1835" w14:paraId="6DBB6078" w14:textId="7A55F23F">
      <w:pPr>
        <w:widowControl w:val="0"/>
        <w:autoSpaceDE w:val="0"/>
        <w:autoSpaceDN w:val="0"/>
        <w:adjustRightInd w:val="0"/>
        <w:spacing w:after="240" w:line="360" w:lineRule="atLeast"/>
        <w:rPr>
          <w:rFonts w:ascii="Arial" w:hAnsi="Arial" w:cs="Arial"/>
          <w:color w:val="000000"/>
        </w:rPr>
      </w:pPr>
      <w:r w:rsidRPr="00985368">
        <w:rPr>
          <w:rFonts w:ascii="Arial" w:hAnsi="Arial" w:cs="Arial"/>
          <w:color w:val="000000"/>
        </w:rPr>
        <w:t xml:space="preserve">An appropriate level of data security </w:t>
      </w:r>
      <w:r w:rsidR="00A20AED">
        <w:rPr>
          <w:rFonts w:ascii="Arial" w:hAnsi="Arial" w:cs="Arial"/>
          <w:color w:val="000000"/>
        </w:rPr>
        <w:t>will</w:t>
      </w:r>
      <w:r w:rsidRPr="00985368">
        <w:rPr>
          <w:rFonts w:ascii="Arial" w:hAnsi="Arial" w:cs="Arial"/>
          <w:color w:val="000000"/>
        </w:rPr>
        <w:t xml:space="preserve"> be deployed for the type of data and the data processing being performed. In m</w:t>
      </w:r>
      <w:r>
        <w:rPr>
          <w:rFonts w:ascii="Arial" w:hAnsi="Arial" w:cs="Arial"/>
          <w:color w:val="000000"/>
        </w:rPr>
        <w:t xml:space="preserve">ost cases, personal data </w:t>
      </w:r>
      <w:r w:rsidR="00A20AED">
        <w:rPr>
          <w:rFonts w:ascii="Arial" w:hAnsi="Arial" w:cs="Arial"/>
          <w:color w:val="000000"/>
        </w:rPr>
        <w:t>will</w:t>
      </w:r>
      <w:r>
        <w:rPr>
          <w:rFonts w:ascii="Arial" w:hAnsi="Arial" w:cs="Arial"/>
          <w:color w:val="000000"/>
        </w:rPr>
        <w:t xml:space="preserve"> b</w:t>
      </w:r>
      <w:r w:rsidRPr="00985368">
        <w:rPr>
          <w:rFonts w:ascii="Arial" w:hAnsi="Arial" w:cs="Arial"/>
          <w:color w:val="000000"/>
        </w:rPr>
        <w:t xml:space="preserve">e stored in appropriate systems and be </w:t>
      </w:r>
      <w:r>
        <w:rPr>
          <w:rFonts w:ascii="Arial" w:hAnsi="Arial" w:cs="Arial"/>
          <w:color w:val="000000"/>
        </w:rPr>
        <w:t>encr</w:t>
      </w:r>
      <w:r w:rsidRPr="00985368">
        <w:rPr>
          <w:rFonts w:ascii="Arial" w:hAnsi="Arial" w:cs="Arial"/>
          <w:color w:val="000000"/>
        </w:rPr>
        <w:t>ypted when transported offsite. Other personal data may be for publication or limited publication within</w:t>
      </w:r>
      <w:r w:rsidRPr="00F72EC9" w:rsidR="00F72EC9">
        <w:rPr>
          <w:rFonts w:ascii="Arial" w:hAnsi="Arial" w:cs="Arial"/>
          <w:color w:val="000000"/>
        </w:rPr>
        <w:t xml:space="preserve"> </w:t>
      </w:r>
      <w:r w:rsidRPr="00BA3377" w:rsidR="00BA3377">
        <w:rPr>
          <w:rFonts w:ascii="Arial" w:hAnsi="Arial" w:cs="Arial"/>
          <w:color w:val="000000"/>
        </w:rPr>
        <w:t>BCW Hub</w:t>
      </w:r>
      <w:r w:rsidRPr="00985368">
        <w:rPr>
          <w:rFonts w:ascii="Arial" w:hAnsi="Arial" w:cs="Arial"/>
          <w:color w:val="000000"/>
        </w:rPr>
        <w:t xml:space="preserve">, therefore having a lower requirement for data security. </w:t>
      </w:r>
    </w:p>
    <w:p w:rsidRPr="00812D77" w:rsidR="00AD1835" w:rsidP="00AD1835" w:rsidRDefault="00AD1835" w14:paraId="4870E071" w14:textId="56B4EC95">
      <w:pPr>
        <w:widowControl w:val="0"/>
        <w:autoSpaceDE w:val="0"/>
        <w:autoSpaceDN w:val="0"/>
        <w:adjustRightInd w:val="0"/>
        <w:spacing w:after="240" w:line="360" w:lineRule="atLeast"/>
        <w:rPr>
          <w:rFonts w:ascii="Arial" w:hAnsi="Arial" w:cs="Arial"/>
        </w:rPr>
      </w:pPr>
      <w:r w:rsidRPr="00812D77">
        <w:rPr>
          <w:rFonts w:ascii="Arial" w:hAnsi="Arial" w:cs="Arial"/>
        </w:rPr>
        <w:t xml:space="preserve">Attention is also drawn to the existence of the </w:t>
      </w:r>
      <w:r w:rsidRPr="00812D77" w:rsidR="00BA3377">
        <w:rPr>
          <w:rFonts w:ascii="Arial" w:hAnsi="Arial" w:cs="Arial"/>
        </w:rPr>
        <w:t>BCW Hub</w:t>
      </w:r>
      <w:r w:rsidRPr="00812D77" w:rsidR="00F72EC9">
        <w:rPr>
          <w:rFonts w:ascii="Arial" w:hAnsi="Arial" w:cs="Arial"/>
          <w:iCs/>
        </w:rPr>
        <w:t xml:space="preserve"> </w:t>
      </w:r>
      <w:r w:rsidRPr="00812D77">
        <w:rPr>
          <w:rFonts w:ascii="Arial" w:hAnsi="Arial" w:cs="Arial"/>
          <w:iCs/>
        </w:rPr>
        <w:t>Acceptable Use of Technology Policy</w:t>
      </w:r>
      <w:r w:rsidRPr="00812D77">
        <w:rPr>
          <w:rFonts w:ascii="Arial" w:hAnsi="Arial" w:cs="Arial"/>
        </w:rPr>
        <w:t xml:space="preserve">, which provides more specific information on use of computers and technology. </w:t>
      </w:r>
    </w:p>
    <w:p w:rsidRPr="00060385" w:rsidR="00AD1835" w:rsidP="00AD1835" w:rsidRDefault="00AD1835" w14:paraId="2D5F2AD7"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lastRenderedPageBreak/>
        <w:t xml:space="preserve">External Processors </w:t>
      </w:r>
    </w:p>
    <w:p w:rsidRPr="00985368" w:rsidR="00AD1835" w:rsidP="00AD1835" w:rsidRDefault="00BA3377" w14:paraId="36FB4123" w14:textId="2A66DFE7">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Pr>
          <w:rFonts w:ascii="Arial" w:hAnsi="Arial" w:cs="Arial"/>
          <w:color w:val="000000"/>
        </w:rPr>
        <w:t xml:space="preserve"> </w:t>
      </w:r>
      <w:r w:rsidR="00A20AED">
        <w:rPr>
          <w:rFonts w:ascii="Arial" w:hAnsi="Arial" w:cs="Arial"/>
          <w:color w:val="000000"/>
        </w:rPr>
        <w:t>will</w:t>
      </w:r>
      <w:r w:rsidR="00AD1835">
        <w:rPr>
          <w:rFonts w:ascii="Arial" w:hAnsi="Arial" w:cs="Arial"/>
          <w:color w:val="000000"/>
        </w:rPr>
        <w:t xml:space="preserve"> ensure </w:t>
      </w:r>
      <w:r w:rsidR="00A20AED">
        <w:rPr>
          <w:rFonts w:ascii="Arial" w:hAnsi="Arial" w:cs="Arial"/>
          <w:color w:val="000000"/>
        </w:rPr>
        <w:t xml:space="preserve">as far as is reasonably practicable </w:t>
      </w:r>
      <w:r w:rsidR="00AD1835">
        <w:rPr>
          <w:rFonts w:ascii="Arial" w:hAnsi="Arial" w:cs="Arial"/>
          <w:color w:val="000000"/>
        </w:rPr>
        <w:t xml:space="preserve">that </w:t>
      </w:r>
      <w:r w:rsidR="00A20AED">
        <w:rPr>
          <w:rFonts w:ascii="Arial" w:hAnsi="Arial" w:cs="Arial"/>
          <w:color w:val="000000"/>
        </w:rPr>
        <w:t xml:space="preserve">processing of </w:t>
      </w:r>
      <w:r w:rsidR="00AD1835">
        <w:rPr>
          <w:rFonts w:ascii="Arial" w:hAnsi="Arial" w:cs="Arial"/>
          <w:color w:val="000000"/>
        </w:rPr>
        <w:t>d</w:t>
      </w:r>
      <w:r w:rsidRPr="00985368" w:rsidR="00AD1835">
        <w:rPr>
          <w:rFonts w:ascii="Arial" w:hAnsi="Arial" w:cs="Arial"/>
          <w:color w:val="000000"/>
        </w:rPr>
        <w:t xml:space="preserve">ata </w:t>
      </w:r>
      <w:r w:rsidR="00AD1835">
        <w:rPr>
          <w:rFonts w:ascii="Arial" w:hAnsi="Arial" w:cs="Arial"/>
          <w:color w:val="000000"/>
        </w:rPr>
        <w:t>by external processors, f</w:t>
      </w:r>
      <w:r w:rsidRPr="00985368" w:rsidR="00AD1835">
        <w:rPr>
          <w:rFonts w:ascii="Arial" w:hAnsi="Arial" w:cs="Arial"/>
          <w:color w:val="000000"/>
        </w:rPr>
        <w:t>or example, service provi</w:t>
      </w:r>
      <w:r w:rsidR="00AB6719">
        <w:rPr>
          <w:rFonts w:ascii="Arial" w:hAnsi="Arial" w:cs="Arial"/>
          <w:color w:val="000000"/>
        </w:rPr>
        <w:t>ders, c</w:t>
      </w:r>
      <w:r w:rsidR="00AD1835">
        <w:rPr>
          <w:rFonts w:ascii="Arial" w:hAnsi="Arial" w:cs="Arial"/>
          <w:color w:val="000000"/>
        </w:rPr>
        <w:t>loud services including storage</w:t>
      </w:r>
      <w:r w:rsidRPr="00985368" w:rsidR="00AD1835">
        <w:rPr>
          <w:rFonts w:ascii="Arial" w:hAnsi="Arial" w:cs="Arial"/>
          <w:color w:val="000000"/>
        </w:rPr>
        <w:t xml:space="preserve">, web sites etc. are compliant with this policy and relevant legislation. </w:t>
      </w:r>
    </w:p>
    <w:p w:rsidRPr="00060385" w:rsidR="00AD1835" w:rsidP="00AD1835" w:rsidRDefault="00AD1835" w14:paraId="0F4E4C70"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Retention of Data </w:t>
      </w:r>
    </w:p>
    <w:p w:rsidR="00AA29F5" w:rsidP="00AD1835" w:rsidRDefault="00BA3377" w14:paraId="26027E71" w14:textId="249A003D">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00F72EC9">
        <w:rPr>
          <w:rFonts w:ascii="Arial" w:hAnsi="Arial" w:cs="Arial"/>
          <w:color w:val="000000"/>
        </w:rPr>
        <w:t xml:space="preserve"> </w:t>
      </w:r>
      <w:r w:rsidR="00AA29F5">
        <w:rPr>
          <w:rFonts w:ascii="Arial" w:hAnsi="Arial" w:cs="Arial"/>
          <w:color w:val="000000"/>
        </w:rPr>
        <w:t>will generally retain personal data for the shortest time required and will periodically destroy such data where the connection with the data subject is no longer required, for example, data relating to a dormant or lapsed donor after will be destroyed after 12 months.</w:t>
      </w:r>
    </w:p>
    <w:p w:rsidRPr="00985368" w:rsidR="00AD1835" w:rsidP="00AD1835" w:rsidRDefault="00BA3377" w14:paraId="49D70BA6" w14:textId="2104C193">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Pr="00985368" w:rsidR="00F72EC9">
        <w:rPr>
          <w:rFonts w:ascii="Arial" w:hAnsi="Arial" w:cs="Arial"/>
          <w:color w:val="000000"/>
        </w:rPr>
        <w:t xml:space="preserve"> </w:t>
      </w:r>
      <w:r w:rsidRPr="00985368" w:rsidR="00AD1835">
        <w:rPr>
          <w:rFonts w:ascii="Arial" w:hAnsi="Arial" w:cs="Arial"/>
          <w:color w:val="000000"/>
        </w:rPr>
        <w:t>may retain data for differing periods of time for different purposes as require</w:t>
      </w:r>
      <w:r w:rsidR="00AD1835">
        <w:rPr>
          <w:rFonts w:ascii="Arial" w:hAnsi="Arial" w:cs="Arial"/>
          <w:color w:val="000000"/>
        </w:rPr>
        <w:t>d by statute</w:t>
      </w:r>
      <w:r w:rsidR="00AA29F5">
        <w:rPr>
          <w:rFonts w:ascii="Arial" w:hAnsi="Arial" w:cs="Arial"/>
          <w:color w:val="000000"/>
        </w:rPr>
        <w:t xml:space="preserve">, </w:t>
      </w:r>
      <w:proofErr w:type="gramStart"/>
      <w:r w:rsidR="00AA29F5">
        <w:rPr>
          <w:rFonts w:ascii="Arial" w:hAnsi="Arial" w:cs="Arial"/>
          <w:color w:val="000000"/>
        </w:rPr>
        <w:t>insurance</w:t>
      </w:r>
      <w:proofErr w:type="gramEnd"/>
      <w:r w:rsidR="00AD1835">
        <w:rPr>
          <w:rFonts w:ascii="Arial" w:hAnsi="Arial" w:cs="Arial"/>
          <w:color w:val="000000"/>
        </w:rPr>
        <w:t xml:space="preserve"> or </w:t>
      </w:r>
      <w:r w:rsidR="00AA29F5">
        <w:rPr>
          <w:rFonts w:ascii="Arial" w:hAnsi="Arial" w:cs="Arial"/>
          <w:color w:val="000000"/>
        </w:rPr>
        <w:t>relevant practice</w:t>
      </w:r>
      <w:r w:rsidR="00AD1835">
        <w:rPr>
          <w:rFonts w:ascii="Arial" w:hAnsi="Arial" w:cs="Arial"/>
          <w:color w:val="000000"/>
        </w:rPr>
        <w:t>. Other statutory obligations, legal processes a</w:t>
      </w:r>
      <w:r w:rsidRPr="00985368" w:rsidR="00AD1835">
        <w:rPr>
          <w:rFonts w:ascii="Arial" w:hAnsi="Arial" w:cs="Arial"/>
          <w:color w:val="000000"/>
        </w:rPr>
        <w:t xml:space="preserve">nd enquiries may also necessitate the retention of certain data. </w:t>
      </w:r>
    </w:p>
    <w:p w:rsidR="00AD1835" w:rsidP="00AD1835" w:rsidRDefault="00BA3377" w14:paraId="59E6CA87" w14:textId="112FAFE8">
      <w:pPr>
        <w:widowControl w:val="0"/>
        <w:autoSpaceDE w:val="0"/>
        <w:autoSpaceDN w:val="0"/>
        <w:adjustRightInd w:val="0"/>
        <w:spacing w:after="240" w:line="360" w:lineRule="atLeast"/>
        <w:rPr>
          <w:rFonts w:ascii="Arial" w:hAnsi="Arial" w:cs="Arial"/>
          <w:color w:val="000000"/>
        </w:rPr>
      </w:pPr>
      <w:r w:rsidRPr="00BA3377">
        <w:rPr>
          <w:rFonts w:ascii="Arial" w:hAnsi="Arial" w:cs="Arial"/>
          <w:color w:val="000000"/>
        </w:rPr>
        <w:t>BCW Hub</w:t>
      </w:r>
      <w:r w:rsidR="00F72EC9">
        <w:rPr>
          <w:rFonts w:ascii="Arial" w:hAnsi="Arial" w:cs="Arial"/>
          <w:color w:val="000000"/>
        </w:rPr>
        <w:t xml:space="preserve"> </w:t>
      </w:r>
      <w:r w:rsidR="00AD1835">
        <w:rPr>
          <w:rFonts w:ascii="Arial" w:hAnsi="Arial" w:cs="Arial"/>
          <w:color w:val="000000"/>
        </w:rPr>
        <w:t>may store some data such as registers</w:t>
      </w:r>
      <w:r w:rsidRPr="00985368" w:rsidR="00AD1835">
        <w:rPr>
          <w:rFonts w:ascii="Arial" w:hAnsi="Arial" w:cs="Arial"/>
          <w:color w:val="000000"/>
        </w:rPr>
        <w:t>, photographs</w:t>
      </w:r>
      <w:r w:rsidR="00AD1835">
        <w:rPr>
          <w:rFonts w:ascii="Arial" w:hAnsi="Arial" w:cs="Arial"/>
          <w:color w:val="000000"/>
        </w:rPr>
        <w:t xml:space="preserve">, </w:t>
      </w:r>
      <w:r w:rsidRPr="00985368" w:rsidR="00AD1835">
        <w:rPr>
          <w:rFonts w:ascii="Arial" w:hAnsi="Arial" w:cs="Arial"/>
          <w:color w:val="000000"/>
        </w:rPr>
        <w:t xml:space="preserve">achievements, </w:t>
      </w:r>
      <w:proofErr w:type="gramStart"/>
      <w:r w:rsidRPr="00985368" w:rsidR="00AD1835">
        <w:rPr>
          <w:rFonts w:ascii="Arial" w:hAnsi="Arial" w:cs="Arial"/>
          <w:color w:val="000000"/>
        </w:rPr>
        <w:t>books</w:t>
      </w:r>
      <w:proofErr w:type="gramEnd"/>
      <w:r w:rsidRPr="00985368" w:rsidR="00AD1835">
        <w:rPr>
          <w:rFonts w:ascii="Arial" w:hAnsi="Arial" w:cs="Arial"/>
          <w:color w:val="000000"/>
        </w:rPr>
        <w:t xml:space="preserve"> and </w:t>
      </w:r>
      <w:r w:rsidR="00AA29F5">
        <w:rPr>
          <w:rFonts w:ascii="Arial" w:hAnsi="Arial" w:cs="Arial"/>
          <w:color w:val="000000"/>
        </w:rPr>
        <w:t>documents</w:t>
      </w:r>
      <w:r w:rsidRPr="00985368" w:rsidR="00AD1835">
        <w:rPr>
          <w:rFonts w:ascii="Arial" w:hAnsi="Arial" w:cs="Arial"/>
          <w:color w:val="000000"/>
        </w:rPr>
        <w:t xml:space="preserve"> etc. indefinitely</w:t>
      </w:r>
      <w:r w:rsidR="00AD1835">
        <w:rPr>
          <w:rFonts w:ascii="Arial" w:hAnsi="Arial" w:cs="Arial"/>
          <w:color w:val="000000"/>
        </w:rPr>
        <w:t xml:space="preserve"> in its archive</w:t>
      </w:r>
      <w:r w:rsidRPr="00985368" w:rsidR="00AD1835">
        <w:rPr>
          <w:rFonts w:ascii="Arial" w:hAnsi="Arial" w:cs="Arial"/>
          <w:color w:val="000000"/>
        </w:rPr>
        <w:t xml:space="preserve">. Where a data subject can be identified, </w:t>
      </w:r>
      <w:r w:rsidR="00AD1835">
        <w:rPr>
          <w:rFonts w:ascii="Arial" w:hAnsi="Arial" w:cs="Arial"/>
          <w:color w:val="000000"/>
        </w:rPr>
        <w:t>i</w:t>
      </w:r>
      <w:r w:rsidRPr="00985368" w:rsidR="00AD1835">
        <w:rPr>
          <w:rFonts w:ascii="Arial" w:hAnsi="Arial" w:cs="Arial"/>
          <w:color w:val="000000"/>
        </w:rPr>
        <w:t xml:space="preserve">mages </w:t>
      </w:r>
      <w:r w:rsidR="00A20AED">
        <w:rPr>
          <w:rFonts w:ascii="Arial" w:hAnsi="Arial" w:cs="Arial"/>
          <w:color w:val="000000"/>
        </w:rPr>
        <w:t>will</w:t>
      </w:r>
      <w:r w:rsidRPr="00985368" w:rsidR="00AD1835">
        <w:rPr>
          <w:rFonts w:ascii="Arial" w:hAnsi="Arial" w:cs="Arial"/>
          <w:color w:val="000000"/>
        </w:rPr>
        <w:t xml:space="preserve"> be processed as personal data. </w:t>
      </w:r>
    </w:p>
    <w:p w:rsidRPr="00060385" w:rsidR="00AA29F5" w:rsidP="00AA29F5" w:rsidRDefault="00AA29F5" w14:paraId="4D6FDD5D" w14:textId="77777777">
      <w:pPr>
        <w:widowControl w:val="0"/>
        <w:autoSpaceDE w:val="0"/>
        <w:autoSpaceDN w:val="0"/>
        <w:adjustRightInd w:val="0"/>
        <w:spacing w:after="240" w:line="360" w:lineRule="atLeast"/>
        <w:outlineLvl w:val="0"/>
        <w:rPr>
          <w:rFonts w:ascii="Arial" w:hAnsi="Arial" w:cs="Arial"/>
          <w:b/>
          <w:color w:val="000000"/>
        </w:rPr>
      </w:pPr>
      <w:r w:rsidRPr="00060385">
        <w:rPr>
          <w:rFonts w:ascii="Arial" w:hAnsi="Arial" w:cs="Arial"/>
          <w:b/>
          <w:color w:val="000000"/>
        </w:rPr>
        <w:t xml:space="preserve">Secure Destruction </w:t>
      </w:r>
    </w:p>
    <w:p w:rsidRPr="00985368" w:rsidR="00AA29F5" w:rsidP="00AA29F5" w:rsidRDefault="00AA29F5" w14:paraId="578C135F" w14:textId="77777777">
      <w:pPr>
        <w:widowControl w:val="0"/>
        <w:autoSpaceDE w:val="0"/>
        <w:autoSpaceDN w:val="0"/>
        <w:adjustRightInd w:val="0"/>
        <w:spacing w:after="240" w:line="360" w:lineRule="atLeast"/>
        <w:rPr>
          <w:rFonts w:ascii="Arial" w:hAnsi="Arial" w:cs="Arial"/>
          <w:color w:val="000000"/>
        </w:rPr>
      </w:pPr>
      <w:r>
        <w:rPr>
          <w:rFonts w:ascii="Arial" w:hAnsi="Arial" w:cs="Arial"/>
          <w:color w:val="000000"/>
        </w:rPr>
        <w:t>When data he</w:t>
      </w:r>
      <w:r w:rsidRPr="00985368">
        <w:rPr>
          <w:rFonts w:ascii="Arial" w:hAnsi="Arial" w:cs="Arial"/>
          <w:color w:val="000000"/>
        </w:rPr>
        <w:t xml:space="preserve">ld in accordance with this policy is destroyed, it </w:t>
      </w:r>
      <w:r>
        <w:rPr>
          <w:rFonts w:ascii="Arial" w:hAnsi="Arial" w:cs="Arial"/>
          <w:color w:val="000000"/>
        </w:rPr>
        <w:t>will</w:t>
      </w:r>
      <w:r w:rsidRPr="00985368">
        <w:rPr>
          <w:rFonts w:ascii="Arial" w:hAnsi="Arial" w:cs="Arial"/>
          <w:color w:val="000000"/>
        </w:rPr>
        <w:t xml:space="preserve"> be destroyed securely </w:t>
      </w:r>
      <w:r>
        <w:rPr>
          <w:rFonts w:ascii="Arial" w:hAnsi="Arial" w:cs="Arial"/>
          <w:color w:val="000000"/>
        </w:rPr>
        <w:t>as deemed appropriate at the time of destruction</w:t>
      </w:r>
      <w:r w:rsidRPr="00985368">
        <w:rPr>
          <w:rFonts w:ascii="Arial" w:hAnsi="Arial" w:cs="Arial"/>
          <w:color w:val="000000"/>
        </w:rPr>
        <w:t xml:space="preserve">. </w:t>
      </w:r>
    </w:p>
    <w:p w:rsidRPr="00985368" w:rsidR="00AD1835" w:rsidP="00AD1835" w:rsidRDefault="00AD1835" w14:paraId="0E173290" w14:textId="77777777">
      <w:pPr>
        <w:widowControl w:val="0"/>
        <w:autoSpaceDE w:val="0"/>
        <w:autoSpaceDN w:val="0"/>
        <w:adjustRightInd w:val="0"/>
        <w:spacing w:after="240" w:line="360" w:lineRule="atLeast"/>
        <w:rPr>
          <w:rFonts w:ascii="Arial" w:hAnsi="Arial" w:cs="Arial"/>
          <w:color w:val="000000"/>
        </w:rPr>
      </w:pPr>
    </w:p>
    <w:sectPr w:rsidRPr="00985368" w:rsidR="00AD1835" w:rsidSect="00BA3377">
      <w:headerReference w:type="even" r:id="rId10"/>
      <w:headerReference w:type="default" r:id="rId11"/>
      <w:footerReference w:type="even" r:id="rId12"/>
      <w:footerReference w:type="default" r:id="rId13"/>
      <w:headerReference w:type="first" r:id="rId14"/>
      <w:footerReference w:type="first" r:id="rId15"/>
      <w:pgSz w:w="11900" w:h="16840" w:orient="portrait"/>
      <w:pgMar w:top="1560" w:right="112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C27" w:rsidP="00DE7C95" w:rsidRDefault="00A96C27" w14:paraId="6FA7EF17" w14:textId="77777777">
      <w:r>
        <w:separator/>
      </w:r>
    </w:p>
  </w:endnote>
  <w:endnote w:type="continuationSeparator" w:id="0">
    <w:p w:rsidR="00A96C27" w:rsidP="00DE7C95" w:rsidRDefault="00A96C27" w14:paraId="592A07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91" w:rsidRDefault="00C15391" w14:paraId="2C3F63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93817"/>
      <w:docPartObj>
        <w:docPartGallery w:val="Page Numbers (Bottom of Page)"/>
        <w:docPartUnique/>
      </w:docPartObj>
    </w:sdtPr>
    <w:sdtEndPr>
      <w:rPr>
        <w:rFonts w:ascii="Arial" w:hAnsi="Arial" w:cs="Arial"/>
        <w:noProof/>
        <w:sz w:val="22"/>
        <w:szCs w:val="22"/>
      </w:rPr>
    </w:sdtEndPr>
    <w:sdtContent>
      <w:p w:rsidRPr="003C4649" w:rsidR="003C4649" w:rsidRDefault="003C4649" w14:paraId="5D51FBEB" w14:textId="2F08E5EE">
        <w:pPr>
          <w:pStyle w:val="Footer"/>
          <w:jc w:val="right"/>
          <w:rPr>
            <w:rFonts w:ascii="Arial" w:hAnsi="Arial" w:cs="Arial"/>
            <w:sz w:val="22"/>
            <w:szCs w:val="22"/>
          </w:rPr>
        </w:pPr>
        <w:r w:rsidRPr="003C4649">
          <w:rPr>
            <w:rFonts w:ascii="Arial" w:hAnsi="Arial" w:cs="Arial"/>
            <w:sz w:val="22"/>
            <w:szCs w:val="22"/>
          </w:rPr>
          <w:fldChar w:fldCharType="begin"/>
        </w:r>
        <w:r w:rsidRPr="003C4649">
          <w:rPr>
            <w:rFonts w:ascii="Arial" w:hAnsi="Arial" w:cs="Arial"/>
            <w:sz w:val="22"/>
            <w:szCs w:val="22"/>
          </w:rPr>
          <w:instrText xml:space="preserve"> PAGE   \* MERGEFORMAT </w:instrText>
        </w:r>
        <w:r w:rsidRPr="003C4649">
          <w:rPr>
            <w:rFonts w:ascii="Arial" w:hAnsi="Arial" w:cs="Arial"/>
            <w:sz w:val="22"/>
            <w:szCs w:val="22"/>
          </w:rPr>
          <w:fldChar w:fldCharType="separate"/>
        </w:r>
        <w:r w:rsidRPr="003C4649">
          <w:rPr>
            <w:rFonts w:ascii="Arial" w:hAnsi="Arial" w:cs="Arial"/>
            <w:noProof/>
            <w:sz w:val="22"/>
            <w:szCs w:val="22"/>
          </w:rPr>
          <w:t>2</w:t>
        </w:r>
        <w:r w:rsidRPr="003C4649">
          <w:rPr>
            <w:rFonts w:ascii="Arial" w:hAnsi="Arial" w:cs="Arial"/>
            <w:noProof/>
            <w:sz w:val="22"/>
            <w:szCs w:val="22"/>
          </w:rPr>
          <w:fldChar w:fldCharType="end"/>
        </w:r>
      </w:p>
    </w:sdtContent>
  </w:sdt>
  <w:p w:rsidRPr="00F86EB2" w:rsidR="001B6231" w:rsidP="00C15391" w:rsidRDefault="00C15391" w14:paraId="6F7D7541" w14:textId="476AA961">
    <w:pPr>
      <w:pStyle w:val="Footer"/>
      <w:jc w:val="center"/>
      <w:rPr>
        <w:rFonts w:ascii="Arial" w:hAnsi="Arial" w:cs="Arial"/>
        <w:color w:val="FF0000"/>
      </w:rPr>
    </w:pPr>
    <w:r>
      <w:rPr>
        <w:rStyle w:val="normaltextrun"/>
        <w:rFonts w:ascii="Arial" w:hAnsi="Arial" w:cs="Arial"/>
        <w:color w:val="000000"/>
        <w:sz w:val="20"/>
        <w:szCs w:val="20"/>
        <w:shd w:val="clear" w:color="auto" w:fill="FFFFFF"/>
      </w:rPr>
      <w:t>Buckinghamshire Community Wellbeing Hub; Registered CIO 1210830</w:t>
    </w:r>
    <w:r>
      <w:rPr>
        <w:rStyle w:val="eop"/>
        <w:rFonts w:ascii="Arial" w:hAnsi="Arial" w:cs="Arial"/>
        <w:color w:val="000000"/>
        <w:sz w:val="20"/>
        <w:szCs w:val="20"/>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74825"/>
      <w:docPartObj>
        <w:docPartGallery w:val="Page Numbers (Bottom of Page)"/>
        <w:docPartUnique/>
      </w:docPartObj>
    </w:sdtPr>
    <w:sdtEndPr>
      <w:rPr>
        <w:noProof/>
      </w:rPr>
    </w:sdtEndPr>
    <w:sdtContent>
      <w:p w:rsidR="003C4649" w:rsidRDefault="003C4649" w14:paraId="1BCDAF0F" w14:textId="6B1B5A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525B97" w:rsidR="003C4649" w:rsidP="00525B97" w:rsidRDefault="00481552" w14:paraId="4754D073" w14:textId="0131AC2D">
    <w:pPr>
      <w:pStyle w:val="Footer"/>
      <w:jc w:val="center"/>
      <w:rPr>
        <w:rFonts w:ascii="Arial" w:hAnsi="Arial" w:cs="Arial"/>
        <w:sz w:val="20"/>
      </w:rPr>
    </w:pPr>
    <w:r w:rsidRPr="00525B97">
      <w:rPr>
        <w:rFonts w:ascii="Arial" w:hAnsi="Arial" w:cs="Arial"/>
        <w:sz w:val="20"/>
      </w:rPr>
      <w:t>CIO</w:t>
    </w:r>
    <w:r w:rsidRPr="00525B97" w:rsidR="00525B97">
      <w:rPr>
        <w:rFonts w:ascii="Arial" w:hAnsi="Arial" w:cs="Arial"/>
        <w:sz w:val="20"/>
      </w:rPr>
      <w:t xml:space="preserve"> 1175021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C27" w:rsidP="00DE7C95" w:rsidRDefault="00A96C27" w14:paraId="75665781" w14:textId="77777777">
      <w:r>
        <w:separator/>
      </w:r>
    </w:p>
  </w:footnote>
  <w:footnote w:type="continuationSeparator" w:id="0">
    <w:p w:rsidR="00A96C27" w:rsidP="00DE7C95" w:rsidRDefault="00A96C27" w14:paraId="663297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391" w:rsidRDefault="00C15391" w14:paraId="57A39B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377" w:rsidRDefault="00BA3377" w14:paraId="7096E3F8" w14:textId="31B68776">
    <w:pPr>
      <w:pStyle w:val="Header"/>
    </w:pPr>
    <w:r>
      <w:rPr>
        <w:noProof/>
      </w:rPr>
      <w:drawing>
        <wp:anchor distT="0" distB="0" distL="114300" distR="114300" simplePos="0" relativeHeight="251661312" behindDoc="0" locked="0" layoutInCell="1" allowOverlap="1" wp14:anchorId="4277938E" wp14:editId="53C83F84">
          <wp:simplePos x="0" y="0"/>
          <wp:positionH relativeFrom="margin">
            <wp:align>right</wp:align>
          </wp:positionH>
          <wp:positionV relativeFrom="paragraph">
            <wp:posOffset>-162560</wp:posOffset>
          </wp:positionV>
          <wp:extent cx="2126615" cy="704850"/>
          <wp:effectExtent l="0" t="0" r="6985" b="0"/>
          <wp:wrapThrough wrapText="bothSides">
            <wp:wrapPolygon edited="0">
              <wp:start x="0" y="0"/>
              <wp:lineTo x="0" y="21016"/>
              <wp:lineTo x="21477" y="21016"/>
              <wp:lineTo x="21477" y="0"/>
              <wp:lineTo x="0" y="0"/>
            </wp:wrapPolygon>
          </wp:wrapThrough>
          <wp:docPr id="46453301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620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6615" cy="704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466D" w:rsidP="00481552" w:rsidRDefault="00BA3377" w14:paraId="7B8291CA" w14:textId="13EEFA69">
    <w:pPr>
      <w:pStyle w:val="Header"/>
      <w:jc w:val="right"/>
    </w:pPr>
    <w:r>
      <w:rPr>
        <w:noProof/>
      </w:rPr>
      <w:drawing>
        <wp:anchor distT="0" distB="0" distL="114300" distR="114300" simplePos="0" relativeHeight="251659264" behindDoc="0" locked="0" layoutInCell="1" allowOverlap="1" wp14:anchorId="52094C56" wp14:editId="4679329D">
          <wp:simplePos x="0" y="0"/>
          <wp:positionH relativeFrom="margin">
            <wp:align>right</wp:align>
          </wp:positionH>
          <wp:positionV relativeFrom="paragraph">
            <wp:posOffset>-163830</wp:posOffset>
          </wp:positionV>
          <wp:extent cx="2126615" cy="704850"/>
          <wp:effectExtent l="0" t="0" r="6985" b="0"/>
          <wp:wrapThrough wrapText="bothSides">
            <wp:wrapPolygon edited="0">
              <wp:start x="0" y="0"/>
              <wp:lineTo x="0" y="21016"/>
              <wp:lineTo x="21477" y="21016"/>
              <wp:lineTo x="21477" y="0"/>
              <wp:lineTo x="0" y="0"/>
            </wp:wrapPolygon>
          </wp:wrapThrough>
          <wp:docPr id="20127620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620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6615"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72FC"/>
    <w:multiLevelType w:val="hybridMultilevel"/>
    <w:tmpl w:val="7436DE8A"/>
    <w:lvl w:ilvl="0" w:tplc="030AD6D2">
      <w:start w:val="1"/>
      <w:numFmt w:val="decimal"/>
      <w:lvlText w:val="%1."/>
      <w:lvlJc w:val="left"/>
      <w:pPr>
        <w:ind w:left="720"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1352E"/>
    <w:multiLevelType w:val="hybridMultilevel"/>
    <w:tmpl w:val="A3928AFA"/>
    <w:lvl w:ilvl="0" w:tplc="3F40F15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8E5D69"/>
    <w:multiLevelType w:val="hybridMultilevel"/>
    <w:tmpl w:val="118C9748"/>
    <w:lvl w:ilvl="0" w:tplc="3F40F15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390EB9"/>
    <w:multiLevelType w:val="hybridMultilevel"/>
    <w:tmpl w:val="1FE4BE62"/>
    <w:lvl w:ilvl="0" w:tplc="3F40F156">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A444E5F"/>
    <w:multiLevelType w:val="hybridMultilevel"/>
    <w:tmpl w:val="AC000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9067291">
    <w:abstractNumId w:val="0"/>
  </w:num>
  <w:num w:numId="2" w16cid:durableId="2010134334">
    <w:abstractNumId w:val="4"/>
  </w:num>
  <w:num w:numId="3" w16cid:durableId="2103254054">
    <w:abstractNumId w:val="2"/>
  </w:num>
  <w:num w:numId="4" w16cid:durableId="157843422">
    <w:abstractNumId w:val="1"/>
  </w:num>
  <w:num w:numId="5" w16cid:durableId="1496265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95"/>
    <w:rsid w:val="00002AB6"/>
    <w:rsid w:val="00060385"/>
    <w:rsid w:val="00073612"/>
    <w:rsid w:val="000846D9"/>
    <w:rsid w:val="00110717"/>
    <w:rsid w:val="00182643"/>
    <w:rsid w:val="001B6231"/>
    <w:rsid w:val="001C06B6"/>
    <w:rsid w:val="002522D5"/>
    <w:rsid w:val="002652C4"/>
    <w:rsid w:val="002811DD"/>
    <w:rsid w:val="00282053"/>
    <w:rsid w:val="002A042B"/>
    <w:rsid w:val="003255C4"/>
    <w:rsid w:val="00385672"/>
    <w:rsid w:val="003A18FB"/>
    <w:rsid w:val="003C4649"/>
    <w:rsid w:val="003C7E48"/>
    <w:rsid w:val="003E599F"/>
    <w:rsid w:val="004178C7"/>
    <w:rsid w:val="00420679"/>
    <w:rsid w:val="004235A0"/>
    <w:rsid w:val="00436D0D"/>
    <w:rsid w:val="00462043"/>
    <w:rsid w:val="00481552"/>
    <w:rsid w:val="00525B97"/>
    <w:rsid w:val="00525E47"/>
    <w:rsid w:val="005868D2"/>
    <w:rsid w:val="005E1825"/>
    <w:rsid w:val="00646FF0"/>
    <w:rsid w:val="006E109A"/>
    <w:rsid w:val="006E1A73"/>
    <w:rsid w:val="006E3AA9"/>
    <w:rsid w:val="006F3201"/>
    <w:rsid w:val="00717573"/>
    <w:rsid w:val="00726545"/>
    <w:rsid w:val="007334D6"/>
    <w:rsid w:val="0075114B"/>
    <w:rsid w:val="0077054A"/>
    <w:rsid w:val="007A184B"/>
    <w:rsid w:val="00812D77"/>
    <w:rsid w:val="00837292"/>
    <w:rsid w:val="00865E80"/>
    <w:rsid w:val="008B355D"/>
    <w:rsid w:val="008B43A4"/>
    <w:rsid w:val="00922931"/>
    <w:rsid w:val="009339E4"/>
    <w:rsid w:val="00956512"/>
    <w:rsid w:val="00957CE8"/>
    <w:rsid w:val="0096753F"/>
    <w:rsid w:val="009776BE"/>
    <w:rsid w:val="009A2678"/>
    <w:rsid w:val="009B3A88"/>
    <w:rsid w:val="00A20AED"/>
    <w:rsid w:val="00A2689F"/>
    <w:rsid w:val="00A62EEA"/>
    <w:rsid w:val="00A75919"/>
    <w:rsid w:val="00A811C2"/>
    <w:rsid w:val="00A96C27"/>
    <w:rsid w:val="00AA29F5"/>
    <w:rsid w:val="00AA466D"/>
    <w:rsid w:val="00AB6719"/>
    <w:rsid w:val="00AC1FA8"/>
    <w:rsid w:val="00AC4AE6"/>
    <w:rsid w:val="00AC7832"/>
    <w:rsid w:val="00AD1835"/>
    <w:rsid w:val="00B16145"/>
    <w:rsid w:val="00B637AA"/>
    <w:rsid w:val="00B745C9"/>
    <w:rsid w:val="00B84EA3"/>
    <w:rsid w:val="00B94836"/>
    <w:rsid w:val="00BA3377"/>
    <w:rsid w:val="00C0643A"/>
    <w:rsid w:val="00C15391"/>
    <w:rsid w:val="00C62E24"/>
    <w:rsid w:val="00CF4304"/>
    <w:rsid w:val="00D1606D"/>
    <w:rsid w:val="00DC36CE"/>
    <w:rsid w:val="00DC55EA"/>
    <w:rsid w:val="00DE7C95"/>
    <w:rsid w:val="00E0415B"/>
    <w:rsid w:val="00EB0A91"/>
    <w:rsid w:val="00ED10A1"/>
    <w:rsid w:val="00F06A8E"/>
    <w:rsid w:val="00F549A9"/>
    <w:rsid w:val="00F72EC9"/>
    <w:rsid w:val="00F86122"/>
    <w:rsid w:val="00F86EB2"/>
    <w:rsid w:val="00FE3708"/>
    <w:rsid w:val="08971FA8"/>
    <w:rsid w:val="0A7FB300"/>
    <w:rsid w:val="188D39E1"/>
    <w:rsid w:val="19925C0D"/>
    <w:rsid w:val="21E9F921"/>
    <w:rsid w:val="2885F6CB"/>
    <w:rsid w:val="2E0D4A58"/>
    <w:rsid w:val="32E0BC8C"/>
    <w:rsid w:val="401DF9FF"/>
    <w:rsid w:val="45EDC295"/>
    <w:rsid w:val="4F5CBE17"/>
    <w:rsid w:val="5225FDB5"/>
    <w:rsid w:val="59751590"/>
    <w:rsid w:val="5A81E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3BE9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7C95"/>
    <w:pPr>
      <w:tabs>
        <w:tab w:val="center" w:pos="4320"/>
        <w:tab w:val="right" w:pos="8640"/>
      </w:tabs>
    </w:pPr>
  </w:style>
  <w:style w:type="character" w:styleId="HeaderChar" w:customStyle="1">
    <w:name w:val="Header Char"/>
    <w:basedOn w:val="DefaultParagraphFont"/>
    <w:link w:val="Header"/>
    <w:uiPriority w:val="99"/>
    <w:rsid w:val="00DE7C95"/>
  </w:style>
  <w:style w:type="paragraph" w:styleId="Footer">
    <w:name w:val="footer"/>
    <w:basedOn w:val="Normal"/>
    <w:link w:val="FooterChar"/>
    <w:uiPriority w:val="99"/>
    <w:unhideWhenUsed/>
    <w:rsid w:val="00DE7C95"/>
    <w:pPr>
      <w:tabs>
        <w:tab w:val="center" w:pos="4320"/>
        <w:tab w:val="right" w:pos="8640"/>
      </w:tabs>
    </w:pPr>
  </w:style>
  <w:style w:type="character" w:styleId="FooterChar" w:customStyle="1">
    <w:name w:val="Footer Char"/>
    <w:basedOn w:val="DefaultParagraphFont"/>
    <w:link w:val="Footer"/>
    <w:uiPriority w:val="99"/>
    <w:rsid w:val="00DE7C95"/>
  </w:style>
  <w:style w:type="paragraph" w:styleId="BalloonText">
    <w:name w:val="Balloon Text"/>
    <w:basedOn w:val="Normal"/>
    <w:link w:val="BalloonTextChar"/>
    <w:uiPriority w:val="99"/>
    <w:semiHidden/>
    <w:unhideWhenUsed/>
    <w:rsid w:val="00DE7C95"/>
    <w:rPr>
      <w:rFonts w:ascii="Lucida Grande" w:hAnsi="Lucida Grande"/>
      <w:sz w:val="18"/>
      <w:szCs w:val="18"/>
    </w:rPr>
  </w:style>
  <w:style w:type="character" w:styleId="BalloonTextChar" w:customStyle="1">
    <w:name w:val="Balloon Text Char"/>
    <w:basedOn w:val="DefaultParagraphFont"/>
    <w:link w:val="BalloonText"/>
    <w:uiPriority w:val="99"/>
    <w:semiHidden/>
    <w:rsid w:val="00DE7C95"/>
    <w:rPr>
      <w:rFonts w:ascii="Lucida Grande" w:hAnsi="Lucida Grande"/>
      <w:sz w:val="18"/>
      <w:szCs w:val="18"/>
    </w:rPr>
  </w:style>
  <w:style w:type="character" w:styleId="Hyperlink">
    <w:name w:val="Hyperlink"/>
    <w:basedOn w:val="DefaultParagraphFont"/>
    <w:uiPriority w:val="99"/>
    <w:unhideWhenUsed/>
    <w:rsid w:val="00DE7C95"/>
    <w:rPr>
      <w:color w:val="0000FF" w:themeColor="hyperlink"/>
      <w:u w:val="single"/>
    </w:rPr>
  </w:style>
  <w:style w:type="character" w:styleId="FollowedHyperlink">
    <w:name w:val="FollowedHyperlink"/>
    <w:basedOn w:val="DefaultParagraphFont"/>
    <w:uiPriority w:val="99"/>
    <w:semiHidden/>
    <w:unhideWhenUsed/>
    <w:rsid w:val="000846D9"/>
    <w:rPr>
      <w:color w:val="800080" w:themeColor="followedHyperlink"/>
      <w:u w:val="single"/>
    </w:rPr>
  </w:style>
  <w:style w:type="table" w:styleId="TableGrid">
    <w:name w:val="Table Grid"/>
    <w:basedOn w:val="TableNormal"/>
    <w:uiPriority w:val="59"/>
    <w:rsid w:val="009A26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16145"/>
    <w:pPr>
      <w:spacing w:after="200" w:line="276" w:lineRule="auto"/>
      <w:ind w:left="720"/>
      <w:contextualSpacing/>
    </w:pPr>
    <w:rPr>
      <w:rFonts w:eastAsiaTheme="minorHAnsi"/>
      <w:sz w:val="22"/>
      <w:szCs w:val="22"/>
    </w:rPr>
  </w:style>
  <w:style w:type="paragraph" w:styleId="DocumentMap">
    <w:name w:val="Document Map"/>
    <w:basedOn w:val="Normal"/>
    <w:link w:val="DocumentMapChar"/>
    <w:uiPriority w:val="99"/>
    <w:semiHidden/>
    <w:unhideWhenUsed/>
    <w:rsid w:val="00A20AED"/>
    <w:rPr>
      <w:rFonts w:ascii="Times New Roman" w:hAnsi="Times New Roman" w:cs="Times New Roman"/>
    </w:rPr>
  </w:style>
  <w:style w:type="character" w:styleId="DocumentMapChar" w:customStyle="1">
    <w:name w:val="Document Map Char"/>
    <w:basedOn w:val="DefaultParagraphFont"/>
    <w:link w:val="DocumentMap"/>
    <w:uiPriority w:val="99"/>
    <w:semiHidden/>
    <w:rsid w:val="00A20AED"/>
    <w:rPr>
      <w:rFonts w:ascii="Times New Roman" w:hAnsi="Times New Roman" w:cs="Times New Roman"/>
    </w:rPr>
  </w:style>
  <w:style w:type="paragraph" w:styleId="NoSpacing">
    <w:name w:val="No Spacing"/>
    <w:uiPriority w:val="1"/>
    <w:qFormat/>
    <w:rsid w:val="00BA3377"/>
  </w:style>
  <w:style w:type="character" w:styleId="normaltextrun" w:customStyle="1">
    <w:name w:val="normaltextrun"/>
    <w:basedOn w:val="DefaultParagraphFont"/>
    <w:rsid w:val="00C15391"/>
  </w:style>
  <w:style w:type="character" w:styleId="eop" w:customStyle="1">
    <w:name w:val="eop"/>
    <w:basedOn w:val="DefaultParagraphFont"/>
    <w:rsid w:val="00C1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1219">
      <w:bodyDiv w:val="1"/>
      <w:marLeft w:val="0"/>
      <w:marRight w:val="0"/>
      <w:marTop w:val="0"/>
      <w:marBottom w:val="0"/>
      <w:divBdr>
        <w:top w:val="none" w:sz="0" w:space="0" w:color="auto"/>
        <w:left w:val="none" w:sz="0" w:space="0" w:color="auto"/>
        <w:bottom w:val="none" w:sz="0" w:space="0" w:color="auto"/>
        <w:right w:val="none" w:sz="0" w:space="0" w:color="auto"/>
      </w:divBdr>
      <w:divsChild>
        <w:div w:id="3644236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3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A5C295A79124EAE1F477C6F55D956" ma:contentTypeVersion="14" ma:contentTypeDescription="Create a new document." ma:contentTypeScope="" ma:versionID="0894881541514680ba9d018f39c78dc9">
  <xsd:schema xmlns:xsd="http://www.w3.org/2001/XMLSchema" xmlns:xs="http://www.w3.org/2001/XMLSchema" xmlns:p="http://schemas.microsoft.com/office/2006/metadata/properties" xmlns:ns2="f868a09e-0787-4f57-a5d9-fae1ab353113" xmlns:ns3="648747e4-4f01-4407-9f58-1b048cf84f1a" targetNamespace="http://schemas.microsoft.com/office/2006/metadata/properties" ma:root="true" ma:fieldsID="5bd1a8cd13944c3c84350c676643ad4c" ns2:_="" ns3:_="">
    <xsd:import namespace="f868a09e-0787-4f57-a5d9-fae1ab353113"/>
    <xsd:import namespace="648747e4-4f01-4407-9f58-1b048cf84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a09e-0787-4f57-a5d9-fae1ab353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e5d04c-3736-4b3d-a845-6451ea46c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747e4-4f01-4407-9f58-1b048cf84f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2cdf9d-6037-42c5-904b-a9db1302b8d6}" ma:internalName="TaxCatchAll" ma:showField="CatchAllData" ma:web="648747e4-4f01-4407-9f58-1b048cf84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8747e4-4f01-4407-9f58-1b048cf84f1a" xsi:nil="true"/>
    <lcf76f155ced4ddcb4097134ff3c332f xmlns="f868a09e-0787-4f57-a5d9-fae1ab3531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CD99-99C9-497A-9CE7-2C5A02BC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a09e-0787-4f57-a5d9-fae1ab353113"/>
    <ds:schemaRef ds:uri="648747e4-4f01-4407-9f58-1b048cf84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8ACC7-5F3D-4F64-B49E-A0AB2E7B8BAE}">
  <ds:schemaRefs>
    <ds:schemaRef ds:uri="http://schemas.openxmlformats.org/package/2006/metadata/core-properties"/>
    <ds:schemaRef ds:uri="f868a09e-0787-4f57-a5d9-fae1ab353113"/>
    <ds:schemaRef ds:uri="http://purl.org/dc/terms/"/>
    <ds:schemaRef ds:uri="648747e4-4f01-4407-9f58-1b048cf84f1a"/>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0B951CC-F312-434E-92AD-EB89687CDD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Flint</dc:creator>
  <cp:lastModifiedBy>COLEMAN, Rose (BUCKINGHAMSHIRE HEALTHCARE NHS TRUST)</cp:lastModifiedBy>
  <cp:revision>10</cp:revision>
  <cp:lastPrinted>2014-12-10T13:05:00Z</cp:lastPrinted>
  <dcterms:created xsi:type="dcterms:W3CDTF">2024-11-05T09:22:00Z</dcterms:created>
  <dcterms:modified xsi:type="dcterms:W3CDTF">2025-02-12T15:00:06Z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0x010100F41A5C295A79124EAE1F477C6F55D956</vt:lpwstr>
  </property>
  <property fmtid="{D5CDD505-2E9C-101B-9397-08002B2CF9AE}" pid="3" name="Order">
    <vt:r8>127300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6</vt:lpwstr>
  </property>
  <property fmtid="{D5CDD505-2E9C-101B-9397-08002B2CF9AE}" pid="9" name="MediaServiceImageTags">
    <vt:lpwstr/>
  </property>
</Properties>
</file>