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BB71" w14:textId="77777777" w:rsidR="001E7305" w:rsidRPr="000B61DC" w:rsidRDefault="001E7305" w:rsidP="001E7305">
      <w:pPr>
        <w:rPr>
          <w:rFonts w:ascii="Century Gothic" w:hAnsi="Century Gothic"/>
        </w:rPr>
      </w:pPr>
    </w:p>
    <w:p w14:paraId="589BD80D" w14:textId="77777777" w:rsidR="00C72125" w:rsidRPr="00C72125" w:rsidRDefault="005003EE" w:rsidP="001E7305">
      <w:pPr>
        <w:tabs>
          <w:tab w:val="left" w:pos="3345"/>
        </w:tabs>
        <w:rPr>
          <w:rFonts w:ascii="Century Gothic" w:hAnsi="Century Gothic"/>
          <w:b/>
          <w:bCs/>
        </w:rPr>
      </w:pPr>
      <w:r w:rsidRPr="00C72125">
        <w:rPr>
          <w:rFonts w:ascii="Century Gothic" w:hAnsi="Century Gothic"/>
          <w:b/>
          <w:bCs/>
        </w:rPr>
        <w:t xml:space="preserve">Introduction </w:t>
      </w:r>
    </w:p>
    <w:p w14:paraId="0C269398" w14:textId="713B3F0D" w:rsidR="00C72125" w:rsidRDefault="005003EE" w:rsidP="001E7305">
      <w:pPr>
        <w:tabs>
          <w:tab w:val="left" w:pos="3345"/>
        </w:tabs>
        <w:rPr>
          <w:rFonts w:ascii="Century Gothic" w:hAnsi="Century Gothic"/>
        </w:rPr>
      </w:pPr>
      <w:r w:rsidRPr="000B61DC">
        <w:rPr>
          <w:rFonts w:ascii="Century Gothic" w:hAnsi="Century Gothic"/>
        </w:rPr>
        <w:t xml:space="preserve">Supporting young people to make informed choices about their future is an important responsibility for schools. This guide explains how </w:t>
      </w:r>
      <w:r w:rsidR="00C72125">
        <w:rPr>
          <w:rFonts w:ascii="Century Gothic" w:hAnsi="Century Gothic"/>
        </w:rPr>
        <w:t xml:space="preserve">leaders </w:t>
      </w:r>
      <w:r w:rsidRPr="000B61DC">
        <w:rPr>
          <w:rFonts w:ascii="Century Gothic" w:hAnsi="Century Gothic"/>
        </w:rPr>
        <w:t xml:space="preserve">in all types of school meet their statutory duties relating to careers guidance, by supporting and challenging their </w:t>
      </w:r>
      <w:r w:rsidR="00C72125">
        <w:rPr>
          <w:rFonts w:ascii="Century Gothic" w:hAnsi="Century Gothic"/>
        </w:rPr>
        <w:t>staff</w:t>
      </w:r>
      <w:r w:rsidR="000472F5">
        <w:rPr>
          <w:rFonts w:ascii="Century Gothic" w:hAnsi="Century Gothic"/>
        </w:rPr>
        <w:t xml:space="preserve"> and</w:t>
      </w:r>
      <w:r w:rsidR="00C72125">
        <w:rPr>
          <w:rFonts w:ascii="Century Gothic" w:hAnsi="Century Gothic"/>
        </w:rPr>
        <w:t xml:space="preserve"> young people </w:t>
      </w:r>
      <w:r w:rsidRPr="000B61DC">
        <w:rPr>
          <w:rFonts w:ascii="Century Gothic" w:hAnsi="Century Gothic"/>
        </w:rPr>
        <w:t xml:space="preserve">to meet the Gatsby Benchmarks – the recognised blueprint for high-quality careers guidance. It has been produced in collaboration with The Careers and Enterprise Company (CEC), which exists to facilitate a world-class careers education and help every young person find their best next step. </w:t>
      </w:r>
    </w:p>
    <w:p w14:paraId="6ECBC641" w14:textId="77777777" w:rsidR="00C72125" w:rsidRPr="00C72125" w:rsidRDefault="005003EE" w:rsidP="001E7305">
      <w:pPr>
        <w:tabs>
          <w:tab w:val="left" w:pos="3345"/>
        </w:tabs>
        <w:rPr>
          <w:rFonts w:ascii="Century Gothic" w:hAnsi="Century Gothic"/>
          <w:b/>
          <w:bCs/>
        </w:rPr>
      </w:pPr>
      <w:r w:rsidRPr="00C72125">
        <w:rPr>
          <w:rFonts w:ascii="Century Gothic" w:hAnsi="Century Gothic"/>
          <w:b/>
          <w:bCs/>
        </w:rPr>
        <w:t xml:space="preserve">Why careers guidance matters </w:t>
      </w:r>
    </w:p>
    <w:p w14:paraId="3DD919F6" w14:textId="7BCADAAE" w:rsidR="00F20231" w:rsidRDefault="005003EE" w:rsidP="001E7305">
      <w:pPr>
        <w:tabs>
          <w:tab w:val="left" w:pos="3345"/>
        </w:tabs>
        <w:rPr>
          <w:rFonts w:ascii="Century Gothic" w:hAnsi="Century Gothic"/>
        </w:rPr>
      </w:pPr>
      <w:r w:rsidRPr="000B61DC">
        <w:rPr>
          <w:rFonts w:ascii="Century Gothic" w:hAnsi="Century Gothic"/>
        </w:rPr>
        <w:t xml:space="preserve">The </w:t>
      </w:r>
      <w:r w:rsidR="000F5303">
        <w:rPr>
          <w:rFonts w:ascii="Century Gothic" w:hAnsi="Century Gothic"/>
        </w:rPr>
        <w:t>Director’s</w:t>
      </w:r>
      <w:r w:rsidRPr="000B61DC">
        <w:rPr>
          <w:rFonts w:ascii="Century Gothic" w:hAnsi="Century Gothic"/>
        </w:rPr>
        <w:t xml:space="preserve"> duty is, above all, to drive relentless ambition for the young people served by our school. This means ensuring that they not only achieve good academic outcomes, but that they are equipped for life beyond school and to arrive in the workplace with the skills they need to thrive. Aside from being a statutory responsibility, providing good careers guidance is a fundamental aspect of </w:t>
      </w:r>
      <w:r w:rsidR="000F5303">
        <w:rPr>
          <w:rFonts w:ascii="Century Gothic" w:hAnsi="Century Gothic"/>
        </w:rPr>
        <w:t>Hopefield’</w:t>
      </w:r>
      <w:r w:rsidRPr="000B61DC">
        <w:rPr>
          <w:rFonts w:ascii="Century Gothic" w:hAnsi="Century Gothic"/>
        </w:rPr>
        <w:t>s service to its community(ies). It helps strengthen our economy and improve society by driving down youth unemployment and driving up social mobility. This is why</w:t>
      </w:r>
      <w:r w:rsidR="00F20231">
        <w:rPr>
          <w:rFonts w:ascii="Century Gothic" w:hAnsi="Century Gothic"/>
        </w:rPr>
        <w:t xml:space="preserve"> the</w:t>
      </w:r>
      <w:r w:rsidRPr="000B61DC">
        <w:rPr>
          <w:rFonts w:ascii="Century Gothic" w:hAnsi="Century Gothic"/>
        </w:rPr>
        <w:t xml:space="preserve"> </w:t>
      </w:r>
      <w:r w:rsidR="00F20231">
        <w:rPr>
          <w:rFonts w:ascii="Century Gothic" w:hAnsi="Century Gothic"/>
        </w:rPr>
        <w:t>senior leadership team</w:t>
      </w:r>
      <w:r w:rsidRPr="000B61DC">
        <w:rPr>
          <w:rFonts w:ascii="Century Gothic" w:hAnsi="Century Gothic"/>
        </w:rPr>
        <w:t xml:space="preserve"> should collaborate with executive leaders</w:t>
      </w:r>
      <w:r w:rsidR="00F20231">
        <w:rPr>
          <w:rFonts w:ascii="Century Gothic" w:hAnsi="Century Gothic"/>
        </w:rPr>
        <w:t xml:space="preserve"> of business and education across the local and regional community</w:t>
      </w:r>
      <w:r w:rsidRPr="000B61DC">
        <w:rPr>
          <w:rFonts w:ascii="Century Gothic" w:hAnsi="Century Gothic"/>
        </w:rPr>
        <w:t xml:space="preserve">, </w:t>
      </w:r>
      <w:r w:rsidR="00F20231">
        <w:rPr>
          <w:rFonts w:ascii="Century Gothic" w:hAnsi="Century Gothic"/>
        </w:rPr>
        <w:t xml:space="preserve">other schools’ </w:t>
      </w:r>
      <w:r w:rsidRPr="000B61DC">
        <w:rPr>
          <w:rFonts w:ascii="Century Gothic" w:hAnsi="Century Gothic"/>
        </w:rPr>
        <w:t xml:space="preserve">Careers Leaders and with the wider network of Hubs and Enterprise Advisers, to embed careers within the curriculum and ensure every young person is supported to move on to positive destinations. </w:t>
      </w:r>
    </w:p>
    <w:p w14:paraId="4C58F0A9" w14:textId="743AB485" w:rsidR="00E31191" w:rsidRDefault="00E31191" w:rsidP="001E7305">
      <w:pPr>
        <w:tabs>
          <w:tab w:val="left" w:pos="3345"/>
        </w:tabs>
        <w:rPr>
          <w:rFonts w:ascii="Century Gothic" w:hAnsi="Century Gothic"/>
          <w:b/>
          <w:bCs/>
        </w:rPr>
      </w:pPr>
      <w:r>
        <w:rPr>
          <w:rFonts w:ascii="Century Gothic" w:hAnsi="Century Gothic"/>
          <w:b/>
          <w:bCs/>
        </w:rPr>
        <w:t>Provider Access Statement</w:t>
      </w:r>
    </w:p>
    <w:p w14:paraId="0349AA7C" w14:textId="77777777" w:rsidR="00E31191" w:rsidRDefault="00E31191" w:rsidP="00E31191">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Aims</w:t>
      </w:r>
    </w:p>
    <w:p w14:paraId="3C1E1038"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860FE86" w14:textId="08EEBAA8"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This policy statement aims to set out Hopefields arrangements for managing the access of education and training providers including technical education providers to students for the purpose of giving them information about their offer. It sets out:</w:t>
      </w:r>
    </w:p>
    <w:p w14:paraId="6C1144C7"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D8867EC" w14:textId="77777777"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Procedures in relation to requests for access</w:t>
      </w:r>
    </w:p>
    <w:p w14:paraId="2507BCA7" w14:textId="6ABA4C3B"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The grounds for granting and refusing</w:t>
      </w:r>
      <w:r w:rsidR="00E9733B">
        <w:rPr>
          <w:rFonts w:ascii="Century Gothic" w:hAnsi="Century Gothic" w:cstheme="majorHAnsi"/>
          <w:lang w:eastAsia="en-GB"/>
        </w:rPr>
        <w:t xml:space="preserve"> </w:t>
      </w:r>
      <w:r>
        <w:rPr>
          <w:rFonts w:ascii="Century Gothic" w:hAnsi="Century Gothic" w:cstheme="majorHAnsi"/>
          <w:lang w:eastAsia="en-GB"/>
        </w:rPr>
        <w:t>access</w:t>
      </w:r>
    </w:p>
    <w:p w14:paraId="34DD0625" w14:textId="77777777" w:rsidR="00E31191" w:rsidRDefault="00E31191" w:rsidP="00E31191">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Details of premises or facilities to be provided to a person who is given access</w:t>
      </w:r>
    </w:p>
    <w:p w14:paraId="1E418B1E"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24A88C2A"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6E80AF73"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44A861E6" w14:textId="77777777" w:rsidR="00274CBE" w:rsidRDefault="00274CBE" w:rsidP="00E31191">
      <w:pPr>
        <w:autoSpaceDE w:val="0"/>
        <w:autoSpaceDN w:val="0"/>
        <w:adjustRightInd w:val="0"/>
        <w:spacing w:after="0" w:line="240" w:lineRule="auto"/>
        <w:rPr>
          <w:rFonts w:ascii="Century Gothic" w:hAnsi="Century Gothic" w:cstheme="majorHAnsi"/>
          <w:b/>
          <w:bCs/>
          <w:lang w:eastAsia="en-GB"/>
        </w:rPr>
      </w:pPr>
    </w:p>
    <w:p w14:paraId="5382B0EC" w14:textId="77777777" w:rsidR="00E31191" w:rsidRDefault="00E31191" w:rsidP="00E31191">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lastRenderedPageBreak/>
        <w:t>Statutory Requirements</w:t>
      </w:r>
    </w:p>
    <w:p w14:paraId="57CA425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055F35E9"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Schools are required to ensure that there is an opportunity for a range of education and training providers to access students in years 8 to 13 for the purposes of informing them about approved technical education, qualifications or apprenticeships.</w:t>
      </w:r>
    </w:p>
    <w:p w14:paraId="30A3D14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br/>
        <w:t>Schools must provide a minimum of 6 encounters with technical education or training providers to all learners in years 8 to 13 (see more detail in section 2.1 below).</w:t>
      </w:r>
    </w:p>
    <w:p w14:paraId="179FB1DD"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64771970"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Schools must also have a policy statement that outlines the circumstances in which education and training providers will be given access to these students.</w:t>
      </w:r>
    </w:p>
    <w:p w14:paraId="4817D9B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56074CBE"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This is outlined in section 42B of the Education Act 1997 the Skills and Post 16 Education Act 2022 and on page 43 of guidance from the Department for Education DfE on Careers Guidance and Access for education and training providers. </w:t>
      </w:r>
    </w:p>
    <w:p w14:paraId="7117EF0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E3925B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This policy shows how our school complies with these requirements. </w:t>
      </w:r>
    </w:p>
    <w:p w14:paraId="3168152D"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01012E54"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2.1 The 6 encounters schools must offer to all students in years 8 to 13</w:t>
      </w:r>
    </w:p>
    <w:p w14:paraId="255AEADD"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2BF0E96B" w14:textId="77777777" w:rsidR="00E31191" w:rsidRDefault="00E31191" w:rsidP="00E31191">
      <w:pPr>
        <w:rPr>
          <w:rFonts w:ascii="Century Gothic" w:hAnsi="Century Gothic" w:cstheme="majorHAnsi"/>
        </w:rPr>
      </w:pPr>
      <w:r>
        <w:rPr>
          <w:rFonts w:ascii="Century Gothic" w:hAnsi="Century Gothic" w:cstheme="majorHAnsi"/>
        </w:rPr>
        <w:t xml:space="preserve">Through the Skills and Post-16 Education Act 2022 we have made further provision as to the number of provider encounters that schools must offer and when, and set new parameters around the duration and content of each encounter. </w:t>
      </w:r>
    </w:p>
    <w:p w14:paraId="543777A3" w14:textId="77777777" w:rsidR="00E31191" w:rsidRDefault="00E31191" w:rsidP="00E31191">
      <w:pPr>
        <w:rPr>
          <w:rFonts w:ascii="Century Gothic" w:eastAsia="Times New Roman" w:hAnsi="Century Gothic" w:cstheme="majorHAnsi"/>
        </w:rPr>
      </w:pPr>
      <w:r>
        <w:rPr>
          <w:rFonts w:ascii="Century Gothic" w:hAnsi="Century Gothic" w:cstheme="majorHAnsi"/>
        </w:rPr>
        <w:t>All maintained schools and academies must provide six encounters with a provider of technical education or apprenticeships for year 8 to 13 learners. We have timed these six meetings to inform consideration of post-14, post-16 and post-18 options and progression to the next stage of education or training.</w:t>
      </w:r>
    </w:p>
    <w:p w14:paraId="6EF58E87" w14:textId="77777777" w:rsidR="00E31191" w:rsidRDefault="00E31191" w:rsidP="00E31191">
      <w:pPr>
        <w:rPr>
          <w:rFonts w:ascii="Century Gothic" w:eastAsia="Calibri" w:hAnsi="Century Gothic" w:cstheme="majorHAnsi"/>
        </w:rPr>
      </w:pPr>
      <w:r>
        <w:rPr>
          <w:rFonts w:ascii="Century Gothic" w:hAnsi="Century Gothic" w:cstheme="majorHAnsi"/>
        </w:rPr>
        <w:t>As a minimum, schools must offer:</w:t>
      </w:r>
    </w:p>
    <w:p w14:paraId="5D69BF30" w14:textId="77777777" w:rsidR="00E31191" w:rsidRDefault="00E31191" w:rsidP="00E31191">
      <w:pPr>
        <w:rPr>
          <w:rFonts w:ascii="Century Gothic" w:hAnsi="Century Gothic" w:cstheme="majorHAnsi"/>
        </w:rPr>
      </w:pPr>
      <w:r>
        <w:rPr>
          <w:rFonts w:ascii="Century Gothic" w:hAnsi="Century Gothic" w:cstheme="majorHAnsi"/>
        </w:rPr>
        <w:t>• Two encounters for learners during the ‘first key phase’ (year 8 or 9) that are mandatory for all learners to attend, to take place any time during year 8 or between 1 September and 28 February during year 9.</w:t>
      </w:r>
    </w:p>
    <w:p w14:paraId="3CD86EE0" w14:textId="77777777" w:rsidR="00E31191" w:rsidRDefault="00E31191" w:rsidP="00E31191">
      <w:pPr>
        <w:rPr>
          <w:rFonts w:ascii="Century Gothic" w:hAnsi="Century Gothic" w:cstheme="majorHAnsi"/>
        </w:rPr>
      </w:pPr>
      <w:r>
        <w:rPr>
          <w:rFonts w:ascii="Century Gothic" w:hAnsi="Century Gothic" w:cstheme="majorHAnsi"/>
        </w:rPr>
        <w:t>• Two encounters for learners during the ‘second key phase’ (year 10 or 11) that are mandatory for all learners to attend, to take place any time during year 10 or between 1 September and 28 February during year 11.</w:t>
      </w:r>
    </w:p>
    <w:p w14:paraId="6F765C9B" w14:textId="77777777" w:rsidR="00E31191" w:rsidRDefault="00E31191" w:rsidP="00E31191">
      <w:pPr>
        <w:rPr>
          <w:rFonts w:ascii="Century Gothic" w:hAnsi="Century Gothic" w:cstheme="majorHAnsi"/>
        </w:rPr>
      </w:pPr>
    </w:p>
    <w:p w14:paraId="2ACBA29E" w14:textId="77777777" w:rsidR="00E31191" w:rsidRDefault="00E31191" w:rsidP="00E31191">
      <w:pPr>
        <w:pStyle w:val="ListParagraph"/>
        <w:numPr>
          <w:ilvl w:val="0"/>
          <w:numId w:val="8"/>
        </w:numPr>
        <w:rPr>
          <w:rFonts w:ascii="Century Gothic" w:hAnsi="Century Gothic" w:cstheme="majorHAnsi"/>
        </w:rPr>
      </w:pPr>
      <w:r>
        <w:rPr>
          <w:rFonts w:ascii="Century Gothic" w:hAnsi="Century Gothic" w:cstheme="majorHAnsi"/>
        </w:rPr>
        <w:lastRenderedPageBreak/>
        <w:t>Two encounters for learners during the ‘third key phase’ (year 12 or 13) that are mandatory for the school to put on but optional for learners to attend, to take place any time during year 12 or between 1 September and 28 February during year 13</w:t>
      </w:r>
    </w:p>
    <w:p w14:paraId="612A5399" w14:textId="77777777" w:rsidR="00E31191" w:rsidRDefault="00E31191" w:rsidP="00E31191">
      <w:pPr>
        <w:rPr>
          <w:rFonts w:ascii="Century Gothic" w:hAnsi="Century Gothic" w:cstheme="majorHAnsi"/>
        </w:rPr>
      </w:pPr>
      <w:r>
        <w:rPr>
          <w:rFonts w:ascii="Century Gothic" w:hAnsi="Century Gothic" w:cstheme="majorHAnsi"/>
        </w:rPr>
        <w:t>These encounters must happen for a reasonable period during the standard school day. Schools can continue to provide complementary experiences but encounters outside of school hours won’t count towards these requirements.</w:t>
      </w:r>
    </w:p>
    <w:p w14:paraId="2FD60A5F" w14:textId="77777777" w:rsidR="00E31191" w:rsidRDefault="00E31191" w:rsidP="00E31191">
      <w:pPr>
        <w:rPr>
          <w:rFonts w:ascii="Century Gothic" w:hAnsi="Century Gothic" w:cstheme="majorHAnsi"/>
        </w:rPr>
      </w:pPr>
      <w:r>
        <w:rPr>
          <w:rFonts w:ascii="Century Gothic" w:hAnsi="Century Gothic" w:cstheme="majorHAnsi"/>
        </w:rPr>
        <w:t>Schools must ask each provider to provide the following as a minimum:</w:t>
      </w:r>
    </w:p>
    <w:p w14:paraId="4158A6AB"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Information about the provider and the approved qualifications or apprenticeships they offer</w:t>
      </w:r>
    </w:p>
    <w:p w14:paraId="00FEC4E4"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Information about what careers those qualifications and apprenticeships can lead to</w:t>
      </w:r>
    </w:p>
    <w:p w14:paraId="48D41F57"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What learning or training with the provider is like</w:t>
      </w:r>
    </w:p>
    <w:p w14:paraId="0CC33582" w14:textId="77777777" w:rsidR="00E31191" w:rsidRDefault="00E31191" w:rsidP="00E31191">
      <w:pPr>
        <w:pStyle w:val="ListParagraph"/>
        <w:numPr>
          <w:ilvl w:val="0"/>
          <w:numId w:val="9"/>
        </w:numPr>
        <w:rPr>
          <w:rFonts w:ascii="Century Gothic" w:hAnsi="Century Gothic" w:cstheme="majorHAnsi"/>
        </w:rPr>
      </w:pPr>
      <w:r>
        <w:rPr>
          <w:rFonts w:ascii="Century Gothic" w:hAnsi="Century Gothic" w:cstheme="majorHAnsi"/>
        </w:rPr>
        <w:t>Answers to any questions from learners</w:t>
      </w:r>
    </w:p>
    <w:p w14:paraId="37E8868E" w14:textId="77777777" w:rsidR="00E31191" w:rsidRDefault="00E31191" w:rsidP="00E31191">
      <w:pPr>
        <w:rPr>
          <w:rFonts w:ascii="Century Gothic" w:hAnsi="Century Gothic" w:cstheme="majorHAnsi"/>
        </w:rPr>
      </w:pPr>
      <w:r>
        <w:rPr>
          <w:rFonts w:ascii="Century Gothic" w:hAnsi="Century Gothic" w:cstheme="majorHAnsi"/>
        </w:rPr>
        <w:t>Hopefields will ensure that every provider encounter covers these elements and will seek to check presentations or handouts intended for the day will be subject to an audit before the encounter.</w:t>
      </w:r>
    </w:p>
    <w:p w14:paraId="6E7ED69E" w14:textId="77777777" w:rsidR="00E31191" w:rsidRDefault="00E31191" w:rsidP="00E31191">
      <w:pPr>
        <w:pStyle w:val="ListParagraph"/>
        <w:numPr>
          <w:ilvl w:val="1"/>
          <w:numId w:val="10"/>
        </w:numPr>
        <w:rPr>
          <w:rFonts w:ascii="Century Gothic" w:hAnsi="Century Gothic" w:cstheme="majorHAnsi"/>
        </w:rPr>
      </w:pPr>
      <w:r>
        <w:rPr>
          <w:rFonts w:ascii="Century Gothic" w:hAnsi="Century Gothic" w:cstheme="majorHAnsi"/>
          <w:b/>
          <w:bCs/>
        </w:rPr>
        <w:t>Meaningful Provider Encounters</w:t>
      </w:r>
    </w:p>
    <w:p w14:paraId="12FC4DDB" w14:textId="79E5FBDD" w:rsidR="00E31191" w:rsidRDefault="00E31191" w:rsidP="00E31191">
      <w:pPr>
        <w:rPr>
          <w:rFonts w:ascii="Century Gothic" w:hAnsi="Century Gothic" w:cstheme="majorHAnsi"/>
          <w:lang w:eastAsia="en-GB"/>
        </w:rPr>
      </w:pPr>
      <w:r>
        <w:rPr>
          <w:rFonts w:ascii="Century Gothic" w:hAnsi="Century Gothic" w:cstheme="majorHAnsi"/>
          <w:lang w:eastAsia="en-GB"/>
        </w:rPr>
        <w:t>Hopefield</w:t>
      </w:r>
      <w:r w:rsidR="0010749A">
        <w:rPr>
          <w:rFonts w:ascii="Century Gothic" w:hAnsi="Century Gothic" w:cstheme="majorHAnsi"/>
          <w:lang w:eastAsia="en-GB"/>
        </w:rPr>
        <w:t>s</w:t>
      </w:r>
      <w:r>
        <w:rPr>
          <w:rFonts w:ascii="Century Gothic" w:hAnsi="Century Gothic" w:cstheme="majorHAnsi"/>
          <w:lang w:eastAsia="en-GB"/>
        </w:rPr>
        <w:t xml:space="preserve"> is committed to providing meaningful encounters to all learners.</w:t>
      </w:r>
    </w:p>
    <w:p w14:paraId="7443981B" w14:textId="77777777" w:rsidR="00E31191" w:rsidRDefault="00E31191" w:rsidP="00E31191">
      <w:pPr>
        <w:rPr>
          <w:rFonts w:ascii="Century Gothic" w:hAnsi="Century Gothic" w:cstheme="majorHAnsi"/>
          <w:lang w:eastAsia="en-GB"/>
        </w:rPr>
      </w:pPr>
      <w:r>
        <w:rPr>
          <w:rFonts w:ascii="Century Gothic" w:hAnsi="Century Gothic" w:cstheme="majorHAnsi"/>
          <w:lang w:eastAsia="en-GB"/>
        </w:rPr>
        <w:t xml:space="preserve">1 encounter is defined as 1 meeting/session between learners and 1 provider. Meaningful live online encounter engagement is also an option at Hopefields. </w:t>
      </w:r>
    </w:p>
    <w:p w14:paraId="602F43EF"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 xml:space="preserve">Student Entitlement </w:t>
      </w:r>
    </w:p>
    <w:p w14:paraId="104E190B"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1F238015" w14:textId="611B3C75"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All students in years 8 -1</w:t>
      </w:r>
      <w:r w:rsidR="00B92B40">
        <w:rPr>
          <w:rFonts w:ascii="Century Gothic" w:hAnsi="Century Gothic" w:cstheme="majorHAnsi"/>
          <w:lang w:eastAsia="en-GB"/>
        </w:rPr>
        <w:t>1</w:t>
      </w:r>
      <w:r>
        <w:rPr>
          <w:rFonts w:ascii="Century Gothic" w:hAnsi="Century Gothic" w:cstheme="majorHAnsi"/>
          <w:lang w:eastAsia="en-GB"/>
        </w:rPr>
        <w:t xml:space="preserve"> at </w:t>
      </w:r>
      <w:proofErr w:type="spellStart"/>
      <w:r>
        <w:rPr>
          <w:rFonts w:ascii="Century Gothic" w:hAnsi="Century Gothic" w:cstheme="majorHAnsi"/>
          <w:lang w:eastAsia="en-GB"/>
        </w:rPr>
        <w:t>Hopefields</w:t>
      </w:r>
      <w:proofErr w:type="spellEnd"/>
      <w:r>
        <w:rPr>
          <w:rFonts w:ascii="Century Gothic" w:hAnsi="Century Gothic" w:cstheme="majorHAnsi"/>
          <w:lang w:eastAsia="en-GB"/>
        </w:rPr>
        <w:t xml:space="preserve"> are entitled to: </w:t>
      </w:r>
    </w:p>
    <w:p w14:paraId="2FF56B3D" w14:textId="77777777" w:rsidR="00E31191" w:rsidRDefault="00E31191" w:rsidP="00E31191">
      <w:pPr>
        <w:autoSpaceDE w:val="0"/>
        <w:autoSpaceDN w:val="0"/>
        <w:adjustRightInd w:val="0"/>
        <w:spacing w:after="78" w:line="240" w:lineRule="auto"/>
        <w:rPr>
          <w:rFonts w:ascii="Century Gothic" w:hAnsi="Century Gothic" w:cstheme="majorHAnsi"/>
          <w:lang w:eastAsia="en-GB"/>
        </w:rPr>
      </w:pPr>
    </w:p>
    <w:p w14:paraId="751FD32E" w14:textId="77777777" w:rsidR="00E31191" w:rsidRDefault="00E31191" w:rsidP="00E31191">
      <w:pPr>
        <w:pStyle w:val="ListParagraph"/>
        <w:numPr>
          <w:ilvl w:val="0"/>
          <w:numId w:val="11"/>
        </w:numPr>
        <w:autoSpaceDE w:val="0"/>
        <w:autoSpaceDN w:val="0"/>
        <w:adjustRightInd w:val="0"/>
        <w:spacing w:after="78" w:line="240" w:lineRule="auto"/>
        <w:rPr>
          <w:rFonts w:ascii="Century Gothic" w:hAnsi="Century Gothic" w:cstheme="majorHAnsi"/>
          <w:lang w:eastAsia="en-GB"/>
        </w:rPr>
      </w:pPr>
      <w:r>
        <w:rPr>
          <w:rFonts w:ascii="Century Gothic" w:hAnsi="Century Gothic" w:cstheme="majorHAnsi"/>
          <w:lang w:eastAsia="en-GB"/>
        </w:rPr>
        <w:t xml:space="preserve">Find out about technical education qualifications and apprenticeships opportunities, as part of a careers programme which provides information on the full range of education and training options available at each transition point. </w:t>
      </w:r>
    </w:p>
    <w:p w14:paraId="60F58B9D" w14:textId="77777777" w:rsidR="00E31191" w:rsidRDefault="00E31191" w:rsidP="00E31191">
      <w:pPr>
        <w:pStyle w:val="ListParagraph"/>
        <w:numPr>
          <w:ilvl w:val="0"/>
          <w:numId w:val="11"/>
        </w:numPr>
        <w:autoSpaceDE w:val="0"/>
        <w:autoSpaceDN w:val="0"/>
        <w:adjustRightInd w:val="0"/>
        <w:spacing w:after="78" w:line="240" w:lineRule="auto"/>
        <w:rPr>
          <w:rFonts w:ascii="Century Gothic" w:hAnsi="Century Gothic" w:cstheme="majorHAnsi"/>
          <w:lang w:eastAsia="en-GB"/>
        </w:rPr>
      </w:pPr>
      <w:r>
        <w:rPr>
          <w:rFonts w:ascii="Century Gothic" w:hAnsi="Century Gothic" w:cstheme="majorHAnsi"/>
          <w:lang w:eastAsia="en-GB"/>
        </w:rPr>
        <w:t xml:space="preserve">Hear from a range of local providers about the opportunities they offer, including technical education and apprenticeships – through activities, events, assemblies and group discussions and taster sessions. </w:t>
      </w:r>
    </w:p>
    <w:p w14:paraId="46F9E246" w14:textId="77777777" w:rsidR="00E31191" w:rsidRDefault="00E31191" w:rsidP="00E31191">
      <w:pPr>
        <w:pStyle w:val="ListParagraph"/>
        <w:numPr>
          <w:ilvl w:val="0"/>
          <w:numId w:val="11"/>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Understand how to make applications for the full range of academic and technical courses. </w:t>
      </w:r>
    </w:p>
    <w:p w14:paraId="7B6A61E8"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B3AF040"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5F1FA189"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b/>
          <w:bCs/>
          <w:lang w:eastAsia="en-GB"/>
        </w:rPr>
        <w:t xml:space="preserve">Management of provider access requests </w:t>
      </w:r>
    </w:p>
    <w:p w14:paraId="5B850040"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p>
    <w:p w14:paraId="18677E47" w14:textId="77777777" w:rsidR="00E31191" w:rsidRDefault="00E31191" w:rsidP="00E31191">
      <w:p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lastRenderedPageBreak/>
        <w:t xml:space="preserve">4.1. Procedure </w:t>
      </w:r>
    </w:p>
    <w:p w14:paraId="55643A44"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011C1FB1" w14:textId="33372808"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A provider wishing to request access should contact C</w:t>
      </w:r>
      <w:r w:rsidR="00C457B2">
        <w:rPr>
          <w:rFonts w:ascii="Century Gothic" w:hAnsi="Century Gothic" w:cstheme="majorHAnsi"/>
          <w:lang w:eastAsia="en-GB"/>
        </w:rPr>
        <w:t>ameron Lithgo</w:t>
      </w:r>
      <w:r>
        <w:rPr>
          <w:rFonts w:ascii="Century Gothic" w:hAnsi="Century Gothic" w:cstheme="majorHAnsi"/>
          <w:lang w:eastAsia="en-GB"/>
        </w:rPr>
        <w:t xml:space="preserve">, Careers Lead </w:t>
      </w:r>
      <w:r w:rsidR="00C457B2">
        <w:rPr>
          <w:rFonts w:ascii="Century Gothic" w:hAnsi="Century Gothic" w:cstheme="majorHAnsi"/>
          <w:lang w:eastAsia="en-GB"/>
        </w:rPr>
        <w:t xml:space="preserve">or Craig Fletcher (SLT link for careers) </w:t>
      </w:r>
      <w:r>
        <w:rPr>
          <w:rFonts w:ascii="Century Gothic" w:hAnsi="Century Gothic" w:cstheme="majorHAnsi"/>
          <w:lang w:eastAsia="en-GB"/>
        </w:rPr>
        <w:t>by using the details below:</w:t>
      </w:r>
    </w:p>
    <w:p w14:paraId="2EF88CBD"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 </w:t>
      </w:r>
    </w:p>
    <w:p w14:paraId="103BF46C"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Telephone: 01642 205233</w:t>
      </w:r>
    </w:p>
    <w:p w14:paraId="671C9655"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EC01AD3" w14:textId="1BFA391D"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 xml:space="preserve">Email: </w:t>
      </w:r>
      <w:hyperlink r:id="rId10" w:history="1">
        <w:r w:rsidR="00C457B2" w:rsidRPr="008C2ECE">
          <w:rPr>
            <w:rStyle w:val="Hyperlink"/>
            <w:rFonts w:ascii="Century Gothic" w:hAnsi="Century Gothic" w:cstheme="majorHAnsi"/>
            <w:lang w:eastAsia="en-GB"/>
          </w:rPr>
          <w:t>cameron@hopefields.org.uk</w:t>
        </w:r>
      </w:hyperlink>
      <w:r w:rsidR="00C457B2">
        <w:rPr>
          <w:rFonts w:ascii="Century Gothic" w:hAnsi="Century Gothic" w:cstheme="majorHAnsi"/>
          <w:lang w:eastAsia="en-GB"/>
        </w:rPr>
        <w:t xml:space="preserve"> or </w:t>
      </w:r>
      <w:hyperlink r:id="rId11" w:history="1">
        <w:r w:rsidR="00C457B2" w:rsidRPr="008C2ECE">
          <w:rPr>
            <w:rStyle w:val="Hyperlink"/>
            <w:rFonts w:ascii="Century Gothic" w:hAnsi="Century Gothic" w:cstheme="majorHAnsi"/>
            <w:lang w:eastAsia="en-GB"/>
          </w:rPr>
          <w:t>craigf@hopefields.org.uk</w:t>
        </w:r>
      </w:hyperlink>
      <w:r w:rsidR="00C457B2">
        <w:rPr>
          <w:rFonts w:ascii="Century Gothic" w:hAnsi="Century Gothic" w:cstheme="majorHAnsi"/>
          <w:lang w:eastAsia="en-GB"/>
        </w:rPr>
        <w:t xml:space="preserve"> </w:t>
      </w:r>
    </w:p>
    <w:p w14:paraId="3AD1EE03"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455F997"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3154FBE9"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lang w:eastAsia="en-GB"/>
        </w:rPr>
      </w:pPr>
      <w:r>
        <w:rPr>
          <w:rFonts w:ascii="Century Gothic" w:hAnsi="Century Gothic" w:cstheme="majorHAnsi"/>
          <w:b/>
          <w:bCs/>
          <w:lang w:eastAsia="en-GB"/>
        </w:rPr>
        <w:t xml:space="preserve">Opportunities for access </w:t>
      </w:r>
    </w:p>
    <w:p w14:paraId="2450DC42"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p>
    <w:p w14:paraId="4D1E95CF" w14:textId="77777777" w:rsidR="00E31191" w:rsidRDefault="00E31191" w:rsidP="00E31191">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The school offers a comprehensive Careers Education, Information, Advice and Guidance programme and an overview of this programme can be seen on the school website. A number of provider encounters are offered through our NOCN Vocational qualifications of SETPD. We also host career events and talks where external speakers including providers will come into lessons and make the link between the curriculum and careers.</w:t>
      </w:r>
    </w:p>
    <w:p w14:paraId="29660B21"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4AC5BE2A"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Premises and Facilities</w:t>
      </w:r>
    </w:p>
    <w:p w14:paraId="1F1D2E8C"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D8F69CE"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Careers Lead or a member of their team. </w:t>
      </w:r>
    </w:p>
    <w:p w14:paraId="41DADF79"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04BC046B"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Providers are welcome to leave a copy of their prospectus or other relevant course literature with the Careers Lead so that they can be displayed within school.</w:t>
      </w:r>
    </w:p>
    <w:p w14:paraId="3C024015"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D613CD9" w14:textId="77777777" w:rsidR="00E31191" w:rsidRDefault="00E31191" w:rsidP="00E31191">
      <w:pPr>
        <w:pStyle w:val="ListParagraph"/>
        <w:numPr>
          <w:ilvl w:val="1"/>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Safeguarding</w:t>
      </w:r>
    </w:p>
    <w:p w14:paraId="566814CA" w14:textId="77777777" w:rsidR="00E31191" w:rsidRDefault="00E31191" w:rsidP="00E31191">
      <w:pPr>
        <w:autoSpaceDE w:val="0"/>
        <w:autoSpaceDN w:val="0"/>
        <w:adjustRightInd w:val="0"/>
        <w:spacing w:after="0" w:line="240" w:lineRule="auto"/>
        <w:rPr>
          <w:rFonts w:ascii="Century Gothic" w:hAnsi="Century Gothic" w:cstheme="majorHAnsi"/>
          <w:b/>
          <w:bCs/>
          <w:color w:val="000000"/>
          <w:lang w:eastAsia="en-GB"/>
        </w:rPr>
      </w:pPr>
    </w:p>
    <w:p w14:paraId="71F27FEB" w14:textId="497B65EB"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Hopefield</w:t>
      </w:r>
      <w:r w:rsidR="00C457B2">
        <w:rPr>
          <w:rFonts w:ascii="Century Gothic" w:hAnsi="Century Gothic" w:cstheme="majorHAnsi"/>
          <w:color w:val="000000"/>
          <w:lang w:eastAsia="en-GB"/>
        </w:rPr>
        <w:t>s</w:t>
      </w:r>
      <w:r>
        <w:rPr>
          <w:rFonts w:ascii="Century Gothic" w:hAnsi="Century Gothic" w:cstheme="majorHAnsi"/>
          <w:color w:val="000000"/>
          <w:lang w:eastAsia="en-GB"/>
        </w:rPr>
        <w:t xml:space="preserve"> Safeguarding and Child Protection policies outline Hopefields procedure for checking the identity and suitability of visitors.</w:t>
      </w:r>
    </w:p>
    <w:p w14:paraId="7F2241D8"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6044F5D3"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Education and training providers will be expected to always adhere to these policies.</w:t>
      </w:r>
    </w:p>
    <w:p w14:paraId="50979151"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61AEBF51" w14:textId="77777777" w:rsidR="00E31191" w:rsidRDefault="00E31191" w:rsidP="00E31191">
      <w:pPr>
        <w:pStyle w:val="ListParagraph"/>
        <w:numPr>
          <w:ilvl w:val="0"/>
          <w:numId w:val="10"/>
        </w:numPr>
        <w:autoSpaceDE w:val="0"/>
        <w:autoSpaceDN w:val="0"/>
        <w:adjustRightInd w:val="0"/>
        <w:spacing w:after="0" w:line="240" w:lineRule="auto"/>
        <w:rPr>
          <w:rFonts w:ascii="Century Gothic" w:hAnsi="Century Gothic" w:cstheme="majorHAnsi"/>
          <w:b/>
          <w:bCs/>
          <w:color w:val="000000"/>
          <w:lang w:eastAsia="en-GB"/>
        </w:rPr>
      </w:pPr>
      <w:r>
        <w:rPr>
          <w:rFonts w:ascii="Century Gothic" w:hAnsi="Century Gothic" w:cstheme="majorHAnsi"/>
          <w:b/>
          <w:bCs/>
          <w:color w:val="000000"/>
          <w:lang w:eastAsia="en-GB"/>
        </w:rPr>
        <w:t xml:space="preserve">Monitoring Arrangements </w:t>
      </w:r>
    </w:p>
    <w:p w14:paraId="07EE800A" w14:textId="77777777" w:rsidR="00E31191" w:rsidRDefault="00E31191" w:rsidP="00E31191">
      <w:pPr>
        <w:autoSpaceDE w:val="0"/>
        <w:autoSpaceDN w:val="0"/>
        <w:adjustRightInd w:val="0"/>
        <w:spacing w:after="0" w:line="240" w:lineRule="auto"/>
        <w:rPr>
          <w:rFonts w:ascii="Century Gothic" w:hAnsi="Century Gothic" w:cstheme="majorHAnsi"/>
          <w:b/>
          <w:bCs/>
          <w:color w:val="000000"/>
          <w:lang w:eastAsia="en-GB"/>
        </w:rPr>
      </w:pPr>
    </w:p>
    <w:p w14:paraId="63B2AB8A"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Hopefields’ arrangements for managing the access of education and training providers to students are monitored by Craig Fletcher, Assistant Head Teacher.</w:t>
      </w:r>
    </w:p>
    <w:p w14:paraId="586BB7E8"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77B12E7"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This document will be reviewed by Craig Fletcher annually.</w:t>
      </w:r>
    </w:p>
    <w:p w14:paraId="0790F6AC" w14:textId="77777777" w:rsidR="00E31191" w:rsidRDefault="00E31191" w:rsidP="00E31191">
      <w:pPr>
        <w:autoSpaceDE w:val="0"/>
        <w:autoSpaceDN w:val="0"/>
        <w:adjustRightInd w:val="0"/>
        <w:spacing w:after="0" w:line="240" w:lineRule="auto"/>
        <w:rPr>
          <w:rFonts w:ascii="Century Gothic" w:hAnsi="Century Gothic" w:cstheme="majorHAnsi"/>
          <w:color w:val="000000"/>
          <w:lang w:eastAsia="en-GB"/>
        </w:rPr>
      </w:pPr>
    </w:p>
    <w:p w14:paraId="3BE586D4" w14:textId="11FF41A9" w:rsidR="00E31191" w:rsidRDefault="00E31191" w:rsidP="00CE5701">
      <w:pPr>
        <w:autoSpaceDE w:val="0"/>
        <w:autoSpaceDN w:val="0"/>
        <w:adjustRightInd w:val="0"/>
        <w:spacing w:after="0" w:line="240" w:lineRule="auto"/>
        <w:rPr>
          <w:rFonts w:ascii="Century Gothic" w:hAnsi="Century Gothic" w:cstheme="majorHAnsi"/>
          <w:color w:val="000000"/>
          <w:lang w:eastAsia="en-GB"/>
        </w:rPr>
      </w:pPr>
      <w:r>
        <w:rPr>
          <w:rFonts w:ascii="Century Gothic" w:hAnsi="Century Gothic" w:cstheme="majorHAnsi"/>
          <w:color w:val="000000"/>
          <w:lang w:eastAsia="en-GB"/>
        </w:rPr>
        <w:t>At every review, the statement will be approved by the Directors.</w:t>
      </w:r>
    </w:p>
    <w:p w14:paraId="32AAD845" w14:textId="77777777" w:rsidR="00CE5701" w:rsidRPr="00CE5701" w:rsidRDefault="00CE5701" w:rsidP="00CE5701">
      <w:pPr>
        <w:autoSpaceDE w:val="0"/>
        <w:autoSpaceDN w:val="0"/>
        <w:adjustRightInd w:val="0"/>
        <w:spacing w:after="0" w:line="240" w:lineRule="auto"/>
        <w:rPr>
          <w:rFonts w:ascii="Century Gothic" w:hAnsi="Century Gothic" w:cstheme="majorHAnsi"/>
          <w:color w:val="000000"/>
          <w:lang w:eastAsia="en-GB"/>
        </w:rPr>
      </w:pPr>
    </w:p>
    <w:p w14:paraId="18C50FA0" w14:textId="77777777" w:rsidR="00F20231" w:rsidRPr="008568D6" w:rsidRDefault="005003EE" w:rsidP="001E7305">
      <w:pPr>
        <w:tabs>
          <w:tab w:val="left" w:pos="3345"/>
        </w:tabs>
        <w:rPr>
          <w:rFonts w:ascii="Century Gothic" w:hAnsi="Century Gothic"/>
          <w:b/>
          <w:bCs/>
        </w:rPr>
      </w:pPr>
      <w:r w:rsidRPr="008568D6">
        <w:rPr>
          <w:rFonts w:ascii="Century Gothic" w:hAnsi="Century Gothic"/>
          <w:b/>
          <w:bCs/>
        </w:rPr>
        <w:t xml:space="preserve">Terminology </w:t>
      </w:r>
    </w:p>
    <w:p w14:paraId="6BBADCEC" w14:textId="77777777" w:rsidR="00AD78E9" w:rsidRDefault="005003EE" w:rsidP="001E7305">
      <w:pPr>
        <w:tabs>
          <w:tab w:val="left" w:pos="3345"/>
        </w:tabs>
        <w:rPr>
          <w:rFonts w:ascii="Century Gothic" w:hAnsi="Century Gothic"/>
        </w:rPr>
      </w:pPr>
      <w:r w:rsidRPr="000B61DC">
        <w:rPr>
          <w:rFonts w:ascii="Century Gothic" w:hAnsi="Century Gothic"/>
        </w:rPr>
        <w:t xml:space="preserve">We use ‘student’ throughout this guidance to refer to pupils, learners, and young people in education. </w:t>
      </w:r>
    </w:p>
    <w:p w14:paraId="4F9417C6" w14:textId="63186952" w:rsidR="001E7305" w:rsidRPr="000B61DC" w:rsidRDefault="005003EE" w:rsidP="001E7305">
      <w:pPr>
        <w:tabs>
          <w:tab w:val="left" w:pos="3345"/>
        </w:tabs>
        <w:rPr>
          <w:rFonts w:ascii="Century Gothic" w:hAnsi="Century Gothic"/>
        </w:rPr>
      </w:pPr>
      <w:r w:rsidRPr="000B61DC">
        <w:rPr>
          <w:rFonts w:ascii="Century Gothic" w:hAnsi="Century Gothic"/>
        </w:rPr>
        <w:t>The term ‘careers guidance’ describes the full range of interventions that support young people to make choices and develop their careers</w:t>
      </w:r>
      <w:r w:rsidR="00586809">
        <w:rPr>
          <w:rFonts w:ascii="Century Gothic" w:hAnsi="Century Gothic"/>
        </w:rPr>
        <w:t>.</w:t>
      </w:r>
    </w:p>
    <w:p w14:paraId="7A376388" w14:textId="77777777" w:rsidR="00586809" w:rsidRPr="00586809" w:rsidRDefault="001B53AD" w:rsidP="00586809">
      <w:pPr>
        <w:tabs>
          <w:tab w:val="left" w:pos="3345"/>
        </w:tabs>
        <w:rPr>
          <w:rFonts w:ascii="Century Gothic" w:hAnsi="Century Gothic"/>
          <w:b/>
          <w:bCs/>
        </w:rPr>
      </w:pPr>
      <w:r w:rsidRPr="00586809">
        <w:rPr>
          <w:rFonts w:ascii="Century Gothic" w:hAnsi="Century Gothic"/>
          <w:b/>
          <w:bCs/>
        </w:rPr>
        <w:t xml:space="preserve">Statutory responsibilities </w:t>
      </w:r>
    </w:p>
    <w:p w14:paraId="22DFD974" w14:textId="0AC09750" w:rsidR="00360C1B" w:rsidRDefault="001B53AD" w:rsidP="00586809">
      <w:pPr>
        <w:tabs>
          <w:tab w:val="left" w:pos="3345"/>
        </w:tabs>
        <w:rPr>
          <w:rFonts w:ascii="Century Gothic" w:hAnsi="Century Gothic"/>
        </w:rPr>
      </w:pPr>
      <w:r w:rsidRPr="00586809">
        <w:rPr>
          <w:rFonts w:ascii="Century Gothic" w:hAnsi="Century Gothic"/>
        </w:rPr>
        <w:t xml:space="preserve">Department for Education (DfE) statutory guidance sets out requirements on all schools and trusts to provide careers guidance. This applies to students in years 7 to 13 (ages 11 to 18) and those aged up to 25 with an education, health and care plan (EHCP). </w:t>
      </w:r>
    </w:p>
    <w:p w14:paraId="0B69523E" w14:textId="00A5F8C8" w:rsidR="009F692F" w:rsidRDefault="001B53AD" w:rsidP="00586809">
      <w:pPr>
        <w:tabs>
          <w:tab w:val="left" w:pos="3345"/>
        </w:tabs>
        <w:rPr>
          <w:rFonts w:ascii="Century Gothic" w:hAnsi="Century Gothic"/>
        </w:rPr>
      </w:pPr>
      <w:r w:rsidRPr="00586809">
        <w:rPr>
          <w:rFonts w:ascii="Century Gothic" w:hAnsi="Century Gothic"/>
        </w:rPr>
        <w:t xml:space="preserve">The requirements are to:  </w:t>
      </w:r>
    </w:p>
    <w:p w14:paraId="016CB687" w14:textId="77777777" w:rsidR="009F692F" w:rsidRDefault="001B53AD" w:rsidP="00586809">
      <w:pPr>
        <w:tabs>
          <w:tab w:val="left" w:pos="3345"/>
        </w:tabs>
      </w:pPr>
      <w:r w:rsidRPr="00586809">
        <w:rPr>
          <w:rFonts w:ascii="Century Gothic" w:hAnsi="Century Gothic"/>
        </w:rPr>
        <w:t xml:space="preserve">Ensure opportunity for a range of education and training providers to talk to students in years 7 to 13 about approved technical education qualifications or apprenticeships. </w:t>
      </w:r>
    </w:p>
    <w:p w14:paraId="3F7B4177" w14:textId="77777777" w:rsidR="00360C1B" w:rsidRDefault="001B53AD" w:rsidP="00586809">
      <w:pPr>
        <w:tabs>
          <w:tab w:val="left" w:pos="3345"/>
        </w:tabs>
      </w:pPr>
      <w:r w:rsidRPr="00586809">
        <w:rPr>
          <w:rFonts w:ascii="Century Gothic" w:hAnsi="Century Gothic"/>
        </w:rPr>
        <w:t xml:space="preserve">Publish a policy statement on the school website setting out the arrangements for provider access. Make sure that the policy is followed. </w:t>
      </w:r>
    </w:p>
    <w:p w14:paraId="40154C3A" w14:textId="77777777" w:rsidR="00360C1B" w:rsidRDefault="001B53AD" w:rsidP="00586809">
      <w:pPr>
        <w:tabs>
          <w:tab w:val="left" w:pos="3345"/>
        </w:tabs>
      </w:pPr>
      <w:r w:rsidRPr="00586809">
        <w:rPr>
          <w:rFonts w:ascii="Century Gothic" w:hAnsi="Century Gothic"/>
        </w:rPr>
        <w:t xml:space="preserve">Develop a careers programme which meets internationally recognised Gatsby Benchmarks. (The benchmarks are non-statutory but provide a framework around which schools can develop their careers programme in line with their legal requirements.) </w:t>
      </w:r>
    </w:p>
    <w:p w14:paraId="39130153" w14:textId="77777777" w:rsidR="00360C1B" w:rsidRDefault="001B53AD" w:rsidP="00586809">
      <w:pPr>
        <w:tabs>
          <w:tab w:val="left" w:pos="3345"/>
        </w:tabs>
        <w:rPr>
          <w:rFonts w:ascii="Century Gothic" w:hAnsi="Century Gothic"/>
        </w:rPr>
      </w:pPr>
      <w:r w:rsidRPr="00586809">
        <w:rPr>
          <w:rFonts w:ascii="Century Gothic" w:hAnsi="Century Gothic"/>
        </w:rPr>
        <w:t xml:space="preserve">Appoint a named person to the role of Careers Leader to lead their careers programme. </w:t>
      </w:r>
    </w:p>
    <w:p w14:paraId="46748D7A" w14:textId="77777777" w:rsidR="00360C1B" w:rsidRDefault="001B53AD" w:rsidP="00586809">
      <w:pPr>
        <w:tabs>
          <w:tab w:val="left" w:pos="3345"/>
        </w:tabs>
        <w:rPr>
          <w:rFonts w:ascii="Century Gothic" w:hAnsi="Century Gothic"/>
        </w:rPr>
      </w:pPr>
      <w:r w:rsidRPr="00DF4292">
        <w:rPr>
          <w:rFonts w:ascii="Century Gothic" w:hAnsi="Century Gothic"/>
        </w:rPr>
        <w:t>Publish details of their careers programme on the website (this information must be available for students, parents and carers).</w:t>
      </w:r>
      <w:r w:rsidRPr="00586809">
        <w:rPr>
          <w:rFonts w:ascii="Century Gothic" w:hAnsi="Century Gothic"/>
        </w:rPr>
        <w:t xml:space="preserve"> </w:t>
      </w:r>
    </w:p>
    <w:p w14:paraId="2EADB9C9" w14:textId="742888FD" w:rsidR="00994AAD" w:rsidRPr="00994AAD" w:rsidRDefault="001B53AD" w:rsidP="00586809">
      <w:pPr>
        <w:tabs>
          <w:tab w:val="left" w:pos="3345"/>
        </w:tabs>
        <w:rPr>
          <w:rFonts w:ascii="Century Gothic" w:hAnsi="Century Gothic"/>
          <w:b/>
          <w:bCs/>
        </w:rPr>
      </w:pPr>
      <w:r w:rsidRPr="00994AAD">
        <w:rPr>
          <w:rFonts w:ascii="Century Gothic" w:hAnsi="Century Gothic"/>
          <w:b/>
          <w:bCs/>
        </w:rPr>
        <w:t xml:space="preserve">What </w:t>
      </w:r>
      <w:r w:rsidR="00772D8F">
        <w:rPr>
          <w:rFonts w:ascii="Century Gothic" w:hAnsi="Century Gothic"/>
          <w:b/>
          <w:bCs/>
        </w:rPr>
        <w:t>we aim for</w:t>
      </w:r>
    </w:p>
    <w:p w14:paraId="49A941B0" w14:textId="2E530A3A" w:rsidR="00994AAD" w:rsidRDefault="001B53AD" w:rsidP="00586809">
      <w:pPr>
        <w:tabs>
          <w:tab w:val="left" w:pos="3345"/>
        </w:tabs>
        <w:rPr>
          <w:rFonts w:ascii="Century Gothic" w:hAnsi="Century Gothic"/>
        </w:rPr>
      </w:pPr>
      <w:r w:rsidRPr="00586809">
        <w:rPr>
          <w:rFonts w:ascii="Century Gothic" w:hAnsi="Century Gothic"/>
        </w:rPr>
        <w:t xml:space="preserve">When evaluating the impact of the education provided by a school, Ofsted inspectors will consider whether students are ready for the next stage of education, training or employment by the point they leave the school or provision that they attend. This includes the effectiveness of high-quality, impartial careers guidance in enabling students to make progress. Sources of evidence used by </w:t>
      </w:r>
      <w:r w:rsidRPr="00586809">
        <w:rPr>
          <w:rFonts w:ascii="Century Gothic" w:hAnsi="Century Gothic"/>
        </w:rPr>
        <w:lastRenderedPageBreak/>
        <w:t xml:space="preserve">inspectors include nationally published information about the destinations to which students progress when they leave the school. CEC have produced an Ofsted guide which provides </w:t>
      </w:r>
      <w:r w:rsidR="00772D8F">
        <w:rPr>
          <w:rFonts w:ascii="Century Gothic" w:hAnsi="Century Gothic"/>
        </w:rPr>
        <w:t xml:space="preserve">senior leaders </w:t>
      </w:r>
      <w:r w:rsidRPr="00586809">
        <w:rPr>
          <w:rFonts w:ascii="Century Gothic" w:hAnsi="Century Gothic"/>
        </w:rPr>
        <w:t xml:space="preserve">with key questions to support strategic careers planning in their </w:t>
      </w:r>
      <w:r w:rsidR="00772D8F">
        <w:rPr>
          <w:rFonts w:ascii="Century Gothic" w:hAnsi="Century Gothic"/>
        </w:rPr>
        <w:t xml:space="preserve">organization, which is used by Hopefields to ascertain </w:t>
      </w:r>
      <w:r w:rsidR="00D7641A">
        <w:rPr>
          <w:rFonts w:ascii="Century Gothic" w:hAnsi="Century Gothic"/>
        </w:rPr>
        <w:t>the current suitability and impact of the transition plans in place.</w:t>
      </w:r>
    </w:p>
    <w:p w14:paraId="525B9EDC" w14:textId="77777777" w:rsidR="00994AAD" w:rsidRDefault="001B53AD" w:rsidP="00586809">
      <w:pPr>
        <w:tabs>
          <w:tab w:val="left" w:pos="3345"/>
        </w:tabs>
        <w:rPr>
          <w:rFonts w:ascii="Century Gothic" w:hAnsi="Century Gothic"/>
        </w:rPr>
      </w:pPr>
      <w:r w:rsidRPr="00994AAD">
        <w:rPr>
          <w:rFonts w:ascii="Century Gothic" w:hAnsi="Century Gothic"/>
          <w:b/>
          <w:bCs/>
        </w:rPr>
        <w:t>The role of Careers Leader</w:t>
      </w:r>
      <w:r w:rsidRPr="00586809">
        <w:rPr>
          <w:rFonts w:ascii="Century Gothic" w:hAnsi="Century Gothic"/>
        </w:rPr>
        <w:t xml:space="preserve"> </w:t>
      </w:r>
    </w:p>
    <w:p w14:paraId="64B41157" w14:textId="38AD6AEB" w:rsidR="005003EE" w:rsidRPr="00586809" w:rsidRDefault="001B53AD" w:rsidP="00586809">
      <w:pPr>
        <w:tabs>
          <w:tab w:val="left" w:pos="3345"/>
        </w:tabs>
        <w:rPr>
          <w:rFonts w:ascii="Century Gothic" w:hAnsi="Century Gothic"/>
        </w:rPr>
      </w:pPr>
      <w:r w:rsidRPr="00586809">
        <w:rPr>
          <w:rFonts w:ascii="Century Gothic" w:hAnsi="Century Gothic"/>
        </w:rPr>
        <w:t xml:space="preserve">Careers Leaders are responsible and accountable for the delivery of their school’s careers programme. </w:t>
      </w:r>
      <w:r w:rsidR="00D505B1">
        <w:rPr>
          <w:rFonts w:ascii="Century Gothic" w:hAnsi="Century Gothic"/>
        </w:rPr>
        <w:t xml:space="preserve">At Hopefields, the lead for careers </w:t>
      </w:r>
      <w:r w:rsidR="005B2E6C">
        <w:rPr>
          <w:rFonts w:ascii="Century Gothic" w:hAnsi="Century Gothic"/>
        </w:rPr>
        <w:t xml:space="preserve">is </w:t>
      </w:r>
      <w:r w:rsidR="00CE5701">
        <w:rPr>
          <w:rFonts w:ascii="Century Gothic" w:hAnsi="Century Gothic"/>
        </w:rPr>
        <w:t>C</w:t>
      </w:r>
      <w:r w:rsidR="00C457B2">
        <w:rPr>
          <w:rFonts w:ascii="Century Gothic" w:hAnsi="Century Gothic"/>
        </w:rPr>
        <w:t>ameron Lithgo</w:t>
      </w:r>
      <w:r w:rsidR="00CE5701">
        <w:rPr>
          <w:rFonts w:ascii="Century Gothic" w:hAnsi="Century Gothic"/>
        </w:rPr>
        <w:t xml:space="preserve">, </w:t>
      </w:r>
      <w:r w:rsidR="00C457B2">
        <w:rPr>
          <w:rFonts w:ascii="Century Gothic" w:hAnsi="Century Gothic"/>
        </w:rPr>
        <w:t>and the SLT link to careers is Craig Fletcher, assistant head teacher</w:t>
      </w:r>
      <w:r w:rsidR="00CE5701">
        <w:rPr>
          <w:rFonts w:ascii="Century Gothic" w:hAnsi="Century Gothic"/>
        </w:rPr>
        <w:t>.</w:t>
      </w:r>
      <w:r w:rsidR="00D505B1">
        <w:rPr>
          <w:rFonts w:ascii="Century Gothic" w:hAnsi="Century Gothic"/>
        </w:rPr>
        <w:t xml:space="preserve"> </w:t>
      </w:r>
      <w:r w:rsidRPr="00586809">
        <w:rPr>
          <w:rFonts w:ascii="Century Gothic" w:hAnsi="Century Gothic"/>
        </w:rPr>
        <w:t>This role requires the appointed member of staff to have a clear overview of the school’s careers programme and to make sure that the school meets the Gatsby Benchmarks. Schools may choose to structure the Careers Leader role in a range of different ways</w:t>
      </w:r>
      <w:r w:rsidR="004D467F">
        <w:rPr>
          <w:rFonts w:ascii="Century Gothic" w:hAnsi="Century Gothic"/>
        </w:rPr>
        <w:t>.</w:t>
      </w:r>
    </w:p>
    <w:p w14:paraId="2387F1E2" w14:textId="6B991C34" w:rsidR="000458F5" w:rsidRDefault="00FB229F" w:rsidP="006868D0">
      <w:pPr>
        <w:tabs>
          <w:tab w:val="left" w:pos="3345"/>
        </w:tabs>
        <w:rPr>
          <w:rFonts w:ascii="Century Gothic" w:hAnsi="Century Gothic"/>
        </w:rPr>
      </w:pPr>
      <w:r w:rsidRPr="006868D0">
        <w:rPr>
          <w:rFonts w:ascii="Century Gothic" w:hAnsi="Century Gothic"/>
        </w:rPr>
        <w:t>Ideally the Careers Leader should be a member of the senior leadership team.</w:t>
      </w:r>
      <w:r w:rsidR="007216FB">
        <w:rPr>
          <w:rFonts w:ascii="Century Gothic" w:hAnsi="Century Gothic"/>
        </w:rPr>
        <w:t xml:space="preserve"> In the case of Hopefields, </w:t>
      </w:r>
      <w:r w:rsidR="00DF4292" w:rsidRPr="00DF4292">
        <w:rPr>
          <w:rFonts w:ascii="Century Gothic" w:hAnsi="Century Gothic"/>
        </w:rPr>
        <w:t>Craig Fletcher, Assistant Head</w:t>
      </w:r>
      <w:r w:rsidR="00DF4292">
        <w:rPr>
          <w:rFonts w:ascii="Century Gothic" w:hAnsi="Century Gothic"/>
        </w:rPr>
        <w:t xml:space="preserve"> T</w:t>
      </w:r>
      <w:r w:rsidR="00DF4292" w:rsidRPr="00DF4292">
        <w:rPr>
          <w:rFonts w:ascii="Century Gothic" w:hAnsi="Century Gothic"/>
        </w:rPr>
        <w:t xml:space="preserve">eacher </w:t>
      </w:r>
      <w:r w:rsidR="007216FB" w:rsidRPr="00DF4292">
        <w:rPr>
          <w:rFonts w:ascii="Century Gothic" w:hAnsi="Century Gothic"/>
        </w:rPr>
        <w:t>oversees the transition of learners to next steps.</w:t>
      </w:r>
      <w:r w:rsidRPr="006868D0">
        <w:rPr>
          <w:rFonts w:ascii="Century Gothic" w:hAnsi="Century Gothic"/>
        </w:rPr>
        <w:t xml:space="preserve"> </w:t>
      </w:r>
    </w:p>
    <w:p w14:paraId="38CA4CD6" w14:textId="77777777" w:rsidR="00E01DB6" w:rsidRPr="00E01DB6" w:rsidRDefault="00FB229F" w:rsidP="006868D0">
      <w:pPr>
        <w:tabs>
          <w:tab w:val="left" w:pos="3345"/>
        </w:tabs>
        <w:rPr>
          <w:rFonts w:ascii="Century Gothic" w:hAnsi="Century Gothic"/>
          <w:b/>
          <w:bCs/>
        </w:rPr>
      </w:pPr>
      <w:r w:rsidRPr="00E01DB6">
        <w:rPr>
          <w:rFonts w:ascii="Century Gothic" w:hAnsi="Century Gothic"/>
          <w:b/>
          <w:bCs/>
        </w:rPr>
        <w:t xml:space="preserve">The role of </w:t>
      </w:r>
      <w:r w:rsidR="00E01DB6" w:rsidRPr="00E01DB6">
        <w:rPr>
          <w:rFonts w:ascii="Century Gothic" w:hAnsi="Century Gothic"/>
          <w:b/>
          <w:bCs/>
        </w:rPr>
        <w:t>The Directors</w:t>
      </w:r>
      <w:r w:rsidRPr="00E01DB6">
        <w:rPr>
          <w:rFonts w:ascii="Century Gothic" w:hAnsi="Century Gothic"/>
          <w:b/>
          <w:bCs/>
        </w:rPr>
        <w:t xml:space="preserve"> </w:t>
      </w:r>
    </w:p>
    <w:p w14:paraId="7DC54AE5" w14:textId="77777777" w:rsidR="00E01DB6" w:rsidRDefault="00FB229F" w:rsidP="006868D0">
      <w:pPr>
        <w:tabs>
          <w:tab w:val="left" w:pos="3345"/>
        </w:tabs>
        <w:rPr>
          <w:rFonts w:ascii="Century Gothic" w:hAnsi="Century Gothic"/>
        </w:rPr>
      </w:pPr>
      <w:r w:rsidRPr="006868D0">
        <w:rPr>
          <w:rFonts w:ascii="Century Gothic" w:hAnsi="Century Gothic"/>
        </w:rPr>
        <w:t xml:space="preserve">The role of </w:t>
      </w:r>
      <w:r w:rsidR="00E01DB6">
        <w:rPr>
          <w:rFonts w:ascii="Century Gothic" w:hAnsi="Century Gothic"/>
        </w:rPr>
        <w:t>the Directors</w:t>
      </w:r>
      <w:r w:rsidRPr="006868D0">
        <w:rPr>
          <w:rFonts w:ascii="Century Gothic" w:hAnsi="Century Gothic"/>
        </w:rPr>
        <w:t xml:space="preserve"> is </w:t>
      </w:r>
      <w:r w:rsidR="00E01DB6">
        <w:rPr>
          <w:rFonts w:ascii="Century Gothic" w:hAnsi="Century Gothic"/>
        </w:rPr>
        <w:t>crucial in considering the next steps and transition for students.</w:t>
      </w:r>
      <w:r w:rsidRPr="006868D0">
        <w:rPr>
          <w:rFonts w:ascii="Century Gothic" w:hAnsi="Century Gothic"/>
        </w:rPr>
        <w:t xml:space="preserve"> </w:t>
      </w:r>
    </w:p>
    <w:p w14:paraId="74C109AF" w14:textId="2A258DFF" w:rsidR="00E01DB6" w:rsidRDefault="00FB229F" w:rsidP="006868D0">
      <w:pPr>
        <w:tabs>
          <w:tab w:val="left" w:pos="3345"/>
        </w:tabs>
      </w:pPr>
      <w:r w:rsidRPr="006868D0">
        <w:rPr>
          <w:rFonts w:ascii="Century Gothic" w:hAnsi="Century Gothic"/>
        </w:rPr>
        <w:t xml:space="preserve">Specifically, they are required to ensure that: </w:t>
      </w:r>
    </w:p>
    <w:p w14:paraId="5ED24AA2" w14:textId="77777777" w:rsidR="00E01DB6" w:rsidRDefault="00FB229F" w:rsidP="006868D0">
      <w:pPr>
        <w:tabs>
          <w:tab w:val="left" w:pos="3345"/>
        </w:tabs>
      </w:pPr>
      <w:r w:rsidRPr="006868D0">
        <w:rPr>
          <w:rFonts w:ascii="Century Gothic" w:hAnsi="Century Gothic"/>
        </w:rPr>
        <w:t xml:space="preserve">There is a plan which sets out the delivery of the careers programme in the school and how impact will be measured. </w:t>
      </w:r>
    </w:p>
    <w:p w14:paraId="43EF788C" w14:textId="77777777" w:rsidR="00E01DB6" w:rsidRDefault="00FB229F" w:rsidP="006868D0">
      <w:pPr>
        <w:tabs>
          <w:tab w:val="left" w:pos="3345"/>
        </w:tabs>
        <w:rPr>
          <w:rFonts w:ascii="Century Gothic" w:hAnsi="Century Gothic"/>
        </w:rPr>
      </w:pPr>
      <w:r w:rsidRPr="006868D0">
        <w:rPr>
          <w:rFonts w:ascii="Century Gothic" w:hAnsi="Century Gothic"/>
        </w:rPr>
        <w:t>The plan is developed in line with the Gatsby Benchmarks and informed by the statutory</w:t>
      </w:r>
      <w:r w:rsidR="00E01DB6">
        <w:rPr>
          <w:rFonts w:ascii="Century Gothic" w:hAnsi="Century Gothic"/>
        </w:rPr>
        <w:t xml:space="preserve"> </w:t>
      </w:r>
      <w:r w:rsidRPr="006868D0">
        <w:rPr>
          <w:rFonts w:ascii="Century Gothic" w:hAnsi="Century Gothic"/>
        </w:rPr>
        <w:t>guidance.</w:t>
      </w:r>
    </w:p>
    <w:p w14:paraId="24316795" w14:textId="77777777" w:rsidR="00E01DB6" w:rsidRDefault="00FB229F" w:rsidP="006868D0">
      <w:pPr>
        <w:tabs>
          <w:tab w:val="left" w:pos="3345"/>
        </w:tabs>
      </w:pPr>
      <w:r w:rsidRPr="006868D0">
        <w:rPr>
          <w:rFonts w:ascii="Century Gothic" w:hAnsi="Century Gothic"/>
        </w:rPr>
        <w:t xml:space="preserve">Careers guidance offered to students in the school </w:t>
      </w:r>
      <w:r w:rsidR="00E01DB6">
        <w:rPr>
          <w:rFonts w:ascii="Century Gothic" w:hAnsi="Century Gothic"/>
        </w:rPr>
        <w:t>i</w:t>
      </w:r>
      <w:r w:rsidRPr="006868D0">
        <w:rPr>
          <w:rFonts w:ascii="Century Gothic" w:hAnsi="Century Gothic"/>
        </w:rPr>
        <w:t xml:space="preserve">ncludes information on the range of education or training options, including apprenticeships and technical education routes </w:t>
      </w:r>
    </w:p>
    <w:p w14:paraId="2A4B69C6" w14:textId="77777777" w:rsidR="00E01DB6" w:rsidRDefault="00FB229F" w:rsidP="006868D0">
      <w:pPr>
        <w:tabs>
          <w:tab w:val="left" w:pos="3345"/>
        </w:tabs>
      </w:pPr>
      <w:r w:rsidRPr="006868D0">
        <w:rPr>
          <w:rFonts w:ascii="Century Gothic" w:hAnsi="Century Gothic"/>
        </w:rPr>
        <w:t xml:space="preserve">The careers guidance offered is impartial – it shows no bias or favouritism towards a particular institution, education or work option. </w:t>
      </w:r>
    </w:p>
    <w:p w14:paraId="02184FEC" w14:textId="77777777" w:rsidR="00E01DB6" w:rsidRDefault="00FB229F" w:rsidP="006868D0">
      <w:pPr>
        <w:tabs>
          <w:tab w:val="left" w:pos="3345"/>
        </w:tabs>
        <w:rPr>
          <w:rFonts w:ascii="Century Gothic" w:hAnsi="Century Gothic"/>
        </w:rPr>
      </w:pPr>
      <w:r w:rsidRPr="006868D0">
        <w:rPr>
          <w:rFonts w:ascii="Century Gothic" w:hAnsi="Century Gothic"/>
        </w:rPr>
        <w:t xml:space="preserve">Those giving careers guidance to students in the school promote the best interests of the students to whom it is given. </w:t>
      </w:r>
    </w:p>
    <w:p w14:paraId="331D8C5D" w14:textId="77777777" w:rsidR="00E01DB6" w:rsidRDefault="00FB229F" w:rsidP="006868D0">
      <w:pPr>
        <w:tabs>
          <w:tab w:val="left" w:pos="3345"/>
        </w:tabs>
      </w:pPr>
      <w:r w:rsidRPr="006868D0">
        <w:rPr>
          <w:rFonts w:ascii="Century Gothic" w:hAnsi="Century Gothic"/>
        </w:rPr>
        <w:t xml:space="preserve">To fulfil their role and meet the expectations boards will need to: </w:t>
      </w:r>
    </w:p>
    <w:p w14:paraId="119A2C3D" w14:textId="67DA634D" w:rsidR="00E01DB6" w:rsidRDefault="00FB229F" w:rsidP="006868D0">
      <w:pPr>
        <w:tabs>
          <w:tab w:val="left" w:pos="3345"/>
        </w:tabs>
      </w:pPr>
      <w:r w:rsidRPr="006868D0">
        <w:rPr>
          <w:rFonts w:ascii="Century Gothic" w:hAnsi="Century Gothic"/>
        </w:rPr>
        <w:t xml:space="preserve">Review the plan for providing careers guidance as a regular agenda item and use the opportunity to discuss delivery and impact with </w:t>
      </w:r>
      <w:r w:rsidR="00E01DB6">
        <w:rPr>
          <w:rFonts w:ascii="Century Gothic" w:hAnsi="Century Gothic"/>
        </w:rPr>
        <w:t xml:space="preserve">the </w:t>
      </w:r>
      <w:r w:rsidRPr="006868D0">
        <w:rPr>
          <w:rFonts w:ascii="Century Gothic" w:hAnsi="Century Gothic"/>
        </w:rPr>
        <w:t xml:space="preserve">Careers Leader. </w:t>
      </w:r>
    </w:p>
    <w:p w14:paraId="1BE4EFF9" w14:textId="77777777" w:rsidR="00E01DB6" w:rsidRDefault="00FB229F" w:rsidP="006868D0">
      <w:pPr>
        <w:tabs>
          <w:tab w:val="left" w:pos="3345"/>
        </w:tabs>
        <w:rPr>
          <w:rFonts w:ascii="Century Gothic" w:hAnsi="Century Gothic"/>
        </w:rPr>
      </w:pPr>
      <w:r w:rsidRPr="006868D0">
        <w:rPr>
          <w:rFonts w:ascii="Century Gothic" w:hAnsi="Century Gothic"/>
        </w:rPr>
        <w:lastRenderedPageBreak/>
        <w:t xml:space="preserve">Monitor and evaluate the impact of the plan using reports and information gained from a number of sources. </w:t>
      </w:r>
    </w:p>
    <w:p w14:paraId="3EDE3752" w14:textId="77777777" w:rsidR="00E01DB6" w:rsidRDefault="00FB229F" w:rsidP="006868D0">
      <w:pPr>
        <w:tabs>
          <w:tab w:val="left" w:pos="3345"/>
        </w:tabs>
      </w:pPr>
      <w:r w:rsidRPr="00E01DB6">
        <w:rPr>
          <w:rFonts w:ascii="Century Gothic" w:hAnsi="Century Gothic"/>
          <w:b/>
          <w:bCs/>
        </w:rPr>
        <w:t>Support from The Careers and Enterprise Company</w:t>
      </w:r>
      <w:r w:rsidRPr="006868D0">
        <w:rPr>
          <w:rFonts w:ascii="Century Gothic" w:hAnsi="Century Gothic"/>
        </w:rPr>
        <w:t xml:space="preserve"> </w:t>
      </w:r>
    </w:p>
    <w:p w14:paraId="34FBF26B" w14:textId="1CE733B4" w:rsidR="00FB229F" w:rsidRPr="006868D0" w:rsidRDefault="00FB229F" w:rsidP="006868D0">
      <w:pPr>
        <w:tabs>
          <w:tab w:val="left" w:pos="3345"/>
        </w:tabs>
        <w:rPr>
          <w:rFonts w:ascii="Century Gothic" w:hAnsi="Century Gothic"/>
        </w:rPr>
      </w:pPr>
      <w:r w:rsidRPr="006868D0">
        <w:rPr>
          <w:rFonts w:ascii="Century Gothic" w:hAnsi="Century Gothic"/>
        </w:rPr>
        <w:t xml:space="preserve">The CEC have a free online learning module designed to support </w:t>
      </w:r>
      <w:r w:rsidR="00E01DB6">
        <w:rPr>
          <w:rFonts w:ascii="Century Gothic" w:hAnsi="Century Gothic"/>
        </w:rPr>
        <w:t xml:space="preserve">Directors, staff and stakeholders </w:t>
      </w:r>
      <w:r w:rsidRPr="006868D0">
        <w:rPr>
          <w:rFonts w:ascii="Century Gothic" w:hAnsi="Century Gothic"/>
        </w:rPr>
        <w:t>with the knowledge they need to ensure that all students receive high quality careers education.</w:t>
      </w:r>
      <w:r w:rsidR="00E01DB6">
        <w:rPr>
          <w:rFonts w:ascii="Century Gothic" w:hAnsi="Century Gothic"/>
        </w:rPr>
        <w:t xml:space="preserve"> </w:t>
      </w:r>
      <w:r w:rsidRPr="006868D0">
        <w:rPr>
          <w:rFonts w:ascii="Century Gothic" w:hAnsi="Century Gothic"/>
        </w:rPr>
        <w:t>There is also an area of The CEC’s resource directory dedicated to governors and trustees which includes further guidance, support and ongoing CPD opportunities</w:t>
      </w:r>
      <w:r w:rsidR="00E01DB6">
        <w:rPr>
          <w:rFonts w:ascii="Century Gothic" w:hAnsi="Century Gothic"/>
        </w:rPr>
        <w:t xml:space="preserve"> which is useful and used by Hopefields </w:t>
      </w:r>
      <w:r w:rsidR="00302B43">
        <w:rPr>
          <w:rFonts w:ascii="Century Gothic" w:hAnsi="Century Gothic"/>
        </w:rPr>
        <w:t>School to consider our own practice and the current transition model in place for</w:t>
      </w:r>
      <w:r w:rsidR="00274CBE">
        <w:rPr>
          <w:rFonts w:ascii="Century Gothic" w:hAnsi="Century Gothic"/>
        </w:rPr>
        <w:t xml:space="preserve"> </w:t>
      </w:r>
      <w:r w:rsidR="00302B43">
        <w:rPr>
          <w:rFonts w:ascii="Century Gothic" w:hAnsi="Century Gothic"/>
        </w:rPr>
        <w:t>students.</w:t>
      </w:r>
      <w:r w:rsidR="00530751">
        <w:rPr>
          <w:rFonts w:ascii="Century Gothic" w:hAnsi="Century Gothic"/>
        </w:rPr>
        <w:t xml:space="preserve"> Hopefields’ staff r</w:t>
      </w:r>
      <w:r w:rsidRPr="006868D0">
        <w:rPr>
          <w:rFonts w:ascii="Century Gothic" w:hAnsi="Century Gothic"/>
        </w:rPr>
        <w:t>egister for The Careers &amp; Enterprise Company Governor Digest to stay up to date with the latest policy developments, CPD and resources</w:t>
      </w:r>
      <w:r w:rsidR="00530751">
        <w:rPr>
          <w:rFonts w:ascii="Century Gothic" w:hAnsi="Century Gothic"/>
        </w:rPr>
        <w:t>.</w:t>
      </w:r>
    </w:p>
    <w:p w14:paraId="3B67B421" w14:textId="77777777" w:rsidR="0007773A" w:rsidRPr="0007773A" w:rsidRDefault="00AC4C09" w:rsidP="0007773A">
      <w:pPr>
        <w:tabs>
          <w:tab w:val="left" w:pos="3345"/>
        </w:tabs>
        <w:rPr>
          <w:rFonts w:ascii="Century Gothic" w:hAnsi="Century Gothic"/>
          <w:b/>
          <w:bCs/>
        </w:rPr>
      </w:pPr>
      <w:r w:rsidRPr="0007773A">
        <w:rPr>
          <w:rFonts w:ascii="Century Gothic" w:hAnsi="Century Gothic"/>
          <w:b/>
          <w:bCs/>
        </w:rPr>
        <w:t xml:space="preserve">Using the Gatsby Benchmarks </w:t>
      </w:r>
    </w:p>
    <w:p w14:paraId="159CC39D" w14:textId="77777777" w:rsidR="0007773A" w:rsidRDefault="00AC4C09" w:rsidP="0007773A">
      <w:pPr>
        <w:tabs>
          <w:tab w:val="left" w:pos="3345"/>
        </w:tabs>
        <w:rPr>
          <w:rFonts w:ascii="Century Gothic" w:hAnsi="Century Gothic"/>
        </w:rPr>
      </w:pPr>
      <w:r w:rsidRPr="0007773A">
        <w:rPr>
          <w:rFonts w:ascii="Century Gothic" w:hAnsi="Century Gothic"/>
        </w:rPr>
        <w:t xml:space="preserve">The Gatsby Benchmarks describe all the elements of good careers guidance in schools. Testing in pilots showed that with good leadership and a clear sense of purpose, the Benchmarks are achievable by each and every school. </w:t>
      </w:r>
    </w:p>
    <w:p w14:paraId="4A7BE940" w14:textId="77777777" w:rsidR="0007773A" w:rsidRDefault="00AC4C09" w:rsidP="0007773A">
      <w:pPr>
        <w:tabs>
          <w:tab w:val="left" w:pos="3345"/>
        </w:tabs>
        <w:rPr>
          <w:rFonts w:ascii="Century Gothic" w:hAnsi="Century Gothic"/>
        </w:rPr>
      </w:pPr>
      <w:r w:rsidRPr="0007773A">
        <w:rPr>
          <w:rFonts w:ascii="Century Gothic" w:hAnsi="Century Gothic"/>
        </w:rPr>
        <w:t xml:space="preserve">The eight benchmarks are: </w:t>
      </w:r>
    </w:p>
    <w:p w14:paraId="14D07C15" w14:textId="77777777" w:rsidR="0007773A" w:rsidRDefault="00AC4C09" w:rsidP="0007773A">
      <w:pPr>
        <w:tabs>
          <w:tab w:val="left" w:pos="3345"/>
        </w:tabs>
        <w:rPr>
          <w:rFonts w:ascii="Century Gothic" w:hAnsi="Century Gothic"/>
        </w:rPr>
      </w:pPr>
      <w:r w:rsidRPr="0007773A">
        <w:rPr>
          <w:rFonts w:ascii="Century Gothic" w:hAnsi="Century Gothic"/>
        </w:rPr>
        <w:t xml:space="preserve">1. a stable careers programme </w:t>
      </w:r>
    </w:p>
    <w:p w14:paraId="118B0B61" w14:textId="77777777" w:rsidR="0007773A" w:rsidRDefault="00AC4C09" w:rsidP="0007773A">
      <w:pPr>
        <w:tabs>
          <w:tab w:val="left" w:pos="3345"/>
        </w:tabs>
        <w:rPr>
          <w:rFonts w:ascii="Century Gothic" w:hAnsi="Century Gothic"/>
        </w:rPr>
      </w:pPr>
      <w:r w:rsidRPr="0007773A">
        <w:rPr>
          <w:rFonts w:ascii="Century Gothic" w:hAnsi="Century Gothic"/>
        </w:rPr>
        <w:t xml:space="preserve">2. learning from career and labour market information </w:t>
      </w:r>
    </w:p>
    <w:p w14:paraId="239B51FF" w14:textId="41AED3F5" w:rsidR="0007773A" w:rsidRDefault="00AC4C09" w:rsidP="0007773A">
      <w:pPr>
        <w:tabs>
          <w:tab w:val="left" w:pos="3345"/>
        </w:tabs>
        <w:rPr>
          <w:rFonts w:ascii="Century Gothic" w:hAnsi="Century Gothic"/>
        </w:rPr>
      </w:pPr>
      <w:r w:rsidRPr="0007773A">
        <w:rPr>
          <w:rFonts w:ascii="Century Gothic" w:hAnsi="Century Gothic"/>
        </w:rPr>
        <w:t xml:space="preserve">3. addressing the needs of each </w:t>
      </w:r>
      <w:r w:rsidR="0007773A">
        <w:rPr>
          <w:rFonts w:ascii="Century Gothic" w:hAnsi="Century Gothic"/>
        </w:rPr>
        <w:t>student</w:t>
      </w:r>
    </w:p>
    <w:p w14:paraId="6665C47D" w14:textId="77777777" w:rsidR="0007773A" w:rsidRDefault="00AC4C09" w:rsidP="0007773A">
      <w:pPr>
        <w:tabs>
          <w:tab w:val="left" w:pos="3345"/>
        </w:tabs>
        <w:rPr>
          <w:rFonts w:ascii="Century Gothic" w:hAnsi="Century Gothic"/>
        </w:rPr>
      </w:pPr>
      <w:r w:rsidRPr="0007773A">
        <w:rPr>
          <w:rFonts w:ascii="Century Gothic" w:hAnsi="Century Gothic"/>
        </w:rPr>
        <w:t xml:space="preserve">4. linking curriculum learning to careers </w:t>
      </w:r>
    </w:p>
    <w:p w14:paraId="698D6AD1" w14:textId="77777777" w:rsidR="0007773A" w:rsidRDefault="00AC4C09" w:rsidP="0007773A">
      <w:pPr>
        <w:tabs>
          <w:tab w:val="left" w:pos="3345"/>
        </w:tabs>
        <w:rPr>
          <w:rFonts w:ascii="Century Gothic" w:hAnsi="Century Gothic"/>
        </w:rPr>
      </w:pPr>
      <w:r w:rsidRPr="0007773A">
        <w:rPr>
          <w:rFonts w:ascii="Century Gothic" w:hAnsi="Century Gothic"/>
        </w:rPr>
        <w:t xml:space="preserve">5. encounters with employers and employees </w:t>
      </w:r>
    </w:p>
    <w:p w14:paraId="683DAEB7" w14:textId="77777777" w:rsidR="0007773A" w:rsidRDefault="00AC4C09" w:rsidP="0007773A">
      <w:pPr>
        <w:tabs>
          <w:tab w:val="left" w:pos="3345"/>
        </w:tabs>
        <w:rPr>
          <w:rFonts w:ascii="Century Gothic" w:hAnsi="Century Gothic"/>
        </w:rPr>
      </w:pPr>
      <w:r w:rsidRPr="0007773A">
        <w:rPr>
          <w:rFonts w:ascii="Century Gothic" w:hAnsi="Century Gothic"/>
        </w:rPr>
        <w:t xml:space="preserve">6. experiences of workplaces </w:t>
      </w:r>
    </w:p>
    <w:p w14:paraId="297A8B03" w14:textId="77777777" w:rsidR="0007773A" w:rsidRDefault="00AC4C09" w:rsidP="0007773A">
      <w:pPr>
        <w:tabs>
          <w:tab w:val="left" w:pos="3345"/>
        </w:tabs>
        <w:rPr>
          <w:rFonts w:ascii="Century Gothic" w:hAnsi="Century Gothic"/>
        </w:rPr>
      </w:pPr>
      <w:r w:rsidRPr="0007773A">
        <w:rPr>
          <w:rFonts w:ascii="Century Gothic" w:hAnsi="Century Gothic"/>
        </w:rPr>
        <w:t xml:space="preserve">7. encounters with further and higher education </w:t>
      </w:r>
    </w:p>
    <w:p w14:paraId="236EA5D0" w14:textId="77777777" w:rsidR="0007773A" w:rsidRDefault="00AC4C09" w:rsidP="0007773A">
      <w:pPr>
        <w:tabs>
          <w:tab w:val="left" w:pos="3345"/>
        </w:tabs>
        <w:rPr>
          <w:rFonts w:ascii="Century Gothic" w:hAnsi="Century Gothic"/>
        </w:rPr>
      </w:pPr>
      <w:r w:rsidRPr="0007773A">
        <w:rPr>
          <w:rFonts w:ascii="Century Gothic" w:hAnsi="Century Gothic"/>
        </w:rPr>
        <w:t xml:space="preserve">8. personal guidance </w:t>
      </w:r>
    </w:p>
    <w:p w14:paraId="038AB496" w14:textId="1F9D84F0" w:rsidR="00AF7068" w:rsidRPr="008E5518" w:rsidRDefault="00AC4C09" w:rsidP="008E5518">
      <w:pPr>
        <w:tabs>
          <w:tab w:val="left" w:pos="3345"/>
        </w:tabs>
        <w:rPr>
          <w:rFonts w:ascii="Century Gothic" w:hAnsi="Century Gothic"/>
        </w:rPr>
      </w:pPr>
      <w:r w:rsidRPr="0007773A">
        <w:rPr>
          <w:rFonts w:ascii="Century Gothic" w:hAnsi="Century Gothic"/>
        </w:rPr>
        <w:t xml:space="preserve">Although there are eight individual benchmarks, these should also be considered as a whole, reflecting the </w:t>
      </w:r>
      <w:r w:rsidR="0007773A">
        <w:rPr>
          <w:rFonts w:ascii="Century Gothic" w:hAnsi="Century Gothic"/>
        </w:rPr>
        <w:t xml:space="preserve">Hopefields </w:t>
      </w:r>
      <w:r w:rsidRPr="0007773A">
        <w:rPr>
          <w:rFonts w:ascii="Century Gothic" w:hAnsi="Century Gothic"/>
        </w:rPr>
        <w:t xml:space="preserve">vision for careers education and personal development. There is cross-over </w:t>
      </w:r>
      <w:r w:rsidRPr="0007773A">
        <w:rPr>
          <w:rFonts w:ascii="Century Gothic" w:hAnsi="Century Gothic"/>
        </w:rPr>
        <w:lastRenderedPageBreak/>
        <w:t>between benchmarks; blending them leads to an embedded, whole school approach</w:t>
      </w:r>
      <w:r w:rsidR="0007773A">
        <w:rPr>
          <w:rFonts w:ascii="Century Gothic" w:hAnsi="Century Gothic"/>
        </w:rPr>
        <w:t xml:space="preserve">, which is our overarching aim to ensure the best life chances for all </w:t>
      </w:r>
      <w:r w:rsidR="008E5518">
        <w:rPr>
          <w:rFonts w:ascii="Century Gothic" w:hAnsi="Century Gothic"/>
        </w:rPr>
        <w:t>young people who attend Hopefields School.</w:t>
      </w:r>
    </w:p>
    <w:p w14:paraId="511E0C5C" w14:textId="77777777" w:rsidR="00AF7068" w:rsidRDefault="00AF7068" w:rsidP="00AF7068">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08CD15AB" w14:textId="77777777" w:rsidR="00AF7068" w:rsidRDefault="00AF7068" w:rsidP="00AF7068">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8"/>
        <w:gridCol w:w="3885"/>
        <w:gridCol w:w="3724"/>
        <w:gridCol w:w="1663"/>
      </w:tblGrid>
      <w:tr w:rsidR="00994AAD" w14:paraId="20939F0F" w14:textId="77777777" w:rsidTr="00B92B40">
        <w:tc>
          <w:tcPr>
            <w:tcW w:w="1518" w:type="dxa"/>
            <w:tcBorders>
              <w:top w:val="single" w:sz="4" w:space="0" w:color="auto"/>
              <w:left w:val="single" w:sz="4" w:space="0" w:color="auto"/>
              <w:bottom w:val="single" w:sz="4" w:space="0" w:color="auto"/>
              <w:right w:val="single" w:sz="4" w:space="0" w:color="auto"/>
            </w:tcBorders>
            <w:hideMark/>
          </w:tcPr>
          <w:p w14:paraId="3EC4F858"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885" w:type="dxa"/>
            <w:tcBorders>
              <w:top w:val="single" w:sz="4" w:space="0" w:color="auto"/>
              <w:left w:val="single" w:sz="4" w:space="0" w:color="auto"/>
              <w:bottom w:val="single" w:sz="4" w:space="0" w:color="auto"/>
              <w:right w:val="single" w:sz="4" w:space="0" w:color="auto"/>
            </w:tcBorders>
            <w:hideMark/>
          </w:tcPr>
          <w:p w14:paraId="25781CC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724" w:type="dxa"/>
            <w:tcBorders>
              <w:top w:val="single" w:sz="4" w:space="0" w:color="auto"/>
              <w:left w:val="single" w:sz="4" w:space="0" w:color="auto"/>
              <w:bottom w:val="single" w:sz="4" w:space="0" w:color="auto"/>
              <w:right w:val="single" w:sz="4" w:space="0" w:color="auto"/>
            </w:tcBorders>
            <w:hideMark/>
          </w:tcPr>
          <w:p w14:paraId="0BF53C8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63" w:type="dxa"/>
            <w:tcBorders>
              <w:top w:val="single" w:sz="4" w:space="0" w:color="auto"/>
              <w:left w:val="single" w:sz="4" w:space="0" w:color="auto"/>
              <w:bottom w:val="single" w:sz="4" w:space="0" w:color="auto"/>
              <w:right w:val="single" w:sz="4" w:space="0" w:color="auto"/>
            </w:tcBorders>
            <w:hideMark/>
          </w:tcPr>
          <w:p w14:paraId="5A2034BA" w14:textId="77777777" w:rsidR="00AF7068" w:rsidRDefault="00AF7068" w:rsidP="000F4B09">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994AAD" w14:paraId="4CC58B27" w14:textId="77777777" w:rsidTr="00B92B40">
        <w:tc>
          <w:tcPr>
            <w:tcW w:w="1518" w:type="dxa"/>
            <w:tcBorders>
              <w:top w:val="single" w:sz="4" w:space="0" w:color="auto"/>
              <w:left w:val="single" w:sz="4" w:space="0" w:color="auto"/>
              <w:bottom w:val="single" w:sz="4" w:space="0" w:color="auto"/>
              <w:right w:val="single" w:sz="4" w:space="0" w:color="auto"/>
            </w:tcBorders>
          </w:tcPr>
          <w:p w14:paraId="5A49D3F8" w14:textId="128602FB" w:rsidR="00AF7068" w:rsidRDefault="008D52F9" w:rsidP="000F4B09">
            <w:pPr>
              <w:rPr>
                <w:rFonts w:ascii="Century Gothic" w:eastAsiaTheme="minorEastAsia" w:hAnsi="Century Gothic" w:cs="Times New Roman"/>
              </w:rPr>
            </w:pPr>
            <w:r>
              <w:rPr>
                <w:rFonts w:ascii="Century Gothic" w:eastAsiaTheme="minorEastAsia" w:hAnsi="Century Gothic" w:cs="Times New Roman"/>
              </w:rPr>
              <w:t>14.04.2023</w:t>
            </w:r>
          </w:p>
        </w:tc>
        <w:tc>
          <w:tcPr>
            <w:tcW w:w="3885" w:type="dxa"/>
            <w:tcBorders>
              <w:top w:val="single" w:sz="4" w:space="0" w:color="auto"/>
              <w:left w:val="single" w:sz="4" w:space="0" w:color="auto"/>
              <w:bottom w:val="single" w:sz="4" w:space="0" w:color="auto"/>
              <w:right w:val="single" w:sz="4" w:space="0" w:color="auto"/>
            </w:tcBorders>
          </w:tcPr>
          <w:p w14:paraId="5D55C2E9" w14:textId="6412D7D2"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Careers Lead changed to Cameron Lithgo</w:t>
            </w:r>
          </w:p>
        </w:tc>
        <w:tc>
          <w:tcPr>
            <w:tcW w:w="3724" w:type="dxa"/>
            <w:tcBorders>
              <w:top w:val="single" w:sz="4" w:space="0" w:color="auto"/>
              <w:left w:val="single" w:sz="4" w:space="0" w:color="auto"/>
              <w:bottom w:val="single" w:sz="4" w:space="0" w:color="auto"/>
              <w:right w:val="single" w:sz="4" w:space="0" w:color="auto"/>
            </w:tcBorders>
          </w:tcPr>
          <w:p w14:paraId="3E233B1D" w14:textId="217F07A2"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Staff Handbook to also be changed.</w:t>
            </w:r>
          </w:p>
        </w:tc>
        <w:tc>
          <w:tcPr>
            <w:tcW w:w="1663" w:type="dxa"/>
            <w:tcBorders>
              <w:top w:val="single" w:sz="4" w:space="0" w:color="auto"/>
              <w:left w:val="single" w:sz="4" w:space="0" w:color="auto"/>
              <w:bottom w:val="single" w:sz="4" w:space="0" w:color="auto"/>
              <w:right w:val="single" w:sz="4" w:space="0" w:color="auto"/>
            </w:tcBorders>
          </w:tcPr>
          <w:p w14:paraId="689F9289" w14:textId="42C5369A" w:rsidR="00AF7068" w:rsidRDefault="0096641E" w:rsidP="000F4B09">
            <w:pPr>
              <w:rPr>
                <w:rFonts w:ascii="Century Gothic" w:eastAsiaTheme="minorEastAsia" w:hAnsi="Century Gothic" w:cs="Times New Roman"/>
              </w:rPr>
            </w:pPr>
            <w:r>
              <w:rPr>
                <w:rFonts w:ascii="Century Gothic" w:eastAsiaTheme="minorEastAsia" w:hAnsi="Century Gothic" w:cs="Times New Roman"/>
              </w:rPr>
              <w:t>EG</w:t>
            </w:r>
          </w:p>
        </w:tc>
      </w:tr>
      <w:tr w:rsidR="00994AAD" w14:paraId="3B5B2C0A" w14:textId="77777777" w:rsidTr="00B92B40">
        <w:tc>
          <w:tcPr>
            <w:tcW w:w="1518" w:type="dxa"/>
            <w:tcBorders>
              <w:top w:val="single" w:sz="4" w:space="0" w:color="auto"/>
              <w:left w:val="single" w:sz="4" w:space="0" w:color="auto"/>
              <w:bottom w:val="single" w:sz="4" w:space="0" w:color="auto"/>
              <w:right w:val="single" w:sz="4" w:space="0" w:color="auto"/>
            </w:tcBorders>
          </w:tcPr>
          <w:p w14:paraId="51783AE6" w14:textId="43C3ECF1"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29.06.2023</w:t>
            </w:r>
          </w:p>
        </w:tc>
        <w:tc>
          <w:tcPr>
            <w:tcW w:w="3885" w:type="dxa"/>
            <w:tcBorders>
              <w:top w:val="single" w:sz="4" w:space="0" w:color="auto"/>
              <w:left w:val="single" w:sz="4" w:space="0" w:color="auto"/>
              <w:bottom w:val="single" w:sz="4" w:space="0" w:color="auto"/>
              <w:right w:val="single" w:sz="4" w:space="0" w:color="auto"/>
            </w:tcBorders>
          </w:tcPr>
          <w:p w14:paraId="0C785A55" w14:textId="7DD73EDB"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Included the Provider Access Statement</w:t>
            </w:r>
          </w:p>
        </w:tc>
        <w:tc>
          <w:tcPr>
            <w:tcW w:w="3724" w:type="dxa"/>
            <w:tcBorders>
              <w:top w:val="single" w:sz="4" w:space="0" w:color="auto"/>
              <w:left w:val="single" w:sz="4" w:space="0" w:color="auto"/>
              <w:bottom w:val="single" w:sz="4" w:space="0" w:color="auto"/>
              <w:right w:val="single" w:sz="4" w:space="0" w:color="auto"/>
            </w:tcBorders>
          </w:tcPr>
          <w:p w14:paraId="002E1B04" w14:textId="30AB45CC"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Update on website</w:t>
            </w:r>
          </w:p>
        </w:tc>
        <w:tc>
          <w:tcPr>
            <w:tcW w:w="1663" w:type="dxa"/>
            <w:tcBorders>
              <w:top w:val="single" w:sz="4" w:space="0" w:color="auto"/>
              <w:left w:val="single" w:sz="4" w:space="0" w:color="auto"/>
              <w:bottom w:val="single" w:sz="4" w:space="0" w:color="auto"/>
              <w:right w:val="single" w:sz="4" w:space="0" w:color="auto"/>
            </w:tcBorders>
          </w:tcPr>
          <w:p w14:paraId="03CF1B69" w14:textId="2D0A873D" w:rsidR="00AF7068" w:rsidRDefault="00274CBE" w:rsidP="000F4B09">
            <w:pPr>
              <w:rPr>
                <w:rFonts w:ascii="Century Gothic" w:eastAsiaTheme="minorEastAsia" w:hAnsi="Century Gothic" w:cs="Times New Roman"/>
              </w:rPr>
            </w:pPr>
            <w:r>
              <w:rPr>
                <w:rFonts w:ascii="Century Gothic" w:eastAsiaTheme="minorEastAsia" w:hAnsi="Century Gothic" w:cs="Times New Roman"/>
              </w:rPr>
              <w:t>CF</w:t>
            </w:r>
          </w:p>
        </w:tc>
      </w:tr>
      <w:tr w:rsidR="005F4A87" w14:paraId="36278259" w14:textId="77777777" w:rsidTr="00B92B40">
        <w:tc>
          <w:tcPr>
            <w:tcW w:w="1518" w:type="dxa"/>
            <w:tcBorders>
              <w:top w:val="single" w:sz="4" w:space="0" w:color="auto"/>
              <w:left w:val="single" w:sz="4" w:space="0" w:color="auto"/>
              <w:bottom w:val="single" w:sz="4" w:space="0" w:color="auto"/>
              <w:right w:val="single" w:sz="4" w:space="0" w:color="auto"/>
            </w:tcBorders>
          </w:tcPr>
          <w:p w14:paraId="39EF2289" w14:textId="16D72BC8"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11.10.2023</w:t>
            </w:r>
          </w:p>
        </w:tc>
        <w:tc>
          <w:tcPr>
            <w:tcW w:w="3885" w:type="dxa"/>
            <w:tcBorders>
              <w:top w:val="single" w:sz="4" w:space="0" w:color="auto"/>
              <w:left w:val="single" w:sz="4" w:space="0" w:color="auto"/>
              <w:bottom w:val="single" w:sz="4" w:space="0" w:color="auto"/>
              <w:right w:val="single" w:sz="4" w:space="0" w:color="auto"/>
            </w:tcBorders>
          </w:tcPr>
          <w:p w14:paraId="7F35976B" w14:textId="77777777"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Career lead changed to Cameron Lithgo with a link to SLT as Craig Fletcher.</w:t>
            </w:r>
          </w:p>
          <w:p w14:paraId="260CA8A7" w14:textId="6BDBD7D8" w:rsidR="005F4A87" w:rsidRDefault="005F4A87" w:rsidP="000F4B09">
            <w:pPr>
              <w:rPr>
                <w:rFonts w:ascii="Century Gothic" w:eastAsiaTheme="minorEastAsia" w:hAnsi="Century Gothic" w:cs="Times New Roman"/>
              </w:rPr>
            </w:pPr>
          </w:p>
        </w:tc>
        <w:tc>
          <w:tcPr>
            <w:tcW w:w="3724" w:type="dxa"/>
            <w:tcBorders>
              <w:top w:val="single" w:sz="4" w:space="0" w:color="auto"/>
              <w:left w:val="single" w:sz="4" w:space="0" w:color="auto"/>
              <w:bottom w:val="single" w:sz="4" w:space="0" w:color="auto"/>
              <w:right w:val="single" w:sz="4" w:space="0" w:color="auto"/>
            </w:tcBorders>
          </w:tcPr>
          <w:p w14:paraId="4EAEE210" w14:textId="4E25F65B"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 xml:space="preserve">Update to website </w:t>
            </w:r>
          </w:p>
        </w:tc>
        <w:tc>
          <w:tcPr>
            <w:tcW w:w="1663" w:type="dxa"/>
            <w:tcBorders>
              <w:top w:val="single" w:sz="4" w:space="0" w:color="auto"/>
              <w:left w:val="single" w:sz="4" w:space="0" w:color="auto"/>
              <w:bottom w:val="single" w:sz="4" w:space="0" w:color="auto"/>
              <w:right w:val="single" w:sz="4" w:space="0" w:color="auto"/>
            </w:tcBorders>
          </w:tcPr>
          <w:p w14:paraId="26236006" w14:textId="51967937" w:rsidR="005F4A87" w:rsidRDefault="005F4A87" w:rsidP="000F4B09">
            <w:pPr>
              <w:rPr>
                <w:rFonts w:ascii="Century Gothic" w:eastAsiaTheme="minorEastAsia" w:hAnsi="Century Gothic" w:cs="Times New Roman"/>
              </w:rPr>
            </w:pPr>
            <w:r>
              <w:rPr>
                <w:rFonts w:ascii="Century Gothic" w:eastAsiaTheme="minorEastAsia" w:hAnsi="Century Gothic" w:cs="Times New Roman"/>
              </w:rPr>
              <w:t>CF</w:t>
            </w:r>
          </w:p>
        </w:tc>
      </w:tr>
      <w:tr w:rsidR="00160F24" w14:paraId="2A978F76" w14:textId="77777777" w:rsidTr="00B92B40">
        <w:tc>
          <w:tcPr>
            <w:tcW w:w="1518" w:type="dxa"/>
            <w:tcBorders>
              <w:top w:val="single" w:sz="4" w:space="0" w:color="auto"/>
              <w:left w:val="single" w:sz="4" w:space="0" w:color="auto"/>
              <w:bottom w:val="single" w:sz="4" w:space="0" w:color="auto"/>
              <w:right w:val="single" w:sz="4" w:space="0" w:color="auto"/>
            </w:tcBorders>
          </w:tcPr>
          <w:p w14:paraId="4E00E646" w14:textId="32977C68"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30.11.24</w:t>
            </w:r>
          </w:p>
        </w:tc>
        <w:tc>
          <w:tcPr>
            <w:tcW w:w="3885" w:type="dxa"/>
            <w:tcBorders>
              <w:top w:val="single" w:sz="4" w:space="0" w:color="auto"/>
              <w:left w:val="single" w:sz="4" w:space="0" w:color="auto"/>
              <w:bottom w:val="single" w:sz="4" w:space="0" w:color="auto"/>
              <w:right w:val="single" w:sz="4" w:space="0" w:color="auto"/>
            </w:tcBorders>
          </w:tcPr>
          <w:p w14:paraId="138EEBB7" w14:textId="07452B35"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Review</w:t>
            </w:r>
          </w:p>
        </w:tc>
        <w:tc>
          <w:tcPr>
            <w:tcW w:w="3724" w:type="dxa"/>
            <w:tcBorders>
              <w:top w:val="single" w:sz="4" w:space="0" w:color="auto"/>
              <w:left w:val="single" w:sz="4" w:space="0" w:color="auto"/>
              <w:bottom w:val="single" w:sz="4" w:space="0" w:color="auto"/>
              <w:right w:val="single" w:sz="4" w:space="0" w:color="auto"/>
            </w:tcBorders>
          </w:tcPr>
          <w:p w14:paraId="6CF58E9D" w14:textId="77777777" w:rsidR="00160F24" w:rsidRDefault="00160F24" w:rsidP="000F4B09">
            <w:pPr>
              <w:rPr>
                <w:rFonts w:ascii="Century Gothic" w:eastAsiaTheme="minorEastAsia" w:hAnsi="Century Gothic" w:cs="Times New Roman"/>
              </w:rPr>
            </w:pPr>
          </w:p>
        </w:tc>
        <w:tc>
          <w:tcPr>
            <w:tcW w:w="1663" w:type="dxa"/>
            <w:tcBorders>
              <w:top w:val="single" w:sz="4" w:space="0" w:color="auto"/>
              <w:left w:val="single" w:sz="4" w:space="0" w:color="auto"/>
              <w:bottom w:val="single" w:sz="4" w:space="0" w:color="auto"/>
              <w:right w:val="single" w:sz="4" w:space="0" w:color="auto"/>
            </w:tcBorders>
          </w:tcPr>
          <w:p w14:paraId="236D13A6" w14:textId="5E1C6273" w:rsidR="00160F24" w:rsidRDefault="00160F24" w:rsidP="000F4B09">
            <w:pPr>
              <w:rPr>
                <w:rFonts w:ascii="Century Gothic" w:eastAsiaTheme="minorEastAsia" w:hAnsi="Century Gothic" w:cs="Times New Roman"/>
              </w:rPr>
            </w:pPr>
            <w:r>
              <w:rPr>
                <w:rFonts w:ascii="Century Gothic" w:eastAsiaTheme="minorEastAsia" w:hAnsi="Century Gothic" w:cs="Times New Roman"/>
              </w:rPr>
              <w:t>AL</w:t>
            </w:r>
          </w:p>
        </w:tc>
      </w:tr>
      <w:tr w:rsidR="00B92B40" w14:paraId="457B925C" w14:textId="77777777" w:rsidTr="00B92B40">
        <w:tc>
          <w:tcPr>
            <w:tcW w:w="1518" w:type="dxa"/>
            <w:tcBorders>
              <w:top w:val="single" w:sz="4" w:space="0" w:color="auto"/>
              <w:left w:val="single" w:sz="4" w:space="0" w:color="auto"/>
              <w:bottom w:val="single" w:sz="4" w:space="0" w:color="auto"/>
              <w:right w:val="single" w:sz="4" w:space="0" w:color="auto"/>
            </w:tcBorders>
          </w:tcPr>
          <w:p w14:paraId="4995A6E6" w14:textId="7EA477AC" w:rsidR="00B92B40" w:rsidRDefault="00B92B40" w:rsidP="000F4B09">
            <w:pPr>
              <w:rPr>
                <w:rFonts w:ascii="Century Gothic" w:eastAsiaTheme="minorEastAsia" w:hAnsi="Century Gothic" w:cs="Times New Roman"/>
              </w:rPr>
            </w:pPr>
            <w:r>
              <w:rPr>
                <w:rFonts w:ascii="Century Gothic" w:eastAsiaTheme="minorEastAsia" w:hAnsi="Century Gothic" w:cs="Times New Roman"/>
              </w:rPr>
              <w:t>04.08.25</w:t>
            </w:r>
          </w:p>
        </w:tc>
        <w:tc>
          <w:tcPr>
            <w:tcW w:w="3885" w:type="dxa"/>
            <w:tcBorders>
              <w:top w:val="single" w:sz="4" w:space="0" w:color="auto"/>
              <w:left w:val="single" w:sz="4" w:space="0" w:color="auto"/>
              <w:bottom w:val="single" w:sz="4" w:space="0" w:color="auto"/>
              <w:right w:val="single" w:sz="4" w:space="0" w:color="auto"/>
            </w:tcBorders>
          </w:tcPr>
          <w:p w14:paraId="0D30943C" w14:textId="45513924" w:rsidR="00B92B40" w:rsidRDefault="00B92B40" w:rsidP="000F4B09">
            <w:pPr>
              <w:rPr>
                <w:rFonts w:ascii="Century Gothic" w:eastAsiaTheme="minorEastAsia" w:hAnsi="Century Gothic" w:cs="Times New Roman"/>
              </w:rPr>
            </w:pPr>
            <w:r>
              <w:rPr>
                <w:rFonts w:ascii="Century Gothic" w:eastAsiaTheme="minorEastAsia" w:hAnsi="Century Gothic" w:cs="Times New Roman"/>
              </w:rPr>
              <w:t>Review</w:t>
            </w:r>
          </w:p>
        </w:tc>
        <w:tc>
          <w:tcPr>
            <w:tcW w:w="3724" w:type="dxa"/>
            <w:tcBorders>
              <w:top w:val="single" w:sz="4" w:space="0" w:color="auto"/>
              <w:left w:val="single" w:sz="4" w:space="0" w:color="auto"/>
              <w:bottom w:val="single" w:sz="4" w:space="0" w:color="auto"/>
              <w:right w:val="single" w:sz="4" w:space="0" w:color="auto"/>
            </w:tcBorders>
          </w:tcPr>
          <w:p w14:paraId="1BB36AA3" w14:textId="77777777" w:rsidR="00B92B40" w:rsidRDefault="00B92B40" w:rsidP="000F4B09">
            <w:pPr>
              <w:rPr>
                <w:rFonts w:ascii="Century Gothic" w:eastAsiaTheme="minorEastAsia" w:hAnsi="Century Gothic" w:cs="Times New Roman"/>
              </w:rPr>
            </w:pPr>
          </w:p>
        </w:tc>
        <w:tc>
          <w:tcPr>
            <w:tcW w:w="1663" w:type="dxa"/>
            <w:tcBorders>
              <w:top w:val="single" w:sz="4" w:space="0" w:color="auto"/>
              <w:left w:val="single" w:sz="4" w:space="0" w:color="auto"/>
              <w:bottom w:val="single" w:sz="4" w:space="0" w:color="auto"/>
              <w:right w:val="single" w:sz="4" w:space="0" w:color="auto"/>
            </w:tcBorders>
          </w:tcPr>
          <w:p w14:paraId="4D0EA277" w14:textId="135A9377" w:rsidR="00B92B40" w:rsidRDefault="00B92B40" w:rsidP="000F4B09">
            <w:pPr>
              <w:rPr>
                <w:rFonts w:ascii="Century Gothic" w:eastAsiaTheme="minorEastAsia" w:hAnsi="Century Gothic" w:cs="Times New Roman"/>
              </w:rPr>
            </w:pPr>
            <w:r>
              <w:rPr>
                <w:rFonts w:ascii="Century Gothic" w:eastAsiaTheme="minorEastAsia" w:hAnsi="Century Gothic" w:cs="Times New Roman"/>
              </w:rPr>
              <w:t>CF</w:t>
            </w:r>
          </w:p>
        </w:tc>
      </w:tr>
    </w:tbl>
    <w:p w14:paraId="27CF2729" w14:textId="77777777" w:rsidR="00AF7068" w:rsidRPr="000B61DC" w:rsidRDefault="00AF7068" w:rsidP="00AF7068">
      <w:pPr>
        <w:pStyle w:val="ListParagraph"/>
        <w:tabs>
          <w:tab w:val="left" w:pos="3345"/>
        </w:tabs>
        <w:rPr>
          <w:rFonts w:ascii="Century Gothic" w:hAnsi="Century Gothic"/>
        </w:rPr>
      </w:pPr>
    </w:p>
    <w:sectPr w:rsidR="00AF7068" w:rsidRPr="000B61DC" w:rsidSect="00287EF8">
      <w:headerReference w:type="even" r:id="rId12"/>
      <w:headerReference w:type="default" r:id="rId13"/>
      <w:footerReference w:type="default" r:id="rId14"/>
      <w:head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613F" w14:textId="77777777" w:rsidR="00893CFD" w:rsidRDefault="00893CFD" w:rsidP="00B7688B">
      <w:pPr>
        <w:spacing w:after="0" w:line="240" w:lineRule="auto"/>
      </w:pPr>
      <w:r>
        <w:separator/>
      </w:r>
    </w:p>
  </w:endnote>
  <w:endnote w:type="continuationSeparator" w:id="0">
    <w:p w14:paraId="48DF77E7" w14:textId="77777777" w:rsidR="00893CFD" w:rsidRDefault="00893CFD" w:rsidP="00B7688B">
      <w:pPr>
        <w:spacing w:after="0" w:line="240" w:lineRule="auto"/>
      </w:pPr>
      <w:r>
        <w:continuationSeparator/>
      </w:r>
    </w:p>
  </w:endnote>
  <w:endnote w:type="continuationNotice" w:id="1">
    <w:p w14:paraId="013F3B37" w14:textId="77777777" w:rsidR="00893CFD" w:rsidRDefault="00893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60FCFFF4" w:rsidR="00862217" w:rsidRPr="009429AC" w:rsidRDefault="006C7FE1" w:rsidP="00862217">
    <w:pPr>
      <w:pStyle w:val="Footer"/>
      <w:pBdr>
        <w:top w:val="thinThickSmallGap" w:sz="24" w:space="0" w:color="622423" w:themeColor="accent2" w:themeShade="7F"/>
      </w:pBdr>
      <w:rPr>
        <w:rFonts w:ascii="Century Gothic" w:hAnsi="Century Gothic"/>
        <w:b/>
        <w:color w:val="00B050"/>
        <w:sz w:val="20"/>
        <w:szCs w:val="20"/>
      </w:rPr>
    </w:pPr>
    <w:r w:rsidRPr="009429AC">
      <w:rPr>
        <w:rFonts w:ascii="Century Gothic" w:hAnsi="Century Gothic"/>
        <w:b/>
        <w:color w:val="00B050"/>
        <w:sz w:val="20"/>
        <w:szCs w:val="20"/>
      </w:rPr>
      <w:t xml:space="preserve">Hopefields </w:t>
    </w:r>
    <w:r w:rsidR="00862217" w:rsidRPr="009429AC">
      <w:rPr>
        <w:rFonts w:ascii="Century Gothic" w:hAnsi="Century Gothic"/>
        <w:b/>
        <w:color w:val="00B050"/>
        <w:sz w:val="20"/>
        <w:szCs w:val="20"/>
      </w:rPr>
      <w:t xml:space="preserve">     </w:t>
    </w:r>
  </w:p>
  <w:p w14:paraId="1EF6DF09" w14:textId="75721865" w:rsidR="00862217" w:rsidRPr="009429AC" w:rsidRDefault="00862217" w:rsidP="00862217">
    <w:pPr>
      <w:pStyle w:val="Footer"/>
      <w:pBdr>
        <w:top w:val="thinThickSmallGap" w:sz="24" w:space="0" w:color="622423" w:themeColor="accent2" w:themeShade="7F"/>
      </w:pBdr>
      <w:rPr>
        <w:rFonts w:ascii="Century Gothic" w:hAnsi="Century Gothic"/>
        <w:b/>
        <w:color w:val="00B050"/>
        <w:sz w:val="20"/>
        <w:szCs w:val="20"/>
      </w:rPr>
    </w:pPr>
    <w:r w:rsidRPr="009429AC">
      <w:rPr>
        <w:rFonts w:ascii="Century Gothic" w:hAnsi="Century Gothic"/>
        <w:b/>
        <w:color w:val="00B050"/>
        <w:sz w:val="20"/>
        <w:szCs w:val="20"/>
      </w:rPr>
      <w:t xml:space="preserve">Reg : 12504502 </w:t>
    </w:r>
    <w:r w:rsidR="00605AD2" w:rsidRPr="009429AC">
      <w:rPr>
        <w:rFonts w:ascii="Century Gothic" w:hAnsi="Century Gothic"/>
        <w:b/>
        <w:color w:val="00B050"/>
        <w:sz w:val="20"/>
        <w:szCs w:val="20"/>
      </w:rPr>
      <w:t xml:space="preserve"> D</w:t>
    </w:r>
    <w:r w:rsidR="009429AC" w:rsidRPr="009429AC">
      <w:rPr>
        <w:rFonts w:ascii="Century Gothic" w:hAnsi="Century Gothic"/>
        <w:b/>
        <w:color w:val="00B050"/>
        <w:sz w:val="20"/>
        <w:szCs w:val="20"/>
      </w:rPr>
      <w:t>fE : 149109</w:t>
    </w:r>
    <w:r w:rsidRPr="009429AC">
      <w:rPr>
        <w:rFonts w:ascii="Century Gothic" w:hAnsi="Century Gothic"/>
        <w:b/>
        <w:i/>
        <w:color w:val="00B050"/>
        <w:sz w:val="20"/>
        <w:szCs w:val="20"/>
      </w:rPr>
      <w:ptab w:relativeTo="margin" w:alignment="right" w:leader="none"/>
    </w:r>
    <w:r w:rsidRPr="009429AC">
      <w:rPr>
        <w:rFonts w:ascii="Century Gothic" w:hAnsi="Century Gothic"/>
        <w:b/>
        <w:i/>
        <w:color w:val="00B050"/>
        <w:sz w:val="20"/>
        <w:szCs w:val="20"/>
      </w:rPr>
      <w:t xml:space="preserve">Page </w:t>
    </w:r>
    <w:r w:rsidR="00DC78A5" w:rsidRPr="009429AC">
      <w:rPr>
        <w:rFonts w:ascii="Century Gothic" w:hAnsi="Century Gothic"/>
        <w:b/>
        <w:i/>
        <w:color w:val="00B050"/>
        <w:sz w:val="20"/>
        <w:szCs w:val="20"/>
      </w:rPr>
      <w:fldChar w:fldCharType="begin"/>
    </w:r>
    <w:r w:rsidRPr="009429AC">
      <w:rPr>
        <w:rFonts w:ascii="Century Gothic" w:hAnsi="Century Gothic"/>
        <w:b/>
        <w:i/>
        <w:color w:val="00B050"/>
        <w:sz w:val="20"/>
        <w:szCs w:val="20"/>
      </w:rPr>
      <w:instrText xml:space="preserve"> PAGE   \* MERGEFORMAT </w:instrText>
    </w:r>
    <w:r w:rsidR="00DC78A5" w:rsidRPr="009429AC">
      <w:rPr>
        <w:rFonts w:ascii="Century Gothic" w:hAnsi="Century Gothic"/>
        <w:b/>
        <w:i/>
        <w:color w:val="00B050"/>
        <w:sz w:val="20"/>
        <w:szCs w:val="20"/>
      </w:rPr>
      <w:fldChar w:fldCharType="separate"/>
    </w:r>
    <w:r w:rsidR="005556E5" w:rsidRPr="009429AC">
      <w:rPr>
        <w:rFonts w:ascii="Century Gothic" w:hAnsi="Century Gothic"/>
        <w:b/>
        <w:i/>
        <w:noProof/>
        <w:color w:val="00B050"/>
        <w:sz w:val="20"/>
        <w:szCs w:val="20"/>
      </w:rPr>
      <w:t>1</w:t>
    </w:r>
    <w:r w:rsidR="00DC78A5" w:rsidRPr="009429AC">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5F563689" w:rsidR="00862217" w:rsidRPr="00862217" w:rsidRDefault="009429AC" w:rsidP="009429AC">
    <w:pPr>
      <w:tabs>
        <w:tab w:val="left" w:pos="3945"/>
      </w:tabs>
      <w:rPr>
        <w:rFonts w:ascii="Century Gothic" w:hAnsi="Century Gothic"/>
        <w:b/>
        <w:color w:val="00B050"/>
        <w:sz w:val="24"/>
        <w:szCs w:val="24"/>
      </w:rPr>
    </w:pPr>
    <w:r>
      <w:rPr>
        <w:rFonts w:ascii="Century Gothic" w:hAnsi="Century Gothic"/>
        <w:b/>
        <w:color w:val="00B05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C9F4" w14:textId="77777777" w:rsidR="00893CFD" w:rsidRDefault="00893CFD" w:rsidP="00B7688B">
      <w:pPr>
        <w:spacing w:after="0" w:line="240" w:lineRule="auto"/>
      </w:pPr>
      <w:r>
        <w:separator/>
      </w:r>
    </w:p>
  </w:footnote>
  <w:footnote w:type="continuationSeparator" w:id="0">
    <w:p w14:paraId="4F96DDB1" w14:textId="77777777" w:rsidR="00893CFD" w:rsidRDefault="00893CFD" w:rsidP="00B7688B">
      <w:pPr>
        <w:spacing w:after="0" w:line="240" w:lineRule="auto"/>
      </w:pPr>
      <w:r>
        <w:continuationSeparator/>
      </w:r>
    </w:p>
  </w:footnote>
  <w:footnote w:type="continuationNotice" w:id="1">
    <w:p w14:paraId="1472E247" w14:textId="77777777" w:rsidR="00893CFD" w:rsidRDefault="00893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B92B40">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8238;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2E2338B8" w:rsidR="00862217" w:rsidRPr="000B61DC" w:rsidRDefault="00605AD2" w:rsidP="00B7688B">
    <w:pPr>
      <w:ind w:left="720" w:firstLine="720"/>
      <w:jc w:val="right"/>
      <w:rPr>
        <w:rFonts w:ascii="Century Gothic" w:hAnsi="Century Gothic"/>
        <w:b/>
        <w:color w:val="00B050"/>
        <w:sz w:val="36"/>
        <w:szCs w:val="36"/>
      </w:rPr>
    </w:pPr>
    <w:r w:rsidRPr="000B61DC">
      <w:rPr>
        <w:rFonts w:ascii="Century Gothic" w:hAnsi="Century Gothic"/>
        <w:noProof/>
      </w:rPr>
      <w:drawing>
        <wp:anchor distT="0" distB="0" distL="114300" distR="114300" simplePos="0" relativeHeight="251681792" behindDoc="1" locked="0" layoutInCell="1" allowOverlap="1" wp14:anchorId="3F87E4A6" wp14:editId="53A7101A">
          <wp:simplePos x="0" y="0"/>
          <wp:positionH relativeFrom="column">
            <wp:posOffset>-438150</wp:posOffset>
          </wp:positionH>
          <wp:positionV relativeFrom="paragraph">
            <wp:posOffset>-373380</wp:posOffset>
          </wp:positionV>
          <wp:extent cx="1562100" cy="1559560"/>
          <wp:effectExtent l="0" t="0" r="0" b="0"/>
          <wp:wrapTight wrapText="bothSides">
            <wp:wrapPolygon edited="0">
              <wp:start x="0" y="0"/>
              <wp:lineTo x="0" y="21371"/>
              <wp:lineTo x="21337" y="21371"/>
              <wp:lineTo x="2133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62100" cy="1559560"/>
                  </a:xfrm>
                  <a:prstGeom prst="rect">
                    <a:avLst/>
                  </a:prstGeom>
                </pic:spPr>
              </pic:pic>
            </a:graphicData>
          </a:graphic>
          <wp14:sizeRelH relativeFrom="margin">
            <wp14:pctWidth>0</wp14:pctWidth>
          </wp14:sizeRelH>
          <wp14:sizeRelV relativeFrom="margin">
            <wp14:pctHeight>0</wp14:pctHeight>
          </wp14:sizeRelV>
        </wp:anchor>
      </w:drawing>
    </w:r>
    <w:r w:rsidR="00B92B40">
      <w:rPr>
        <w:rFonts w:ascii="Century Gothic" w:hAnsi="Century Gothic"/>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8237;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sidRPr="000B61DC">
      <w:rPr>
        <w:rFonts w:ascii="Century Gothic" w:hAnsi="Century Gothic"/>
        <w:b/>
        <w:color w:val="00B050"/>
        <w:sz w:val="36"/>
        <w:szCs w:val="36"/>
      </w:rPr>
      <w:t xml:space="preserve">Hopefields </w:t>
    </w:r>
    <w:r w:rsidRPr="000B61DC">
      <w:rPr>
        <w:rFonts w:ascii="Century Gothic" w:hAnsi="Century Gothic"/>
        <w:b/>
        <w:color w:val="00B050"/>
        <w:sz w:val="36"/>
        <w:szCs w:val="36"/>
      </w:rPr>
      <w:t>School</w:t>
    </w:r>
    <w:r w:rsidR="00862217" w:rsidRPr="000B61DC">
      <w:rPr>
        <w:rFonts w:ascii="Century Gothic" w:hAnsi="Century Gothic"/>
        <w:b/>
        <w:color w:val="00B050"/>
        <w:sz w:val="36"/>
        <w:szCs w:val="36"/>
      </w:rPr>
      <w:t xml:space="preserve"> </w:t>
    </w:r>
  </w:p>
  <w:p w14:paraId="41C8F396" w14:textId="4CFCC7CF" w:rsidR="00B7688B" w:rsidRPr="000B61DC" w:rsidRDefault="00303718" w:rsidP="00726EAF">
    <w:pPr>
      <w:ind w:left="720" w:firstLine="720"/>
      <w:jc w:val="right"/>
      <w:rPr>
        <w:rFonts w:ascii="Century Gothic" w:hAnsi="Century Gothic"/>
        <w:b/>
        <w:color w:val="00B050"/>
        <w:sz w:val="36"/>
        <w:szCs w:val="36"/>
      </w:rPr>
    </w:pPr>
    <w:r w:rsidRPr="000B61DC">
      <w:rPr>
        <w:rFonts w:ascii="Century Gothic" w:hAnsi="Century Gothic"/>
        <w:b/>
        <w:color w:val="00B050"/>
        <w:sz w:val="36"/>
        <w:szCs w:val="36"/>
      </w:rPr>
      <w:t xml:space="preserve">Careers, Information, Advice and Guidance </w:t>
    </w:r>
    <w:r w:rsidR="00862217" w:rsidRPr="000B61DC">
      <w:rPr>
        <w:rFonts w:ascii="Century Gothic" w:hAnsi="Century Gothic"/>
        <w:b/>
        <w:color w:val="00B050"/>
        <w:sz w:val="36"/>
        <w:szCs w:val="36"/>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B92B40">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8239;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9FB"/>
    <w:multiLevelType w:val="hybridMultilevel"/>
    <w:tmpl w:val="BF18A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6E0726"/>
    <w:multiLevelType w:val="hybridMultilevel"/>
    <w:tmpl w:val="D62E3A32"/>
    <w:lvl w:ilvl="0" w:tplc="E2BC07B2">
      <w:start w:val="1"/>
      <w:numFmt w:val="bullet"/>
      <w:lvlText w:val="·"/>
      <w:lvlJc w:val="left"/>
      <w:pPr>
        <w:ind w:left="720" w:hanging="360"/>
      </w:pPr>
      <w:rPr>
        <w:rFonts w:ascii="Symbol" w:hAnsi="Symbol" w:hint="default"/>
      </w:rPr>
    </w:lvl>
    <w:lvl w:ilvl="1" w:tplc="9076A514">
      <w:start w:val="1"/>
      <w:numFmt w:val="bullet"/>
      <w:lvlText w:val="o"/>
      <w:lvlJc w:val="left"/>
      <w:pPr>
        <w:ind w:left="1440" w:hanging="360"/>
      </w:pPr>
      <w:rPr>
        <w:rFonts w:ascii="Courier New" w:hAnsi="Courier New" w:hint="default"/>
      </w:rPr>
    </w:lvl>
    <w:lvl w:ilvl="2" w:tplc="6EEA6912">
      <w:start w:val="1"/>
      <w:numFmt w:val="bullet"/>
      <w:lvlText w:val=""/>
      <w:lvlJc w:val="left"/>
      <w:pPr>
        <w:ind w:left="2160" w:hanging="360"/>
      </w:pPr>
      <w:rPr>
        <w:rFonts w:ascii="Wingdings" w:hAnsi="Wingdings" w:hint="default"/>
      </w:rPr>
    </w:lvl>
    <w:lvl w:ilvl="3" w:tplc="4996592A">
      <w:start w:val="1"/>
      <w:numFmt w:val="bullet"/>
      <w:lvlText w:val=""/>
      <w:lvlJc w:val="left"/>
      <w:pPr>
        <w:ind w:left="2880" w:hanging="360"/>
      </w:pPr>
      <w:rPr>
        <w:rFonts w:ascii="Symbol" w:hAnsi="Symbol" w:hint="default"/>
      </w:rPr>
    </w:lvl>
    <w:lvl w:ilvl="4" w:tplc="0FF0EBEA">
      <w:start w:val="1"/>
      <w:numFmt w:val="bullet"/>
      <w:lvlText w:val="o"/>
      <w:lvlJc w:val="left"/>
      <w:pPr>
        <w:ind w:left="3600" w:hanging="360"/>
      </w:pPr>
      <w:rPr>
        <w:rFonts w:ascii="Courier New" w:hAnsi="Courier New" w:hint="default"/>
      </w:rPr>
    </w:lvl>
    <w:lvl w:ilvl="5" w:tplc="1F06697E">
      <w:start w:val="1"/>
      <w:numFmt w:val="bullet"/>
      <w:lvlText w:val=""/>
      <w:lvlJc w:val="left"/>
      <w:pPr>
        <w:ind w:left="4320" w:hanging="360"/>
      </w:pPr>
      <w:rPr>
        <w:rFonts w:ascii="Wingdings" w:hAnsi="Wingdings" w:hint="default"/>
      </w:rPr>
    </w:lvl>
    <w:lvl w:ilvl="6" w:tplc="9564B2FE">
      <w:start w:val="1"/>
      <w:numFmt w:val="bullet"/>
      <w:lvlText w:val=""/>
      <w:lvlJc w:val="left"/>
      <w:pPr>
        <w:ind w:left="5040" w:hanging="360"/>
      </w:pPr>
      <w:rPr>
        <w:rFonts w:ascii="Symbol" w:hAnsi="Symbol" w:hint="default"/>
      </w:rPr>
    </w:lvl>
    <w:lvl w:ilvl="7" w:tplc="41C8FE24">
      <w:start w:val="1"/>
      <w:numFmt w:val="bullet"/>
      <w:lvlText w:val="o"/>
      <w:lvlJc w:val="left"/>
      <w:pPr>
        <w:ind w:left="5760" w:hanging="360"/>
      </w:pPr>
      <w:rPr>
        <w:rFonts w:ascii="Courier New" w:hAnsi="Courier New" w:hint="default"/>
      </w:rPr>
    </w:lvl>
    <w:lvl w:ilvl="8" w:tplc="52F63294">
      <w:start w:val="1"/>
      <w:numFmt w:val="bullet"/>
      <w:lvlText w:val=""/>
      <w:lvlJc w:val="left"/>
      <w:pPr>
        <w:ind w:left="6480" w:hanging="360"/>
      </w:pPr>
      <w:rPr>
        <w:rFonts w:ascii="Wingdings" w:hAnsi="Wingdings" w:hint="default"/>
      </w:rPr>
    </w:lvl>
  </w:abstractNum>
  <w:abstractNum w:abstractNumId="2" w15:restartNumberingAfterBreak="0">
    <w:nsid w:val="18EA6C34"/>
    <w:multiLevelType w:val="hybridMultilevel"/>
    <w:tmpl w:val="FFFFFFFF"/>
    <w:lvl w:ilvl="0" w:tplc="C9FC6024">
      <w:start w:val="1"/>
      <w:numFmt w:val="bullet"/>
      <w:lvlText w:val="o"/>
      <w:lvlJc w:val="left"/>
      <w:pPr>
        <w:ind w:left="720" w:hanging="360"/>
      </w:pPr>
      <w:rPr>
        <w:rFonts w:ascii="Symbol" w:hAnsi="Symbol" w:hint="default"/>
      </w:rPr>
    </w:lvl>
    <w:lvl w:ilvl="1" w:tplc="D8062092">
      <w:start w:val="1"/>
      <w:numFmt w:val="bullet"/>
      <w:lvlText w:val="o"/>
      <w:lvlJc w:val="left"/>
      <w:pPr>
        <w:ind w:left="1440" w:hanging="360"/>
      </w:pPr>
      <w:rPr>
        <w:rFonts w:ascii="Courier New" w:hAnsi="Courier New" w:hint="default"/>
      </w:rPr>
    </w:lvl>
    <w:lvl w:ilvl="2" w:tplc="D24401BE">
      <w:start w:val="1"/>
      <w:numFmt w:val="bullet"/>
      <w:lvlText w:val=""/>
      <w:lvlJc w:val="left"/>
      <w:pPr>
        <w:ind w:left="2160" w:hanging="360"/>
      </w:pPr>
      <w:rPr>
        <w:rFonts w:ascii="Wingdings" w:hAnsi="Wingdings" w:hint="default"/>
      </w:rPr>
    </w:lvl>
    <w:lvl w:ilvl="3" w:tplc="29C4A164">
      <w:start w:val="1"/>
      <w:numFmt w:val="bullet"/>
      <w:lvlText w:val=""/>
      <w:lvlJc w:val="left"/>
      <w:pPr>
        <w:ind w:left="2880" w:hanging="360"/>
      </w:pPr>
      <w:rPr>
        <w:rFonts w:ascii="Symbol" w:hAnsi="Symbol" w:hint="default"/>
      </w:rPr>
    </w:lvl>
    <w:lvl w:ilvl="4" w:tplc="13B8F2D8">
      <w:start w:val="1"/>
      <w:numFmt w:val="bullet"/>
      <w:lvlText w:val="o"/>
      <w:lvlJc w:val="left"/>
      <w:pPr>
        <w:ind w:left="3600" w:hanging="360"/>
      </w:pPr>
      <w:rPr>
        <w:rFonts w:ascii="Courier New" w:hAnsi="Courier New" w:hint="default"/>
      </w:rPr>
    </w:lvl>
    <w:lvl w:ilvl="5" w:tplc="F6E8AB74">
      <w:start w:val="1"/>
      <w:numFmt w:val="bullet"/>
      <w:lvlText w:val=""/>
      <w:lvlJc w:val="left"/>
      <w:pPr>
        <w:ind w:left="4320" w:hanging="360"/>
      </w:pPr>
      <w:rPr>
        <w:rFonts w:ascii="Wingdings" w:hAnsi="Wingdings" w:hint="default"/>
      </w:rPr>
    </w:lvl>
    <w:lvl w:ilvl="6" w:tplc="16423BF2">
      <w:start w:val="1"/>
      <w:numFmt w:val="bullet"/>
      <w:lvlText w:val=""/>
      <w:lvlJc w:val="left"/>
      <w:pPr>
        <w:ind w:left="5040" w:hanging="360"/>
      </w:pPr>
      <w:rPr>
        <w:rFonts w:ascii="Symbol" w:hAnsi="Symbol" w:hint="default"/>
      </w:rPr>
    </w:lvl>
    <w:lvl w:ilvl="7" w:tplc="FC422D22">
      <w:start w:val="1"/>
      <w:numFmt w:val="bullet"/>
      <w:lvlText w:val="o"/>
      <w:lvlJc w:val="left"/>
      <w:pPr>
        <w:ind w:left="5760" w:hanging="360"/>
      </w:pPr>
      <w:rPr>
        <w:rFonts w:ascii="Courier New" w:hAnsi="Courier New" w:hint="default"/>
      </w:rPr>
    </w:lvl>
    <w:lvl w:ilvl="8" w:tplc="B6A8E9D4">
      <w:start w:val="1"/>
      <w:numFmt w:val="bullet"/>
      <w:lvlText w:val=""/>
      <w:lvlJc w:val="left"/>
      <w:pPr>
        <w:ind w:left="6480" w:hanging="360"/>
      </w:pPr>
      <w:rPr>
        <w:rFonts w:ascii="Wingdings" w:hAnsi="Wingdings" w:hint="default"/>
      </w:rPr>
    </w:lvl>
  </w:abstractNum>
  <w:abstractNum w:abstractNumId="3" w15:restartNumberingAfterBreak="0">
    <w:nsid w:val="245218D5"/>
    <w:multiLevelType w:val="hybridMultilevel"/>
    <w:tmpl w:val="ACE8B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D81E1B"/>
    <w:multiLevelType w:val="hybridMultilevel"/>
    <w:tmpl w:val="FFFFFFFF"/>
    <w:lvl w:ilvl="0" w:tplc="6F547E6C">
      <w:start w:val="1"/>
      <w:numFmt w:val="bullet"/>
      <w:lvlText w:val="·"/>
      <w:lvlJc w:val="left"/>
      <w:pPr>
        <w:ind w:left="720" w:hanging="360"/>
      </w:pPr>
      <w:rPr>
        <w:rFonts w:ascii="Symbol" w:hAnsi="Symbol" w:hint="default"/>
      </w:rPr>
    </w:lvl>
    <w:lvl w:ilvl="1" w:tplc="8D06BBDA">
      <w:start w:val="1"/>
      <w:numFmt w:val="bullet"/>
      <w:lvlText w:val="o"/>
      <w:lvlJc w:val="left"/>
      <w:pPr>
        <w:ind w:left="1440" w:hanging="360"/>
      </w:pPr>
      <w:rPr>
        <w:rFonts w:ascii="Courier New" w:hAnsi="Courier New" w:hint="default"/>
      </w:rPr>
    </w:lvl>
    <w:lvl w:ilvl="2" w:tplc="404C3014">
      <w:start w:val="1"/>
      <w:numFmt w:val="bullet"/>
      <w:lvlText w:val=""/>
      <w:lvlJc w:val="left"/>
      <w:pPr>
        <w:ind w:left="2160" w:hanging="360"/>
      </w:pPr>
      <w:rPr>
        <w:rFonts w:ascii="Wingdings" w:hAnsi="Wingdings" w:hint="default"/>
      </w:rPr>
    </w:lvl>
    <w:lvl w:ilvl="3" w:tplc="CFA45590">
      <w:start w:val="1"/>
      <w:numFmt w:val="bullet"/>
      <w:lvlText w:val=""/>
      <w:lvlJc w:val="left"/>
      <w:pPr>
        <w:ind w:left="2880" w:hanging="360"/>
      </w:pPr>
      <w:rPr>
        <w:rFonts w:ascii="Symbol" w:hAnsi="Symbol" w:hint="default"/>
      </w:rPr>
    </w:lvl>
    <w:lvl w:ilvl="4" w:tplc="E526A240">
      <w:start w:val="1"/>
      <w:numFmt w:val="bullet"/>
      <w:lvlText w:val="o"/>
      <w:lvlJc w:val="left"/>
      <w:pPr>
        <w:ind w:left="3600" w:hanging="360"/>
      </w:pPr>
      <w:rPr>
        <w:rFonts w:ascii="Courier New" w:hAnsi="Courier New" w:hint="default"/>
      </w:rPr>
    </w:lvl>
    <w:lvl w:ilvl="5" w:tplc="DA94FC7C">
      <w:start w:val="1"/>
      <w:numFmt w:val="bullet"/>
      <w:lvlText w:val=""/>
      <w:lvlJc w:val="left"/>
      <w:pPr>
        <w:ind w:left="4320" w:hanging="360"/>
      </w:pPr>
      <w:rPr>
        <w:rFonts w:ascii="Wingdings" w:hAnsi="Wingdings" w:hint="default"/>
      </w:rPr>
    </w:lvl>
    <w:lvl w:ilvl="6" w:tplc="ECF8AF74">
      <w:start w:val="1"/>
      <w:numFmt w:val="bullet"/>
      <w:lvlText w:val=""/>
      <w:lvlJc w:val="left"/>
      <w:pPr>
        <w:ind w:left="5040" w:hanging="360"/>
      </w:pPr>
      <w:rPr>
        <w:rFonts w:ascii="Symbol" w:hAnsi="Symbol" w:hint="default"/>
      </w:rPr>
    </w:lvl>
    <w:lvl w:ilvl="7" w:tplc="95BE1798">
      <w:start w:val="1"/>
      <w:numFmt w:val="bullet"/>
      <w:lvlText w:val="o"/>
      <w:lvlJc w:val="left"/>
      <w:pPr>
        <w:ind w:left="5760" w:hanging="360"/>
      </w:pPr>
      <w:rPr>
        <w:rFonts w:ascii="Courier New" w:hAnsi="Courier New" w:hint="default"/>
      </w:rPr>
    </w:lvl>
    <w:lvl w:ilvl="8" w:tplc="90DA82B0">
      <w:start w:val="1"/>
      <w:numFmt w:val="bullet"/>
      <w:lvlText w:val=""/>
      <w:lvlJc w:val="left"/>
      <w:pPr>
        <w:ind w:left="6480" w:hanging="360"/>
      </w:pPr>
      <w:rPr>
        <w:rFonts w:ascii="Wingdings" w:hAnsi="Wingdings" w:hint="default"/>
      </w:rPr>
    </w:lvl>
  </w:abstractNum>
  <w:abstractNum w:abstractNumId="5" w15:restartNumberingAfterBreak="0">
    <w:nsid w:val="28D360BC"/>
    <w:multiLevelType w:val="hybridMultilevel"/>
    <w:tmpl w:val="9B9C5EA8"/>
    <w:lvl w:ilvl="0" w:tplc="DD1ABCA4">
      <w:start w:val="1"/>
      <w:numFmt w:val="bullet"/>
      <w:lvlText w:val="o"/>
      <w:lvlJc w:val="left"/>
      <w:pPr>
        <w:ind w:left="720" w:hanging="360"/>
      </w:pPr>
      <w:rPr>
        <w:rFonts w:ascii="Symbol" w:hAnsi="Symbol" w:hint="default"/>
      </w:rPr>
    </w:lvl>
    <w:lvl w:ilvl="1" w:tplc="630AFD42">
      <w:start w:val="1"/>
      <w:numFmt w:val="bullet"/>
      <w:lvlText w:val="o"/>
      <w:lvlJc w:val="left"/>
      <w:pPr>
        <w:ind w:left="1440" w:hanging="360"/>
      </w:pPr>
      <w:rPr>
        <w:rFonts w:ascii="Courier New" w:hAnsi="Courier New" w:hint="default"/>
      </w:rPr>
    </w:lvl>
    <w:lvl w:ilvl="2" w:tplc="4F78194C">
      <w:start w:val="1"/>
      <w:numFmt w:val="bullet"/>
      <w:lvlText w:val=""/>
      <w:lvlJc w:val="left"/>
      <w:pPr>
        <w:ind w:left="2160" w:hanging="360"/>
      </w:pPr>
      <w:rPr>
        <w:rFonts w:ascii="Wingdings" w:hAnsi="Wingdings" w:hint="default"/>
      </w:rPr>
    </w:lvl>
    <w:lvl w:ilvl="3" w:tplc="CD36174A">
      <w:start w:val="1"/>
      <w:numFmt w:val="bullet"/>
      <w:lvlText w:val=""/>
      <w:lvlJc w:val="left"/>
      <w:pPr>
        <w:ind w:left="2880" w:hanging="360"/>
      </w:pPr>
      <w:rPr>
        <w:rFonts w:ascii="Symbol" w:hAnsi="Symbol" w:hint="default"/>
      </w:rPr>
    </w:lvl>
    <w:lvl w:ilvl="4" w:tplc="C5DE9210">
      <w:start w:val="1"/>
      <w:numFmt w:val="bullet"/>
      <w:lvlText w:val="o"/>
      <w:lvlJc w:val="left"/>
      <w:pPr>
        <w:ind w:left="3600" w:hanging="360"/>
      </w:pPr>
      <w:rPr>
        <w:rFonts w:ascii="Courier New" w:hAnsi="Courier New" w:hint="default"/>
      </w:rPr>
    </w:lvl>
    <w:lvl w:ilvl="5" w:tplc="087026D8">
      <w:start w:val="1"/>
      <w:numFmt w:val="bullet"/>
      <w:lvlText w:val=""/>
      <w:lvlJc w:val="left"/>
      <w:pPr>
        <w:ind w:left="4320" w:hanging="360"/>
      </w:pPr>
      <w:rPr>
        <w:rFonts w:ascii="Wingdings" w:hAnsi="Wingdings" w:hint="default"/>
      </w:rPr>
    </w:lvl>
    <w:lvl w:ilvl="6" w:tplc="B0D09804">
      <w:start w:val="1"/>
      <w:numFmt w:val="bullet"/>
      <w:lvlText w:val=""/>
      <w:lvlJc w:val="left"/>
      <w:pPr>
        <w:ind w:left="5040" w:hanging="360"/>
      </w:pPr>
      <w:rPr>
        <w:rFonts w:ascii="Symbol" w:hAnsi="Symbol" w:hint="default"/>
      </w:rPr>
    </w:lvl>
    <w:lvl w:ilvl="7" w:tplc="6C36D740">
      <w:start w:val="1"/>
      <w:numFmt w:val="bullet"/>
      <w:lvlText w:val="o"/>
      <w:lvlJc w:val="left"/>
      <w:pPr>
        <w:ind w:left="5760" w:hanging="360"/>
      </w:pPr>
      <w:rPr>
        <w:rFonts w:ascii="Courier New" w:hAnsi="Courier New" w:hint="default"/>
      </w:rPr>
    </w:lvl>
    <w:lvl w:ilvl="8" w:tplc="369A3A84">
      <w:start w:val="1"/>
      <w:numFmt w:val="bullet"/>
      <w:lvlText w:val=""/>
      <w:lvlJc w:val="left"/>
      <w:pPr>
        <w:ind w:left="6480" w:hanging="360"/>
      </w:pPr>
      <w:rPr>
        <w:rFonts w:ascii="Wingdings" w:hAnsi="Wingdings" w:hint="default"/>
      </w:rPr>
    </w:lvl>
  </w:abstractNum>
  <w:abstractNum w:abstractNumId="6" w15:restartNumberingAfterBreak="0">
    <w:nsid w:val="4F787354"/>
    <w:multiLevelType w:val="hybridMultilevel"/>
    <w:tmpl w:val="C652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923E0"/>
    <w:multiLevelType w:val="multilevel"/>
    <w:tmpl w:val="3342BEBC"/>
    <w:lvl w:ilvl="0">
      <w:start w:val="1"/>
      <w:numFmt w:val="decimal"/>
      <w:lvlText w:val="%1."/>
      <w:lvlJc w:val="left"/>
      <w:pPr>
        <w:ind w:left="720" w:hanging="360"/>
      </w:pPr>
    </w:lvl>
    <w:lvl w:ilvl="1">
      <w:start w:val="2"/>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15:restartNumberingAfterBreak="0">
    <w:nsid w:val="665F1685"/>
    <w:multiLevelType w:val="hybridMultilevel"/>
    <w:tmpl w:val="4E78E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AC222F"/>
    <w:multiLevelType w:val="hybridMultilevel"/>
    <w:tmpl w:val="5ACEF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A56882"/>
    <w:multiLevelType w:val="multilevel"/>
    <w:tmpl w:val="32006F3E"/>
    <w:lvl w:ilvl="0">
      <w:start w:val="2"/>
      <w:numFmt w:val="decimal"/>
      <w:lvlText w:val="%1."/>
      <w:lvlJc w:val="left"/>
      <w:pPr>
        <w:ind w:left="405" w:hanging="405"/>
      </w:pPr>
      <w:rPr>
        <w:b/>
      </w:rPr>
    </w:lvl>
    <w:lvl w:ilvl="1">
      <w:start w:val="2"/>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737118681">
    <w:abstractNumId w:val="1"/>
  </w:num>
  <w:num w:numId="2" w16cid:durableId="1677926716">
    <w:abstractNumId w:val="5"/>
  </w:num>
  <w:num w:numId="3" w16cid:durableId="1288046537">
    <w:abstractNumId w:val="4"/>
  </w:num>
  <w:num w:numId="4" w16cid:durableId="1316838368">
    <w:abstractNumId w:val="2"/>
  </w:num>
  <w:num w:numId="5" w16cid:durableId="1433161321">
    <w:abstractNumId w:val="6"/>
  </w:num>
  <w:num w:numId="6" w16cid:durableId="193744387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02805">
    <w:abstractNumId w:val="9"/>
  </w:num>
  <w:num w:numId="8" w16cid:durableId="417364368">
    <w:abstractNumId w:val="3"/>
  </w:num>
  <w:num w:numId="9" w16cid:durableId="673873364">
    <w:abstractNumId w:val="0"/>
  </w:num>
  <w:num w:numId="10" w16cid:durableId="21162438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756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458F5"/>
    <w:rsid w:val="000472F5"/>
    <w:rsid w:val="00056D48"/>
    <w:rsid w:val="0007773A"/>
    <w:rsid w:val="000A5074"/>
    <w:rsid w:val="000B61DC"/>
    <w:rsid w:val="000F5303"/>
    <w:rsid w:val="0010749A"/>
    <w:rsid w:val="001566DB"/>
    <w:rsid w:val="00160F24"/>
    <w:rsid w:val="0017146F"/>
    <w:rsid w:val="00173D69"/>
    <w:rsid w:val="001B4824"/>
    <w:rsid w:val="001B53AD"/>
    <w:rsid w:val="001E7305"/>
    <w:rsid w:val="0020203E"/>
    <w:rsid w:val="00202A72"/>
    <w:rsid w:val="00274CBE"/>
    <w:rsid w:val="00287EF8"/>
    <w:rsid w:val="00294C06"/>
    <w:rsid w:val="00302B43"/>
    <w:rsid w:val="00303718"/>
    <w:rsid w:val="0035342C"/>
    <w:rsid w:val="00360C1B"/>
    <w:rsid w:val="003A00C0"/>
    <w:rsid w:val="003D73ED"/>
    <w:rsid w:val="003E5D52"/>
    <w:rsid w:val="004911A6"/>
    <w:rsid w:val="004D467F"/>
    <w:rsid w:val="005003EE"/>
    <w:rsid w:val="00514DD5"/>
    <w:rsid w:val="00530751"/>
    <w:rsid w:val="005556E5"/>
    <w:rsid w:val="00586809"/>
    <w:rsid w:val="005A1ADC"/>
    <w:rsid w:val="005B2E6C"/>
    <w:rsid w:val="005F4A87"/>
    <w:rsid w:val="00605AD2"/>
    <w:rsid w:val="006473E9"/>
    <w:rsid w:val="00654715"/>
    <w:rsid w:val="006624CC"/>
    <w:rsid w:val="006868D0"/>
    <w:rsid w:val="006B09E7"/>
    <w:rsid w:val="006C7FE1"/>
    <w:rsid w:val="007216FB"/>
    <w:rsid w:val="00726EAF"/>
    <w:rsid w:val="00772D8F"/>
    <w:rsid w:val="007C4A04"/>
    <w:rsid w:val="007F3496"/>
    <w:rsid w:val="008568D6"/>
    <w:rsid w:val="00862217"/>
    <w:rsid w:val="008674CE"/>
    <w:rsid w:val="00893CFD"/>
    <w:rsid w:val="008C48F3"/>
    <w:rsid w:val="008D52F9"/>
    <w:rsid w:val="008E5518"/>
    <w:rsid w:val="009429AC"/>
    <w:rsid w:val="0096641E"/>
    <w:rsid w:val="00977699"/>
    <w:rsid w:val="00994AAD"/>
    <w:rsid w:val="009F692F"/>
    <w:rsid w:val="00A006FF"/>
    <w:rsid w:val="00A80D09"/>
    <w:rsid w:val="00AB382E"/>
    <w:rsid w:val="00AC4C09"/>
    <w:rsid w:val="00AD78E9"/>
    <w:rsid w:val="00AF7068"/>
    <w:rsid w:val="00B7688B"/>
    <w:rsid w:val="00B82321"/>
    <w:rsid w:val="00B92B40"/>
    <w:rsid w:val="00BC3EB4"/>
    <w:rsid w:val="00C44F3E"/>
    <w:rsid w:val="00C457B2"/>
    <w:rsid w:val="00C67C46"/>
    <w:rsid w:val="00C72125"/>
    <w:rsid w:val="00CE5701"/>
    <w:rsid w:val="00D469C5"/>
    <w:rsid w:val="00D505B1"/>
    <w:rsid w:val="00D74080"/>
    <w:rsid w:val="00D7641A"/>
    <w:rsid w:val="00D91C29"/>
    <w:rsid w:val="00DC78A5"/>
    <w:rsid w:val="00DF4292"/>
    <w:rsid w:val="00E01DB6"/>
    <w:rsid w:val="00E31191"/>
    <w:rsid w:val="00E47CF4"/>
    <w:rsid w:val="00E64C71"/>
    <w:rsid w:val="00E9733B"/>
    <w:rsid w:val="00F20231"/>
    <w:rsid w:val="00F7292A"/>
    <w:rsid w:val="00FB229F"/>
    <w:rsid w:val="00FC219B"/>
    <w:rsid w:val="00FF2D4F"/>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AD5D76B4-B6C8-46E0-8C9C-5697895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FB229F"/>
    <w:pPr>
      <w:ind w:left="720"/>
      <w:contextualSpacing/>
    </w:pPr>
  </w:style>
  <w:style w:type="table" w:styleId="TableGrid">
    <w:name w:val="Table Grid"/>
    <w:basedOn w:val="TableNormal"/>
    <w:uiPriority w:val="59"/>
    <w:rsid w:val="00AF70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191"/>
    <w:rPr>
      <w:color w:val="0000FF" w:themeColor="hyperlink"/>
      <w:u w:val="single"/>
    </w:rPr>
  </w:style>
  <w:style w:type="character" w:styleId="UnresolvedMention">
    <w:name w:val="Unresolved Mention"/>
    <w:basedOn w:val="DefaultParagraphFont"/>
    <w:uiPriority w:val="99"/>
    <w:semiHidden/>
    <w:unhideWhenUsed/>
    <w:rsid w:val="00C4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f@hopefields.org.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ameron@hopefiel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4ECE2-3A7E-49E2-929D-BEA21B7A8187}"/>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2066</Words>
  <Characters>11780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Craig F</cp:lastModifiedBy>
  <cp:revision>2</cp:revision>
  <dcterms:created xsi:type="dcterms:W3CDTF">2025-08-04T21:16:00Z</dcterms:created>
  <dcterms:modified xsi:type="dcterms:W3CDTF">2025-08-04T21:16:00Z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