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9D0C"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46CBD197"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2AE2F5F4" w14:textId="2B21FBFB" w:rsidR="00E04556" w:rsidRPr="00807C6B"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p>
    <w:p w14:paraId="600268C8" w14:textId="08803AC9" w:rsidR="00E04556" w:rsidRPr="00807C6B" w:rsidRDefault="00E04556" w:rsidP="00807C6B">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Aims</w:t>
      </w:r>
      <w:r w:rsidRPr="00807C6B">
        <w:rPr>
          <w:rFonts w:ascii="Century Gothic" w:eastAsia="Times New Roman" w:hAnsi="Century Gothic" w:cs="Segoe UI"/>
          <w:b/>
          <w:color w:val="000000" w:themeColor="text1"/>
          <w:lang w:val="en-GB" w:eastAsia="en-GB"/>
        </w:rPr>
        <w:t> </w:t>
      </w:r>
    </w:p>
    <w:p w14:paraId="2E081E54" w14:textId="77777777" w:rsidR="00807C6B" w:rsidRPr="00807C6B" w:rsidRDefault="00807C6B" w:rsidP="00807C6B">
      <w:pPr>
        <w:pStyle w:val="ListParagraph"/>
        <w:spacing w:after="0" w:line="240" w:lineRule="auto"/>
        <w:textAlignment w:val="baseline"/>
        <w:rPr>
          <w:rFonts w:ascii="Segoe UI" w:eastAsia="Times New Roman" w:hAnsi="Segoe UI" w:cs="Segoe UI"/>
          <w:color w:val="000000" w:themeColor="text1"/>
          <w:lang w:val="en-GB" w:eastAsia="en-GB"/>
        </w:rPr>
      </w:pPr>
    </w:p>
    <w:p w14:paraId="577AA40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The school aims to ensure that:</w:t>
      </w:r>
      <w:r w:rsidRPr="00807C6B">
        <w:rPr>
          <w:rFonts w:ascii="Century Gothic" w:eastAsia="Times New Roman" w:hAnsi="Century Gothic" w:cs="Segoe UI"/>
          <w:color w:val="000000" w:themeColor="text1"/>
          <w:lang w:val="en-GB" w:eastAsia="en-GB"/>
        </w:rPr>
        <w:t> </w:t>
      </w:r>
    </w:p>
    <w:p w14:paraId="16F2DB63" w14:textId="7BA806A7"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All risks that may cause injury or harm to staff, </w:t>
      </w:r>
      <w:r w:rsidR="00807C6B" w:rsidRPr="00807C6B">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and visitors are identified, and all control measures that are reasonably practicable are in place to avoid injury or harm</w:t>
      </w:r>
      <w:r w:rsidRPr="00807C6B">
        <w:rPr>
          <w:rFonts w:ascii="Century Gothic" w:eastAsia="Times New Roman" w:hAnsi="Century Gothic" w:cs="Segoe UI"/>
          <w:color w:val="000000" w:themeColor="text1"/>
          <w:lang w:val="en-GB" w:eastAsia="en-GB"/>
        </w:rPr>
        <w:t> </w:t>
      </w:r>
    </w:p>
    <w:p w14:paraId="7DD725B3" w14:textId="4213BA6D"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Risk assessments are conducted and reviewed on a regular basis</w:t>
      </w:r>
      <w:r w:rsidRPr="00807C6B">
        <w:rPr>
          <w:rFonts w:ascii="Century Gothic" w:eastAsia="Times New Roman" w:hAnsi="Century Gothic" w:cs="Segoe UI"/>
          <w:color w:val="000000" w:themeColor="text1"/>
          <w:lang w:val="en-GB" w:eastAsia="en-GB"/>
        </w:rPr>
        <w:t> </w:t>
      </w:r>
    </w:p>
    <w:p w14:paraId="09E3C782" w14:textId="77777777" w:rsidR="00367FA7" w:rsidRPr="00807C6B" w:rsidRDefault="00367FA7" w:rsidP="00367FA7">
      <w:pPr>
        <w:spacing w:after="0" w:line="240" w:lineRule="auto"/>
        <w:ind w:left="1080"/>
        <w:textAlignment w:val="baseline"/>
        <w:rPr>
          <w:rFonts w:ascii="Century Gothic" w:eastAsia="Times New Roman" w:hAnsi="Century Gothic" w:cs="Segoe UI"/>
          <w:color w:val="000000" w:themeColor="text1"/>
          <w:lang w:val="en-GB" w:eastAsia="en-GB"/>
        </w:rPr>
      </w:pPr>
    </w:p>
    <w:p w14:paraId="41CE41D5" w14:textId="03CCD0D4"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Legislation and statutory requirements</w:t>
      </w:r>
      <w:r w:rsidRPr="00807C6B">
        <w:rPr>
          <w:rFonts w:ascii="Century Gothic" w:eastAsia="Times New Roman" w:hAnsi="Century Gothic" w:cs="Segoe UI"/>
          <w:b/>
          <w:color w:val="000000" w:themeColor="text1"/>
          <w:lang w:val="en-GB" w:eastAsia="en-GB"/>
        </w:rPr>
        <w:t> </w:t>
      </w:r>
    </w:p>
    <w:p w14:paraId="30A2E187"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p>
    <w:p w14:paraId="20C0615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policy is based on the following legislation and Department for Education (DfE) guidance: </w:t>
      </w:r>
      <w:r w:rsidRPr="00807C6B">
        <w:rPr>
          <w:rFonts w:ascii="Century Gothic" w:eastAsia="Times New Roman" w:hAnsi="Century Gothic" w:cs="Segoe UI"/>
          <w:color w:val="000000" w:themeColor="text1"/>
          <w:lang w:val="en-GB" w:eastAsia="en-GB"/>
        </w:rPr>
        <w:t> </w:t>
      </w:r>
    </w:p>
    <w:p w14:paraId="0F62519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Paragraph 16 of part 3 of </w:t>
      </w:r>
      <w:hyperlink r:id="rId10" w:tgtFrame="_blank" w:history="1">
        <w:r w:rsidRPr="00807C6B">
          <w:rPr>
            <w:rFonts w:ascii="Century Gothic" w:eastAsia="Times New Roman" w:hAnsi="Century Gothic" w:cs="Segoe UI"/>
            <w:color w:val="000000" w:themeColor="text1"/>
            <w:u w:val="single"/>
            <w:lang w:eastAsia="en-GB"/>
          </w:rPr>
          <w:t>The Education (Independent School Standards) Regulations 2014</w:t>
        </w:r>
      </w:hyperlink>
      <w:r w:rsidRPr="00807C6B">
        <w:rPr>
          <w:rFonts w:ascii="Century Gothic" w:eastAsia="Times New Roman" w:hAnsi="Century Gothic" w:cs="Segoe UI"/>
          <w:color w:val="000000" w:themeColor="text1"/>
          <w:lang w:eastAsia="en-GB"/>
        </w:rPr>
        <w:t>, which requires proprietors to have a written risk assessment policy</w:t>
      </w:r>
      <w:r w:rsidRPr="00807C6B">
        <w:rPr>
          <w:rFonts w:ascii="Century Gothic" w:eastAsia="Times New Roman" w:hAnsi="Century Gothic" w:cs="Segoe UI"/>
          <w:color w:val="000000" w:themeColor="text1"/>
          <w:lang w:val="en-GB" w:eastAsia="en-GB"/>
        </w:rPr>
        <w:t> </w:t>
      </w:r>
    </w:p>
    <w:p w14:paraId="49E00C28"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Regulations 3 and 16 of </w:t>
      </w:r>
      <w:hyperlink r:id="rId11" w:tgtFrame="_blank" w:history="1">
        <w:r w:rsidRPr="00807C6B">
          <w:rPr>
            <w:rFonts w:ascii="Century Gothic" w:eastAsia="Times New Roman" w:hAnsi="Century Gothic" w:cs="Segoe UI"/>
            <w:color w:val="000000" w:themeColor="text1"/>
            <w:u w:val="single"/>
            <w:lang w:eastAsia="en-GB"/>
          </w:rPr>
          <w:t>The Management of Health and Safety at Work Regulations 1999</w:t>
        </w:r>
      </w:hyperlink>
      <w:r w:rsidRPr="00807C6B">
        <w:rPr>
          <w:rFonts w:ascii="Century Gothic" w:eastAsia="Times New Roman" w:hAnsi="Century Gothic" w:cs="Segoe UI"/>
          <w:color w:val="000000" w:themeColor="text1"/>
          <w:lang w:eastAsia="en-GB"/>
        </w:rPr>
        <w:t xml:space="preserve"> require employers to assess risks to the health and safety of their employees, including new and expectant mothers</w:t>
      </w:r>
      <w:r w:rsidRPr="00807C6B">
        <w:rPr>
          <w:rFonts w:ascii="Century Gothic" w:eastAsia="Times New Roman" w:hAnsi="Century Gothic" w:cs="Segoe UI"/>
          <w:color w:val="000000" w:themeColor="text1"/>
          <w:lang w:val="en-GB" w:eastAsia="en-GB"/>
        </w:rPr>
        <w:t> </w:t>
      </w:r>
    </w:p>
    <w:p w14:paraId="333F2443"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2" w:tgtFrame="_blank" w:history="1">
        <w:r w:rsidRPr="00807C6B">
          <w:rPr>
            <w:rFonts w:ascii="Century Gothic" w:eastAsia="Times New Roman" w:hAnsi="Century Gothic" w:cs="Segoe UI"/>
            <w:color w:val="000000" w:themeColor="text1"/>
            <w:u w:val="single"/>
            <w:lang w:eastAsia="en-GB"/>
          </w:rPr>
          <w:t>The Control of Asbestos Regulations 2012</w:t>
        </w:r>
      </w:hyperlink>
      <w:r w:rsidRPr="00807C6B">
        <w:rPr>
          <w:rFonts w:ascii="Century Gothic" w:eastAsia="Times New Roman" w:hAnsi="Century Gothic" w:cs="Segoe UI"/>
          <w:color w:val="000000" w:themeColor="text1"/>
          <w:lang w:eastAsia="en-GB"/>
        </w:rPr>
        <w:t xml:space="preserve"> requires employers carry out an asbestos risk assessment</w:t>
      </w:r>
      <w:r w:rsidRPr="00807C6B">
        <w:rPr>
          <w:rFonts w:ascii="Century Gothic" w:eastAsia="Times New Roman" w:hAnsi="Century Gothic" w:cs="Segoe UI"/>
          <w:color w:val="000000" w:themeColor="text1"/>
          <w:lang w:val="en-GB" w:eastAsia="en-GB"/>
        </w:rPr>
        <w:t> </w:t>
      </w:r>
    </w:p>
    <w:p w14:paraId="185EEDFE"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Employers must assess the risk to workers from substances hazardous to health under regulation 6 of </w:t>
      </w:r>
      <w:hyperlink r:id="rId13" w:tgtFrame="_blank" w:history="1">
        <w:r w:rsidRPr="00807C6B">
          <w:rPr>
            <w:rFonts w:ascii="Century Gothic" w:eastAsia="Times New Roman" w:hAnsi="Century Gothic" w:cs="Segoe UI"/>
            <w:color w:val="000000" w:themeColor="text1"/>
            <w:u w:val="single"/>
            <w:lang w:eastAsia="en-GB"/>
          </w:rPr>
          <w:t>The Control of Substances Hazardous to Health Regulations 2002</w:t>
        </w:r>
      </w:hyperlink>
      <w:r w:rsidRPr="00807C6B">
        <w:rPr>
          <w:rFonts w:ascii="Century Gothic" w:eastAsia="Times New Roman" w:hAnsi="Century Gothic" w:cs="Segoe UI"/>
          <w:color w:val="000000" w:themeColor="text1"/>
          <w:lang w:val="en-GB" w:eastAsia="en-GB"/>
        </w:rPr>
        <w:t> </w:t>
      </w:r>
    </w:p>
    <w:p w14:paraId="0CDCDFF9"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Under regulation 2 of </w:t>
      </w:r>
      <w:hyperlink r:id="rId14" w:tgtFrame="_blank" w:history="1">
        <w:r w:rsidRPr="00807C6B">
          <w:rPr>
            <w:rFonts w:ascii="Century Gothic" w:eastAsia="Times New Roman" w:hAnsi="Century Gothic" w:cs="Segoe UI"/>
            <w:color w:val="000000" w:themeColor="text1"/>
            <w:u w:val="single"/>
            <w:lang w:eastAsia="en-GB"/>
          </w:rPr>
          <w:t>The Health and Safety (Display Screen Equipment) Regulations 1992</w:t>
        </w:r>
      </w:hyperlink>
      <w:r w:rsidRPr="00807C6B">
        <w:rPr>
          <w:rFonts w:ascii="Century Gothic" w:eastAsia="Times New Roman" w:hAnsi="Century Gothic" w:cs="Segoe UI"/>
          <w:color w:val="000000" w:themeColor="text1"/>
          <w:lang w:eastAsia="en-GB"/>
        </w:rPr>
        <w:t>, employers must assess the health and safety risks that display screen equipment pose to staff</w:t>
      </w:r>
      <w:r w:rsidRPr="00807C6B">
        <w:rPr>
          <w:rFonts w:ascii="Century Gothic" w:eastAsia="Times New Roman" w:hAnsi="Century Gothic" w:cs="Segoe UI"/>
          <w:color w:val="000000" w:themeColor="text1"/>
          <w:lang w:val="en-GB" w:eastAsia="en-GB"/>
        </w:rPr>
        <w:t> </w:t>
      </w:r>
    </w:p>
    <w:p w14:paraId="10891DDD"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9 of </w:t>
      </w:r>
      <w:hyperlink r:id="rId15" w:tgtFrame="_blank" w:history="1">
        <w:r w:rsidRPr="00807C6B">
          <w:rPr>
            <w:rFonts w:ascii="Century Gothic" w:eastAsia="Times New Roman" w:hAnsi="Century Gothic" w:cs="Segoe UI"/>
            <w:color w:val="000000" w:themeColor="text1"/>
            <w:u w:val="single"/>
            <w:lang w:eastAsia="en-GB"/>
          </w:rPr>
          <w:t>The Regulatory Reform (Fire Safety) Order 2005</w:t>
        </w:r>
      </w:hyperlink>
      <w:r w:rsidRPr="00807C6B">
        <w:rPr>
          <w:rFonts w:ascii="Century Gothic" w:eastAsia="Times New Roman" w:hAnsi="Century Gothic" w:cs="Segoe UI"/>
          <w:color w:val="000000" w:themeColor="text1"/>
          <w:lang w:eastAsia="en-GB"/>
        </w:rPr>
        <w:t xml:space="preserve"> says fire risks must be assessed</w:t>
      </w:r>
      <w:r w:rsidRPr="00807C6B">
        <w:rPr>
          <w:rFonts w:ascii="Century Gothic" w:eastAsia="Times New Roman" w:hAnsi="Century Gothic" w:cs="Segoe UI"/>
          <w:color w:val="000000" w:themeColor="text1"/>
          <w:lang w:val="en-GB" w:eastAsia="en-GB"/>
        </w:rPr>
        <w:t> </w:t>
      </w:r>
    </w:p>
    <w:p w14:paraId="774B68EB"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6" w:tgtFrame="_blank" w:history="1">
        <w:r w:rsidRPr="00807C6B">
          <w:rPr>
            <w:rFonts w:ascii="Century Gothic" w:eastAsia="Times New Roman" w:hAnsi="Century Gothic" w:cs="Segoe UI"/>
            <w:color w:val="000000" w:themeColor="text1"/>
            <w:u w:val="single"/>
            <w:lang w:eastAsia="en-GB"/>
          </w:rPr>
          <w:t>The Manual Handling Operations Regulations 1992</w:t>
        </w:r>
      </w:hyperlink>
      <w:r w:rsidRPr="00807C6B">
        <w:rPr>
          <w:rFonts w:ascii="Century Gothic" w:eastAsia="Times New Roman" w:hAnsi="Century Gothic" w:cs="Segoe UI"/>
          <w:color w:val="000000" w:themeColor="text1"/>
          <w:lang w:eastAsia="en-GB"/>
        </w:rPr>
        <w:t xml:space="preserve"> requires employers to conduct a risk assessment for manual handling operations</w:t>
      </w:r>
      <w:r w:rsidRPr="00807C6B">
        <w:rPr>
          <w:rFonts w:ascii="Century Gothic" w:eastAsia="Times New Roman" w:hAnsi="Century Gothic" w:cs="Segoe UI"/>
          <w:color w:val="000000" w:themeColor="text1"/>
          <w:lang w:val="en-GB" w:eastAsia="en-GB"/>
        </w:rPr>
        <w:t> </w:t>
      </w:r>
    </w:p>
    <w:p w14:paraId="23050412"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7" w:tgtFrame="_blank" w:history="1">
        <w:r w:rsidRPr="00807C6B">
          <w:rPr>
            <w:rFonts w:ascii="Century Gothic" w:eastAsia="Times New Roman" w:hAnsi="Century Gothic" w:cs="Segoe UI"/>
            <w:color w:val="000000" w:themeColor="text1"/>
            <w:u w:val="single"/>
            <w:lang w:eastAsia="en-GB"/>
          </w:rPr>
          <w:t>The Work at Height Regulations 2005</w:t>
        </w:r>
      </w:hyperlink>
      <w:r w:rsidRPr="00807C6B">
        <w:rPr>
          <w:rFonts w:ascii="Century Gothic" w:eastAsia="Times New Roman" w:hAnsi="Century Gothic" w:cs="Segoe UI"/>
          <w:color w:val="000000" w:themeColor="text1"/>
          <w:lang w:eastAsia="en-GB"/>
        </w:rPr>
        <w:t xml:space="preserve"> say employers must conduct a risk assessment to help them identify the measures needed to ensure that work at height is carried out safely</w:t>
      </w:r>
      <w:r w:rsidRPr="00807C6B">
        <w:rPr>
          <w:rFonts w:ascii="Century Gothic" w:eastAsia="Times New Roman" w:hAnsi="Century Gothic" w:cs="Segoe UI"/>
          <w:color w:val="000000" w:themeColor="text1"/>
          <w:lang w:val="en-GB" w:eastAsia="en-GB"/>
        </w:rPr>
        <w:t> </w:t>
      </w:r>
    </w:p>
    <w:p w14:paraId="1279F465"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8" w:tgtFrame="_blank" w:history="1">
        <w:r w:rsidRPr="00807C6B">
          <w:rPr>
            <w:rFonts w:ascii="Century Gothic" w:eastAsia="Times New Roman" w:hAnsi="Century Gothic" w:cs="Segoe UI"/>
            <w:color w:val="000000" w:themeColor="text1"/>
            <w:u w:val="single"/>
            <w:lang w:eastAsia="en-GB"/>
          </w:rPr>
          <w:t>DfE guidance on first aid in schools</w:t>
        </w:r>
      </w:hyperlink>
      <w:r w:rsidRPr="00807C6B">
        <w:rPr>
          <w:rFonts w:ascii="Century Gothic" w:eastAsia="Times New Roman" w:hAnsi="Century Gothic" w:cs="Segoe UI"/>
          <w:color w:val="000000" w:themeColor="text1"/>
          <w:lang w:eastAsia="en-GB"/>
        </w:rPr>
        <w:t xml:space="preserve"> says schools must carry out a risk assessment to determine what first aid provision is needed</w:t>
      </w:r>
      <w:r w:rsidRPr="00807C6B">
        <w:rPr>
          <w:rFonts w:ascii="Century Gothic" w:eastAsia="Times New Roman" w:hAnsi="Century Gothic" w:cs="Segoe UI"/>
          <w:color w:val="000000" w:themeColor="text1"/>
          <w:lang w:val="en-GB" w:eastAsia="en-GB"/>
        </w:rPr>
        <w:t> </w:t>
      </w:r>
    </w:p>
    <w:p w14:paraId="6BA16F9A"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9" w:tgtFrame="_blank" w:history="1">
        <w:r w:rsidRPr="00807C6B">
          <w:rPr>
            <w:rFonts w:ascii="Century Gothic" w:eastAsia="Times New Roman" w:hAnsi="Century Gothic" w:cs="Segoe UI"/>
            <w:color w:val="000000" w:themeColor="text1"/>
            <w:u w:val="single"/>
            <w:lang w:eastAsia="en-GB"/>
          </w:rPr>
          <w:t>DfE guidance on the Prevent duty</w:t>
        </w:r>
      </w:hyperlink>
      <w:r w:rsidRPr="00807C6B">
        <w:rPr>
          <w:rFonts w:ascii="Century Gothic" w:eastAsia="Times New Roman" w:hAnsi="Century Gothic" w:cs="Segoe UI"/>
          <w:color w:val="000000" w:themeColor="text1"/>
          <w:lang w:eastAsia="en-GB"/>
        </w:rPr>
        <w:t xml:space="preserve"> states schools are expected to assess the risk of pupils being drawn into terrorism</w:t>
      </w:r>
      <w:r w:rsidRPr="00807C6B">
        <w:rPr>
          <w:rFonts w:ascii="Century Gothic" w:eastAsia="Times New Roman" w:hAnsi="Century Gothic" w:cs="Segoe UI"/>
          <w:color w:val="000000" w:themeColor="text1"/>
          <w:lang w:val="en-GB" w:eastAsia="en-GB"/>
        </w:rPr>
        <w:t> </w:t>
      </w:r>
    </w:p>
    <w:p w14:paraId="2B434788"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20" w:tgtFrame="_blank" w:history="1">
        <w:r w:rsidRPr="00807C6B">
          <w:rPr>
            <w:rFonts w:ascii="Century Gothic" w:eastAsia="Times New Roman" w:hAnsi="Century Gothic" w:cs="Segoe UI"/>
            <w:color w:val="000000" w:themeColor="text1"/>
            <w:u w:val="single"/>
            <w:lang w:eastAsia="en-GB"/>
          </w:rPr>
          <w:t>The Health and Safety Executive (HSE)</w:t>
        </w:r>
      </w:hyperlink>
      <w:r w:rsidRPr="00807C6B">
        <w:rPr>
          <w:rFonts w:ascii="Century Gothic" w:eastAsia="Times New Roman" w:hAnsi="Century Gothic" w:cs="Segoe UI"/>
          <w:color w:val="000000" w:themeColor="text1"/>
          <w:lang w:eastAsia="en-GB"/>
        </w:rPr>
        <w:t xml:space="preserve"> say schools that manage their own pools must conduct a risk assessment</w:t>
      </w:r>
      <w:r w:rsidRPr="00807C6B">
        <w:rPr>
          <w:rFonts w:ascii="Century Gothic" w:eastAsia="Times New Roman" w:hAnsi="Century Gothic" w:cs="Segoe UI"/>
          <w:color w:val="000000" w:themeColor="text1"/>
          <w:lang w:val="en-GB" w:eastAsia="en-GB"/>
        </w:rPr>
        <w:t> </w:t>
      </w:r>
    </w:p>
    <w:p w14:paraId="535E5419" w14:textId="77777777" w:rsidR="00446333"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DfE guidance on </w:t>
      </w:r>
      <w:hyperlink r:id="rId21" w:anchor="covid-19" w:tgtFrame="_blank" w:history="1">
        <w:r w:rsidRPr="00807C6B">
          <w:rPr>
            <w:rFonts w:ascii="Century Gothic" w:eastAsia="Times New Roman" w:hAnsi="Century Gothic" w:cs="Segoe UI"/>
            <w:color w:val="000000" w:themeColor="text1"/>
            <w:u w:val="single"/>
            <w:lang w:eastAsia="en-GB"/>
          </w:rPr>
          <w:t>health and safety: responsibilities and duties for schools</w:t>
        </w:r>
      </w:hyperlink>
      <w:r w:rsidRPr="00807C6B">
        <w:rPr>
          <w:rFonts w:ascii="Century Gothic" w:eastAsia="Times New Roman" w:hAnsi="Century Gothic" w:cs="Segoe UI"/>
          <w:color w:val="000000" w:themeColor="text1"/>
          <w:lang w:eastAsia="en-GB"/>
        </w:rPr>
        <w:t xml:space="preserve"> says schools must identify the measures needed to reduce the risks from public health incidents, including COVID-19, so far as is reasonably practicable</w:t>
      </w:r>
    </w:p>
    <w:p w14:paraId="21E023AB" w14:textId="712CCD56"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lastRenderedPageBreak/>
        <w:t>This policy complies with our funding agreement and articles of association.</w:t>
      </w:r>
      <w:r w:rsidRPr="00807C6B">
        <w:rPr>
          <w:rFonts w:ascii="Century Gothic" w:eastAsia="Times New Roman" w:hAnsi="Century Gothic" w:cs="Segoe UI"/>
          <w:color w:val="000000" w:themeColor="text1"/>
          <w:lang w:val="en-GB" w:eastAsia="en-GB"/>
        </w:rPr>
        <w:t> </w:t>
      </w:r>
    </w:p>
    <w:p w14:paraId="5ECE5BC5" w14:textId="2DA37467" w:rsidR="00446333" w:rsidRPr="00807C6B" w:rsidRDefault="00446333" w:rsidP="00E04556">
      <w:pPr>
        <w:spacing w:after="0" w:line="240" w:lineRule="auto"/>
        <w:textAlignment w:val="baseline"/>
        <w:rPr>
          <w:rFonts w:ascii="Century Gothic" w:eastAsia="Times New Roman" w:hAnsi="Century Gothic" w:cs="Segoe UI"/>
          <w:color w:val="000000" w:themeColor="text1"/>
          <w:lang w:val="en-GB" w:eastAsia="en-GB"/>
        </w:rPr>
      </w:pPr>
    </w:p>
    <w:p w14:paraId="2EC51949" w14:textId="5E8792C8"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Definitions</w:t>
      </w:r>
      <w:r w:rsidRPr="00807C6B">
        <w:rPr>
          <w:rFonts w:ascii="Century Gothic" w:eastAsia="Times New Roman" w:hAnsi="Century Gothic" w:cs="Segoe UI"/>
          <w:b/>
          <w:color w:val="000000" w:themeColor="text1"/>
          <w:lang w:val="en-GB" w:eastAsia="en-GB"/>
        </w:rPr>
        <w:t> </w:t>
      </w:r>
    </w:p>
    <w:p w14:paraId="582BEDA9"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tbl>
      <w:tblPr>
        <w:tblW w:w="913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7005"/>
      </w:tblGrid>
      <w:tr w:rsidR="00367FA7" w:rsidRPr="00807C6B" w14:paraId="1ED66055" w14:textId="77777777" w:rsidTr="00807C6B">
        <w:trPr>
          <w:trHeight w:val="480"/>
        </w:trPr>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5A67C7E8"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 assessment</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A6CE69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 tool for examining the hazards linked to a particular activity or situation, and establishing whether enough precautions have been taken in order to prevent harm from them based on their likelihood and their potential to cause harm</w:t>
            </w:r>
            <w:r w:rsidRPr="00807C6B">
              <w:rPr>
                <w:rFonts w:ascii="Century Gothic" w:eastAsia="Times New Roman" w:hAnsi="Century Gothic" w:cs="Times New Roman"/>
                <w:color w:val="000000" w:themeColor="text1"/>
                <w:lang w:val="en-GB" w:eastAsia="en-GB"/>
              </w:rPr>
              <w:t> </w:t>
            </w:r>
          </w:p>
        </w:tc>
      </w:tr>
      <w:tr w:rsidR="00367FA7" w:rsidRPr="00807C6B" w14:paraId="7F0D7F75"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213A68E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Hazard</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8D85A4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Something with the potential to cause harm to people, such as chemicals or working from height</w:t>
            </w:r>
            <w:r w:rsidRPr="00807C6B">
              <w:rPr>
                <w:rFonts w:ascii="Century Gothic" w:eastAsia="Times New Roman" w:hAnsi="Century Gothic" w:cs="Times New Roman"/>
                <w:color w:val="000000" w:themeColor="text1"/>
                <w:lang w:val="en-GB" w:eastAsia="en-GB"/>
              </w:rPr>
              <w:t> </w:t>
            </w:r>
          </w:p>
        </w:tc>
      </w:tr>
      <w:tr w:rsidR="00367FA7" w:rsidRPr="00807C6B" w14:paraId="6F3AE690"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3DFA7E3"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6387705"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The chance (high or low) that people could be harmed by hazards, together with an indication of how serious the harm could be</w:t>
            </w:r>
            <w:r w:rsidRPr="00807C6B">
              <w:rPr>
                <w:rFonts w:ascii="Century Gothic" w:eastAsia="Times New Roman" w:hAnsi="Century Gothic" w:cs="Times New Roman"/>
                <w:color w:val="000000" w:themeColor="text1"/>
                <w:lang w:val="en-GB" w:eastAsia="en-GB"/>
              </w:rPr>
              <w:t> </w:t>
            </w:r>
          </w:p>
        </w:tc>
      </w:tr>
      <w:tr w:rsidR="00367FA7" w:rsidRPr="00807C6B" w14:paraId="0FBD36FF"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1AC03F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Control measure</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F202876"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Action taken to prevent people being harmed</w:t>
            </w:r>
            <w:r w:rsidRPr="00807C6B">
              <w:rPr>
                <w:rFonts w:ascii="Century Gothic" w:eastAsia="Times New Roman" w:hAnsi="Century Gothic" w:cs="Times New Roman"/>
                <w:color w:val="000000" w:themeColor="text1"/>
                <w:lang w:val="en-GB" w:eastAsia="en-GB"/>
              </w:rPr>
              <w:t> </w:t>
            </w:r>
          </w:p>
        </w:tc>
      </w:tr>
    </w:tbl>
    <w:p w14:paraId="7CC0D4CA" w14:textId="77777777" w:rsidR="00446333" w:rsidRPr="00807C6B" w:rsidRDefault="00446333" w:rsidP="00E04556">
      <w:pPr>
        <w:spacing w:after="0" w:line="240" w:lineRule="auto"/>
        <w:textAlignment w:val="baseline"/>
        <w:rPr>
          <w:rFonts w:ascii="Century Gothic" w:eastAsia="Times New Roman" w:hAnsi="Century Gothic" w:cs="Segoe UI"/>
          <w:color w:val="000000" w:themeColor="text1"/>
          <w:lang w:eastAsia="en-GB"/>
        </w:rPr>
      </w:pPr>
    </w:p>
    <w:p w14:paraId="68F39F7D" w14:textId="2AEE8B79"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Roles and responsibilities</w:t>
      </w:r>
      <w:r w:rsidRPr="00807C6B">
        <w:rPr>
          <w:rFonts w:ascii="Century Gothic" w:eastAsia="Times New Roman" w:hAnsi="Century Gothic" w:cs="Segoe UI"/>
          <w:b/>
          <w:color w:val="000000" w:themeColor="text1"/>
          <w:lang w:val="en-GB" w:eastAsia="en-GB"/>
        </w:rPr>
        <w:t> </w:t>
      </w:r>
    </w:p>
    <w:p w14:paraId="2F4907C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653A69DB" w14:textId="3C1ADD1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The Directors</w:t>
      </w:r>
      <w:r w:rsidRPr="00807C6B">
        <w:rPr>
          <w:rFonts w:ascii="Century Gothic" w:eastAsia="Times New Roman" w:hAnsi="Century Gothic" w:cs="Segoe UI"/>
          <w:color w:val="000000" w:themeColor="text1"/>
          <w:lang w:val="en-GB" w:eastAsia="en-GB"/>
        </w:rPr>
        <w:t> </w:t>
      </w:r>
    </w:p>
    <w:p w14:paraId="683EDD2B" w14:textId="033EE25E" w:rsidR="001C0CE7"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ultimate responsibility for health and safety matters in the </w:t>
      </w:r>
      <w:r w:rsidR="00C2212A" w:rsidRPr="00807C6B">
        <w:rPr>
          <w:rFonts w:ascii="Century Gothic" w:eastAsia="Times New Roman" w:hAnsi="Century Gothic" w:cs="Segoe UI"/>
          <w:color w:val="000000" w:themeColor="text1"/>
          <w:lang w:eastAsia="en-GB"/>
        </w:rPr>
        <w:t>school but</w:t>
      </w:r>
      <w:r w:rsidRPr="00807C6B">
        <w:rPr>
          <w:rFonts w:ascii="Century Gothic" w:eastAsia="Times New Roman" w:hAnsi="Century Gothic" w:cs="Segoe UI"/>
          <w:color w:val="000000" w:themeColor="text1"/>
          <w:lang w:eastAsia="en-GB"/>
        </w:rPr>
        <w:t xml:space="preserve"> will delegate day-to-day responsibility to Alison Laws</w:t>
      </w:r>
      <w:r w:rsidRPr="00807C6B">
        <w:rPr>
          <w:rFonts w:ascii="Century Gothic" w:eastAsia="Times New Roman" w:hAnsi="Century Gothic" w:cs="Segoe UI"/>
          <w:color w:val="000000" w:themeColor="text1"/>
          <w:lang w:val="en-GB" w:eastAsia="en-GB"/>
        </w:rPr>
        <w:t> </w:t>
      </w:r>
      <w:r w:rsidR="001C0CE7">
        <w:rPr>
          <w:rFonts w:ascii="Century Gothic" w:eastAsia="Times New Roman" w:hAnsi="Century Gothic" w:cs="Segoe UI"/>
          <w:color w:val="000000" w:themeColor="text1"/>
          <w:lang w:val="en-GB" w:eastAsia="en-GB"/>
        </w:rPr>
        <w:t xml:space="preserve">as </w:t>
      </w:r>
      <w:r w:rsidR="00C2212A">
        <w:rPr>
          <w:rFonts w:ascii="Century Gothic" w:eastAsia="Times New Roman" w:hAnsi="Century Gothic" w:cs="Segoe UI"/>
          <w:color w:val="000000" w:themeColor="text1"/>
          <w:lang w:val="en-GB" w:eastAsia="en-GB"/>
        </w:rPr>
        <w:t>Head of Operations</w:t>
      </w:r>
      <w:r w:rsidR="001C0CE7">
        <w:rPr>
          <w:rFonts w:ascii="Century Gothic" w:eastAsia="Times New Roman" w:hAnsi="Century Gothic" w:cs="Segoe UI"/>
          <w:color w:val="000000" w:themeColor="text1"/>
          <w:lang w:val="en-GB" w:eastAsia="en-GB"/>
        </w:rPr>
        <w:t xml:space="preserve">. </w:t>
      </w:r>
    </w:p>
    <w:p w14:paraId="0237A21A" w14:textId="77777777" w:rsidR="00C2212A" w:rsidRDefault="00C2212A" w:rsidP="00E04556">
      <w:pPr>
        <w:spacing w:after="0" w:line="240" w:lineRule="auto"/>
        <w:textAlignment w:val="baseline"/>
        <w:rPr>
          <w:rFonts w:ascii="Century Gothic" w:eastAsia="Times New Roman" w:hAnsi="Century Gothic" w:cs="Segoe UI"/>
          <w:color w:val="000000" w:themeColor="text1"/>
          <w:lang w:val="en-GB" w:eastAsia="en-GB"/>
        </w:rPr>
      </w:pPr>
    </w:p>
    <w:p w14:paraId="0CFBE289" w14:textId="3956CB79" w:rsidR="00E04556" w:rsidRDefault="001C0CE7" w:rsidP="00E04556">
      <w:pPr>
        <w:spacing w:after="0" w:line="240" w:lineRule="auto"/>
        <w:textAlignment w:val="baseline"/>
        <w:rPr>
          <w:rFonts w:ascii="Century Gothic" w:eastAsia="Times New Roman" w:hAnsi="Century Gothic" w:cs="Segoe UI"/>
          <w:b/>
          <w:bCs/>
          <w:color w:val="00B050"/>
          <w:lang w:val="en-GB" w:eastAsia="en-GB"/>
        </w:rPr>
      </w:pPr>
      <w:proofErr w:type="spellStart"/>
      <w:r w:rsidRPr="001C0CE7">
        <w:rPr>
          <w:rFonts w:ascii="Century Gothic" w:eastAsia="Times New Roman" w:hAnsi="Century Gothic" w:cs="Segoe UI"/>
          <w:b/>
          <w:bCs/>
          <w:color w:val="00B050"/>
          <w:lang w:val="en-GB" w:eastAsia="en-GB"/>
        </w:rPr>
        <w:t>Hopefields</w:t>
      </w:r>
      <w:proofErr w:type="spellEnd"/>
      <w:r w:rsidRPr="001C0CE7">
        <w:rPr>
          <w:rFonts w:ascii="Century Gothic" w:eastAsia="Times New Roman" w:hAnsi="Century Gothic" w:cs="Segoe UI"/>
          <w:b/>
          <w:bCs/>
          <w:color w:val="00B050"/>
          <w:lang w:val="en-GB" w:eastAsia="en-GB"/>
        </w:rPr>
        <w:t xml:space="preserve"> also use the services of an expert company for Health and Safety requirements </w:t>
      </w:r>
      <w:proofErr w:type="gramStart"/>
      <w:r w:rsidR="00386D3D">
        <w:rPr>
          <w:rFonts w:ascii="Century Gothic" w:eastAsia="Times New Roman" w:hAnsi="Century Gothic" w:cs="Segoe UI"/>
          <w:b/>
          <w:bCs/>
          <w:color w:val="00B050"/>
          <w:lang w:val="en-GB" w:eastAsia="en-GB"/>
        </w:rPr>
        <w:t xml:space="preserve">- </w:t>
      </w:r>
      <w:r w:rsidRPr="001C0CE7">
        <w:rPr>
          <w:rFonts w:ascii="Century Gothic" w:eastAsia="Times New Roman" w:hAnsi="Century Gothic" w:cs="Segoe UI"/>
          <w:b/>
          <w:bCs/>
          <w:color w:val="00B050"/>
          <w:lang w:val="en-GB" w:eastAsia="en-GB"/>
        </w:rPr>
        <w:t xml:space="preserve"> </w:t>
      </w:r>
      <w:r w:rsidR="00434003">
        <w:rPr>
          <w:rFonts w:ascii="Century Gothic" w:eastAsia="Times New Roman" w:hAnsi="Century Gothic" w:cs="Segoe UI"/>
          <w:b/>
          <w:bCs/>
          <w:color w:val="00B050"/>
          <w:lang w:val="en-GB" w:eastAsia="en-GB"/>
        </w:rPr>
        <w:t>NYES</w:t>
      </w:r>
      <w:proofErr w:type="gramEnd"/>
    </w:p>
    <w:p w14:paraId="12AB54F5" w14:textId="77777777" w:rsidR="00C2212A" w:rsidRPr="001C0CE7" w:rsidRDefault="00C2212A" w:rsidP="00E04556">
      <w:pPr>
        <w:spacing w:after="0" w:line="240" w:lineRule="auto"/>
        <w:textAlignment w:val="baseline"/>
        <w:rPr>
          <w:rFonts w:ascii="Segoe UI" w:eastAsia="Times New Roman" w:hAnsi="Segoe UI" w:cs="Segoe UI"/>
          <w:b/>
          <w:bCs/>
          <w:color w:val="00B050"/>
          <w:lang w:val="en-GB" w:eastAsia="en-GB"/>
        </w:rPr>
      </w:pPr>
    </w:p>
    <w:p w14:paraId="362E4B6E" w14:textId="154B8F3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a duty to take reasonable steps to ensure that staff and </w:t>
      </w:r>
      <w:r w:rsidR="0001614F">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are not exposed to risks to their health and safety. This applies to activities on or off the school premises. </w:t>
      </w:r>
      <w:r w:rsidRPr="00807C6B">
        <w:rPr>
          <w:rFonts w:ascii="Century Gothic" w:eastAsia="Times New Roman" w:hAnsi="Century Gothic" w:cs="Segoe UI"/>
          <w:color w:val="000000" w:themeColor="text1"/>
          <w:lang w:val="en-GB" w:eastAsia="en-GB"/>
        </w:rPr>
        <w:t> </w:t>
      </w:r>
    </w:p>
    <w:p w14:paraId="29109481" w14:textId="77777777"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The Directors as the employer, also has a duty to:</w:t>
      </w:r>
      <w:r w:rsidRPr="00807C6B">
        <w:rPr>
          <w:rFonts w:ascii="Century Gothic" w:eastAsia="Times New Roman" w:hAnsi="Century Gothic" w:cs="Segoe UI"/>
          <w:color w:val="000000" w:themeColor="text1"/>
          <w:lang w:val="en-GB" w:eastAsia="en-GB"/>
        </w:rPr>
        <w:t> </w:t>
      </w:r>
    </w:p>
    <w:p w14:paraId="7593979B"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7C1DCEA9"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Assess the risks to staff and others affected by school activities in order to identify and introduce the health and safety measures necessary to manage the risks</w:t>
      </w:r>
      <w:r w:rsidRPr="00807C6B">
        <w:rPr>
          <w:rFonts w:ascii="Century Gothic" w:eastAsia="Times New Roman" w:hAnsi="Century Gothic" w:cs="Segoe UI"/>
          <w:color w:val="000000" w:themeColor="text1"/>
          <w:lang w:val="en-GB" w:eastAsia="en-GB"/>
        </w:rPr>
        <w:t> </w:t>
      </w:r>
    </w:p>
    <w:p w14:paraId="1E8E1345"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Inform employees about risks and the measures in place to manage them</w:t>
      </w:r>
      <w:r w:rsidRPr="00807C6B">
        <w:rPr>
          <w:rFonts w:ascii="Century Gothic" w:eastAsia="Times New Roman" w:hAnsi="Century Gothic" w:cs="Segoe UI"/>
          <w:color w:val="000000" w:themeColor="text1"/>
          <w:lang w:val="en-GB" w:eastAsia="en-GB"/>
        </w:rPr>
        <w:t> </w:t>
      </w:r>
    </w:p>
    <w:p w14:paraId="03A9F129"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4B860ADE" w14:textId="22C9F7B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The </w:t>
      </w:r>
      <w:r w:rsidR="0001614F">
        <w:rPr>
          <w:rFonts w:ascii="Century Gothic" w:eastAsia="Times New Roman" w:hAnsi="Century Gothic" w:cs="Segoe UI"/>
          <w:b/>
          <w:bCs/>
          <w:color w:val="000000" w:themeColor="text1"/>
          <w:lang w:eastAsia="en-GB"/>
        </w:rPr>
        <w:t>H</w:t>
      </w:r>
      <w:r w:rsidRPr="00807C6B">
        <w:rPr>
          <w:rFonts w:ascii="Century Gothic" w:eastAsia="Times New Roman" w:hAnsi="Century Gothic" w:cs="Segoe UI"/>
          <w:b/>
          <w:bCs/>
          <w:color w:val="000000" w:themeColor="text1"/>
          <w:lang w:eastAsia="en-GB"/>
        </w:rPr>
        <w:t>eadteacher</w:t>
      </w:r>
      <w:r w:rsidRPr="00807C6B">
        <w:rPr>
          <w:rFonts w:ascii="Century Gothic" w:eastAsia="Times New Roman" w:hAnsi="Century Gothic" w:cs="Segoe UI"/>
          <w:color w:val="000000" w:themeColor="text1"/>
          <w:lang w:val="en-GB" w:eastAsia="en-GB"/>
        </w:rPr>
        <w:t> </w:t>
      </w:r>
    </w:p>
    <w:p w14:paraId="705BC774" w14:textId="032B944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w:t>
      </w:r>
      <w:r w:rsidR="0001614F">
        <w:rPr>
          <w:rFonts w:ascii="Century Gothic" w:eastAsia="Times New Roman" w:hAnsi="Century Gothic" w:cs="Segoe UI"/>
          <w:color w:val="000000" w:themeColor="text1"/>
          <w:lang w:eastAsia="en-GB"/>
        </w:rPr>
        <w:t xml:space="preserve"> (</w:t>
      </w:r>
      <w:r w:rsidRPr="00807C6B">
        <w:rPr>
          <w:rFonts w:ascii="Century Gothic" w:eastAsia="Times New Roman" w:hAnsi="Century Gothic" w:cs="Segoe UI"/>
          <w:color w:val="000000" w:themeColor="text1"/>
          <w:lang w:eastAsia="en-GB"/>
        </w:rPr>
        <w:t xml:space="preserve">or in 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eadteacher’s absence</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the Directors</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are responsible for ensuring that all risk assessments are completed and reviewed.</w:t>
      </w:r>
      <w:r w:rsidRPr="00807C6B">
        <w:rPr>
          <w:rFonts w:ascii="Century Gothic" w:eastAsia="Times New Roman" w:hAnsi="Century Gothic" w:cs="Segoe UI"/>
          <w:color w:val="000000" w:themeColor="text1"/>
          <w:lang w:val="en-GB" w:eastAsia="en-GB"/>
        </w:rPr>
        <w:t> </w:t>
      </w:r>
    </w:p>
    <w:p w14:paraId="60BBE6C6" w14:textId="3EBD9A55" w:rsidR="00807C6B" w:rsidRPr="008509CE"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color w:val="000000" w:themeColor="text1"/>
          <w:lang w:eastAsia="en-GB"/>
        </w:rPr>
        <w:t> </w:t>
      </w:r>
    </w:p>
    <w:p w14:paraId="68D26FEC" w14:textId="5BDC94B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School staff and volunteers</w:t>
      </w:r>
      <w:r w:rsidRPr="00807C6B">
        <w:rPr>
          <w:rFonts w:ascii="Century Gothic" w:eastAsia="Times New Roman" w:hAnsi="Century Gothic" w:cs="Segoe UI"/>
          <w:color w:val="000000" w:themeColor="text1"/>
          <w:lang w:val="en-GB" w:eastAsia="en-GB"/>
        </w:rPr>
        <w:t> </w:t>
      </w:r>
    </w:p>
    <w:p w14:paraId="6C1CA8C4" w14:textId="2E4B4172"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School staff are responsible for:</w:t>
      </w:r>
      <w:r w:rsidRPr="00807C6B">
        <w:rPr>
          <w:rFonts w:ascii="Century Gothic" w:eastAsia="Times New Roman" w:hAnsi="Century Gothic" w:cs="Segoe UI"/>
          <w:color w:val="000000" w:themeColor="text1"/>
          <w:lang w:val="en-GB" w:eastAsia="en-GB"/>
        </w:rPr>
        <w:t> </w:t>
      </w:r>
    </w:p>
    <w:p w14:paraId="181A6EF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228366F5"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Assisting with, and participating in, risk assessment processes, as required</w:t>
      </w:r>
      <w:r w:rsidRPr="00807C6B">
        <w:rPr>
          <w:rFonts w:ascii="Century Gothic" w:eastAsia="Times New Roman" w:hAnsi="Century Gothic" w:cs="Segoe UI"/>
          <w:color w:val="000000" w:themeColor="text1"/>
          <w:lang w:val="en-GB" w:eastAsia="en-GB"/>
        </w:rPr>
        <w:t> </w:t>
      </w:r>
    </w:p>
    <w:p w14:paraId="2611934E"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proofErr w:type="spellStart"/>
      <w:r w:rsidRPr="00807C6B">
        <w:rPr>
          <w:rFonts w:ascii="Century Gothic" w:eastAsia="Times New Roman" w:hAnsi="Century Gothic" w:cs="Segoe UI"/>
          <w:color w:val="000000" w:themeColor="text1"/>
          <w:lang w:eastAsia="en-GB"/>
        </w:rPr>
        <w:lastRenderedPageBreak/>
        <w:t>Familiarising</w:t>
      </w:r>
      <w:proofErr w:type="spellEnd"/>
      <w:r w:rsidRPr="00807C6B">
        <w:rPr>
          <w:rFonts w:ascii="Century Gothic" w:eastAsia="Times New Roman" w:hAnsi="Century Gothic" w:cs="Segoe UI"/>
          <w:color w:val="000000" w:themeColor="text1"/>
          <w:lang w:eastAsia="en-GB"/>
        </w:rPr>
        <w:t xml:space="preserve"> themselves with risk assessments</w:t>
      </w:r>
      <w:r w:rsidRPr="00807C6B">
        <w:rPr>
          <w:rFonts w:ascii="Century Gothic" w:eastAsia="Times New Roman" w:hAnsi="Century Gothic" w:cs="Segoe UI"/>
          <w:color w:val="000000" w:themeColor="text1"/>
          <w:lang w:val="en-GB" w:eastAsia="en-GB"/>
        </w:rPr>
        <w:t> </w:t>
      </w:r>
    </w:p>
    <w:p w14:paraId="0B4CEA0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Implementing control measures identified in risk assessments</w:t>
      </w:r>
      <w:r w:rsidRPr="00807C6B">
        <w:rPr>
          <w:rFonts w:ascii="Century Gothic" w:eastAsia="Times New Roman" w:hAnsi="Century Gothic" w:cs="Segoe UI"/>
          <w:color w:val="000000" w:themeColor="text1"/>
          <w:lang w:val="en-GB" w:eastAsia="en-GB"/>
        </w:rPr>
        <w:t> </w:t>
      </w:r>
    </w:p>
    <w:p w14:paraId="20BC094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Alerting the headteacher to any risks they find that need assessing</w:t>
      </w:r>
      <w:r w:rsidRPr="00807C6B">
        <w:rPr>
          <w:rFonts w:ascii="Century Gothic" w:eastAsia="Times New Roman" w:hAnsi="Century Gothic" w:cs="Segoe UI"/>
          <w:color w:val="000000" w:themeColor="text1"/>
          <w:lang w:val="en-GB" w:eastAsia="en-GB"/>
        </w:rPr>
        <w:t> </w:t>
      </w:r>
    </w:p>
    <w:p w14:paraId="51B4B6E5" w14:textId="77777777" w:rsidR="00807C6B" w:rsidRPr="00807C6B" w:rsidRDefault="00807C6B" w:rsidP="00E04556">
      <w:pPr>
        <w:spacing w:after="0" w:line="240" w:lineRule="auto"/>
        <w:textAlignment w:val="baseline"/>
        <w:rPr>
          <w:rFonts w:ascii="Century Gothic" w:eastAsia="Times New Roman" w:hAnsi="Century Gothic" w:cs="Segoe UI"/>
          <w:b/>
          <w:bCs/>
          <w:color w:val="000000" w:themeColor="text1"/>
          <w:lang w:eastAsia="en-GB"/>
        </w:rPr>
      </w:pPr>
    </w:p>
    <w:p w14:paraId="1EB1C5B2"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Students</w:t>
      </w:r>
      <w:r w:rsidR="00E04556" w:rsidRPr="00807C6B">
        <w:rPr>
          <w:rFonts w:ascii="Century Gothic" w:eastAsia="Times New Roman" w:hAnsi="Century Gothic" w:cs="Segoe UI"/>
          <w:b/>
          <w:bCs/>
          <w:color w:val="000000" w:themeColor="text1"/>
          <w:lang w:eastAsia="en-GB"/>
        </w:rPr>
        <w:t xml:space="preserve"> and parents</w:t>
      </w:r>
      <w:r w:rsidR="00E04556" w:rsidRPr="00807C6B">
        <w:rPr>
          <w:rFonts w:ascii="Century Gothic" w:eastAsia="Times New Roman" w:hAnsi="Century Gothic" w:cs="Segoe UI"/>
          <w:color w:val="000000" w:themeColor="text1"/>
          <w:lang w:val="en-GB" w:eastAsia="en-GB"/>
        </w:rPr>
        <w:t> </w:t>
      </w:r>
    </w:p>
    <w:p w14:paraId="55DE5637" w14:textId="4F9C446F" w:rsidR="00E04556"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Students</w:t>
      </w:r>
      <w:r w:rsidR="00E04556" w:rsidRPr="00807C6B">
        <w:rPr>
          <w:rFonts w:ascii="Century Gothic" w:eastAsia="Times New Roman" w:hAnsi="Century Gothic" w:cs="Segoe UI"/>
          <w:color w:val="000000" w:themeColor="text1"/>
          <w:lang w:eastAsia="en-GB"/>
        </w:rPr>
        <w:t xml:space="preserve"> and parents are responsible for following the school’s advice in relation to risks, on-site and off-site, and for reporting any hazards to a member of staff. </w:t>
      </w:r>
      <w:r w:rsidR="00E04556" w:rsidRPr="00807C6B">
        <w:rPr>
          <w:rFonts w:ascii="Century Gothic" w:eastAsia="Times New Roman" w:hAnsi="Century Gothic" w:cs="Segoe UI"/>
          <w:color w:val="000000" w:themeColor="text1"/>
          <w:lang w:val="en-GB" w:eastAsia="en-GB"/>
        </w:rPr>
        <w:t> </w:t>
      </w:r>
    </w:p>
    <w:p w14:paraId="4D9E636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057738D" w14:textId="0FC0046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Contractors</w:t>
      </w:r>
      <w:r w:rsidRPr="00807C6B">
        <w:rPr>
          <w:rFonts w:ascii="Century Gothic" w:eastAsia="Times New Roman" w:hAnsi="Century Gothic" w:cs="Segoe UI"/>
          <w:color w:val="000000" w:themeColor="text1"/>
          <w:lang w:val="en-GB" w:eastAsia="en-GB"/>
        </w:rPr>
        <w:t> </w:t>
      </w:r>
    </w:p>
    <w:p w14:paraId="4CCBA36F" w14:textId="45730E33" w:rsidR="00446333"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Contractors are expected to provide evidence that they have adequately risk assessed all their planned work. </w:t>
      </w:r>
      <w:r w:rsidRPr="00807C6B">
        <w:rPr>
          <w:rFonts w:ascii="Century Gothic" w:eastAsia="Times New Roman" w:hAnsi="Century Gothic" w:cs="Segoe UI"/>
          <w:color w:val="000000" w:themeColor="text1"/>
          <w:lang w:val="en-GB" w:eastAsia="en-GB"/>
        </w:rPr>
        <w:t> </w:t>
      </w:r>
    </w:p>
    <w:p w14:paraId="69F4A0F4"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765BAD66" w14:textId="425DC502"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Risk assessment process</w:t>
      </w:r>
      <w:r w:rsidRPr="00807C6B">
        <w:rPr>
          <w:rFonts w:ascii="Century Gothic" w:eastAsia="Times New Roman" w:hAnsi="Century Gothic" w:cs="Segoe UI"/>
          <w:b/>
          <w:color w:val="000000" w:themeColor="text1"/>
          <w:lang w:val="en-GB" w:eastAsia="en-GB"/>
        </w:rPr>
        <w:t> </w:t>
      </w:r>
    </w:p>
    <w:p w14:paraId="225BB997" w14:textId="77777777" w:rsidR="00807C6B" w:rsidRPr="00807C6B" w:rsidRDefault="00807C6B" w:rsidP="00E04556">
      <w:pPr>
        <w:spacing w:after="0" w:line="240" w:lineRule="auto"/>
        <w:textAlignment w:val="baseline"/>
        <w:rPr>
          <w:rFonts w:ascii="Century Gothic" w:eastAsia="Times New Roman" w:hAnsi="Century Gothic" w:cs="Segoe UI"/>
          <w:b/>
          <w:color w:val="000000" w:themeColor="text1"/>
          <w:lang w:val="en-GB" w:eastAsia="en-GB"/>
        </w:rPr>
      </w:pPr>
    </w:p>
    <w:p w14:paraId="361822EF"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When assessing risks in the school, we will follow the process outlined below. </w:t>
      </w:r>
      <w:r w:rsidRPr="00807C6B">
        <w:rPr>
          <w:rFonts w:ascii="Century Gothic" w:eastAsia="Times New Roman" w:hAnsi="Century Gothic" w:cs="Segoe UI"/>
          <w:color w:val="000000" w:themeColor="text1"/>
          <w:lang w:val="en-GB" w:eastAsia="en-GB"/>
        </w:rPr>
        <w:t> </w:t>
      </w:r>
    </w:p>
    <w:p w14:paraId="5700EE7C"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We will also involve staff, where appropriate, to ensure that all possible hazards have been identified and to discuss control measures, following a risk assessment.</w:t>
      </w:r>
      <w:r w:rsidRPr="00807C6B">
        <w:rPr>
          <w:rFonts w:ascii="Century Gothic" w:eastAsia="Times New Roman" w:hAnsi="Century Gothic" w:cs="Segoe UI"/>
          <w:color w:val="000000" w:themeColor="text1"/>
          <w:lang w:val="en-GB" w:eastAsia="en-GB"/>
        </w:rPr>
        <w:t> </w:t>
      </w:r>
    </w:p>
    <w:p w14:paraId="59C9E5B5" w14:textId="5E70598C"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1: identify hazards</w:t>
      </w:r>
      <w:r w:rsidRPr="00807C6B">
        <w:rPr>
          <w:rFonts w:ascii="Century Gothic" w:eastAsia="Times New Roman" w:hAnsi="Century Gothic" w:cs="Segoe UI"/>
          <w:color w:val="000000" w:themeColor="text1"/>
          <w:lang w:eastAsia="en-GB"/>
        </w:rPr>
        <w:t xml:space="preserve"> – we will consider activities, processes and substances within the school and establish what associated-hazards could injure or harm the health of staff, </w:t>
      </w:r>
      <w:r w:rsidR="00DB7061">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and visitors.</w:t>
      </w:r>
      <w:r w:rsidRPr="00807C6B">
        <w:rPr>
          <w:rFonts w:ascii="Century Gothic" w:eastAsia="Times New Roman" w:hAnsi="Century Gothic" w:cs="Segoe UI"/>
          <w:color w:val="000000" w:themeColor="text1"/>
          <w:lang w:val="en-GB" w:eastAsia="en-GB"/>
        </w:rPr>
        <w:t> </w:t>
      </w:r>
    </w:p>
    <w:p w14:paraId="317E48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B866E7" w14:textId="1B20FB64"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2: decide who may be harmed and how</w:t>
      </w:r>
      <w:r w:rsidRPr="00807C6B">
        <w:rPr>
          <w:rFonts w:ascii="Century Gothic" w:eastAsia="Times New Roman" w:hAnsi="Century Gothic" w:cs="Segoe UI"/>
          <w:color w:val="000000" w:themeColor="text1"/>
          <w:lang w:eastAsia="en-GB"/>
        </w:rPr>
        <w:t xml:space="preserve"> – for each hazard, we will establish who might be harmed, listing groups rather than individuals. We will bear in mind that some people will have special requirements, for instance </w:t>
      </w:r>
      <w:r w:rsidR="00DB7061">
        <w:rPr>
          <w:rFonts w:ascii="Century Gothic" w:eastAsia="Times New Roman" w:hAnsi="Century Gothic" w:cs="Segoe UI"/>
          <w:color w:val="000000" w:themeColor="text1"/>
          <w:lang w:eastAsia="en-GB"/>
        </w:rPr>
        <w:t>young people</w:t>
      </w:r>
      <w:r w:rsidRPr="00807C6B">
        <w:rPr>
          <w:rFonts w:ascii="Century Gothic" w:eastAsia="Times New Roman" w:hAnsi="Century Gothic" w:cs="Segoe UI"/>
          <w:color w:val="000000" w:themeColor="text1"/>
          <w:lang w:eastAsia="en-GB"/>
        </w:rPr>
        <w:t xml:space="preserve"> with special educational needs (SEN) and expectant mothers. We will then establish how these groups might be harmed.</w:t>
      </w:r>
      <w:r w:rsidRPr="00807C6B">
        <w:rPr>
          <w:rFonts w:ascii="Century Gothic" w:eastAsia="Times New Roman" w:hAnsi="Century Gothic" w:cs="Segoe UI"/>
          <w:color w:val="000000" w:themeColor="text1"/>
          <w:lang w:val="en-GB" w:eastAsia="en-GB"/>
        </w:rPr>
        <w:t> </w:t>
      </w:r>
    </w:p>
    <w:p w14:paraId="41507E44"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4808C215"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Step 3: evaluate the risks and decide on control measures (reviewing existing ones as well) </w:t>
      </w:r>
      <w:r w:rsidRPr="00807C6B">
        <w:rPr>
          <w:rFonts w:ascii="Century Gothic" w:eastAsia="Times New Roman" w:hAnsi="Century Gothic" w:cs="Segoe UI"/>
          <w:color w:val="000000" w:themeColor="text1"/>
          <w:lang w:eastAsia="en-GB"/>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r w:rsidRPr="00807C6B">
        <w:rPr>
          <w:rFonts w:ascii="Century Gothic" w:eastAsia="Times New Roman" w:hAnsi="Century Gothic" w:cs="Segoe UI"/>
          <w:color w:val="000000" w:themeColor="text1"/>
          <w:lang w:val="en-GB" w:eastAsia="en-GB"/>
        </w:rPr>
        <w:t> </w:t>
      </w:r>
    </w:p>
    <w:p w14:paraId="220BD0FD"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275D55B4" w14:textId="72189416" w:rsidR="00446333"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b/>
          <w:bCs/>
          <w:color w:val="000000" w:themeColor="text1"/>
          <w:lang w:eastAsia="en-GB"/>
        </w:rPr>
        <w:t>Step 4: record significant findings</w:t>
      </w:r>
      <w:r w:rsidRPr="00807C6B">
        <w:rPr>
          <w:rFonts w:ascii="Century Gothic" w:eastAsia="Times New Roman" w:hAnsi="Century Gothic" w:cs="Segoe UI"/>
          <w:color w:val="000000" w:themeColor="text1"/>
          <w:lang w:eastAsia="en-GB"/>
        </w:rPr>
        <w:t xml:space="preserve"> – the findings from steps 1 to 3 will be written up and recorded in order to produce the risk assessment. </w:t>
      </w:r>
    </w:p>
    <w:p w14:paraId="65A47061" w14:textId="77777777" w:rsidR="00DB7061" w:rsidRPr="00807C6B" w:rsidRDefault="00DB7061" w:rsidP="00E04556">
      <w:pPr>
        <w:spacing w:after="0" w:line="240" w:lineRule="auto"/>
        <w:textAlignment w:val="baseline"/>
        <w:rPr>
          <w:rFonts w:ascii="Century Gothic" w:eastAsia="Times New Roman" w:hAnsi="Century Gothic" w:cs="Segoe UI"/>
          <w:b/>
          <w:bCs/>
          <w:color w:val="000000" w:themeColor="text1"/>
          <w:lang w:eastAsia="en-GB"/>
        </w:rPr>
      </w:pPr>
    </w:p>
    <w:p w14:paraId="1256141E" w14:textId="3A5D464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5: review the assessment and update, as needed</w:t>
      </w:r>
      <w:r w:rsidRPr="00807C6B">
        <w:rPr>
          <w:rFonts w:ascii="Century Gothic" w:eastAsia="Times New Roman" w:hAnsi="Century Gothic" w:cs="Segoe UI"/>
          <w:color w:val="000000" w:themeColor="text1"/>
          <w:lang w:eastAsia="en-GB"/>
        </w:rPr>
        <w:t xml:space="preserve"> – we will review our risk assessments, as needed, and the following questions will be asked when doing so:</w:t>
      </w:r>
      <w:r w:rsidRPr="00807C6B">
        <w:rPr>
          <w:rFonts w:ascii="Century Gothic" w:eastAsia="Times New Roman" w:hAnsi="Century Gothic" w:cs="Segoe UI"/>
          <w:color w:val="000000" w:themeColor="text1"/>
          <w:lang w:val="en-GB" w:eastAsia="en-GB"/>
        </w:rPr>
        <w:t> </w:t>
      </w:r>
    </w:p>
    <w:p w14:paraId="0B4E6F2F"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there been any significant changes?</w:t>
      </w:r>
      <w:r w:rsidRPr="00807C6B">
        <w:rPr>
          <w:rFonts w:ascii="Century Gothic" w:eastAsia="Times New Roman" w:hAnsi="Century Gothic" w:cs="Segoe UI"/>
          <w:color w:val="000000" w:themeColor="text1"/>
          <w:lang w:val="en-GB" w:eastAsia="en-GB"/>
        </w:rPr>
        <w:t> </w:t>
      </w:r>
    </w:p>
    <w:p w14:paraId="5B0C1EF6"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Are there improvements that still need to be made?</w:t>
      </w:r>
      <w:r w:rsidRPr="00807C6B">
        <w:rPr>
          <w:rFonts w:ascii="Century Gothic" w:eastAsia="Times New Roman" w:hAnsi="Century Gothic" w:cs="Segoe UI"/>
          <w:color w:val="000000" w:themeColor="text1"/>
          <w:lang w:val="en-GB" w:eastAsia="en-GB"/>
        </w:rPr>
        <w:t> </w:t>
      </w:r>
    </w:p>
    <w:p w14:paraId="7B0CA8BE" w14:textId="255E717D"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Have staff or </w:t>
      </w:r>
      <w:r w:rsidR="00DB7061">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spotted a problem?</w:t>
      </w:r>
      <w:r w:rsidRPr="00807C6B">
        <w:rPr>
          <w:rFonts w:ascii="Century Gothic" w:eastAsia="Times New Roman" w:hAnsi="Century Gothic" w:cs="Segoe UI"/>
          <w:color w:val="000000" w:themeColor="text1"/>
          <w:lang w:val="en-GB" w:eastAsia="en-GB"/>
        </w:rPr>
        <w:t> </w:t>
      </w:r>
    </w:p>
    <w:p w14:paraId="2FB27803"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we learnt anything from accidents or near misses?</w:t>
      </w:r>
      <w:r w:rsidRPr="00807C6B">
        <w:rPr>
          <w:rFonts w:ascii="Century Gothic" w:eastAsia="Times New Roman" w:hAnsi="Century Gothic" w:cs="Segoe UI"/>
          <w:color w:val="000000" w:themeColor="text1"/>
          <w:lang w:val="en-GB" w:eastAsia="en-GB"/>
        </w:rPr>
        <w:t> </w:t>
      </w:r>
    </w:p>
    <w:p w14:paraId="190579DB"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6CB2CFA6" w14:textId="42AD9A4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b/>
          <w:bCs/>
          <w:color w:val="000000" w:themeColor="text1"/>
          <w:lang w:eastAsia="en-GB"/>
        </w:rPr>
        <w:lastRenderedPageBreak/>
        <w:t>Step 6: retaining risk assessments</w:t>
      </w:r>
      <w:r w:rsidRPr="00807C6B">
        <w:rPr>
          <w:rFonts w:ascii="Century Gothic" w:eastAsia="Times New Roman" w:hAnsi="Century Gothic" w:cs="Segoe UI"/>
          <w:color w:val="000000" w:themeColor="text1"/>
          <w:lang w:eastAsia="en-GB"/>
        </w:rPr>
        <w:t xml:space="preserve"> – risk assessments are retained for 3 years after the length of time they apply. Risk assessments are securely disposed of.</w:t>
      </w:r>
      <w:r w:rsidRPr="00807C6B">
        <w:rPr>
          <w:rFonts w:ascii="Century Gothic" w:eastAsia="Times New Roman" w:hAnsi="Century Gothic" w:cs="Segoe UI"/>
          <w:color w:val="000000" w:themeColor="text1"/>
          <w:lang w:val="en-GB" w:eastAsia="en-GB"/>
        </w:rPr>
        <w:t> </w:t>
      </w:r>
    </w:p>
    <w:p w14:paraId="149C1AA5"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495D9F1E" w14:textId="77777777" w:rsidR="00E3462B" w:rsidRPr="00E3462B" w:rsidRDefault="00E04556" w:rsidP="00E04556">
      <w:pPr>
        <w:spacing w:after="0" w:line="240" w:lineRule="auto"/>
        <w:textAlignment w:val="baseline"/>
        <w:rPr>
          <w:rFonts w:ascii="Century Gothic" w:eastAsia="Times New Roman" w:hAnsi="Century Gothic" w:cs="Segoe UI"/>
          <w:b/>
          <w:color w:val="000000" w:themeColor="text1"/>
          <w:lang w:eastAsia="en-GB"/>
        </w:rPr>
      </w:pPr>
      <w:r w:rsidRPr="00E3462B">
        <w:rPr>
          <w:rFonts w:ascii="Century Gothic" w:eastAsia="Times New Roman" w:hAnsi="Century Gothic" w:cs="Segoe UI"/>
          <w:b/>
          <w:color w:val="000000" w:themeColor="text1"/>
          <w:lang w:eastAsia="en-GB"/>
        </w:rPr>
        <w:t>Monitoring arrangement</w:t>
      </w:r>
      <w:r w:rsidR="00E3462B" w:rsidRPr="00E3462B">
        <w:rPr>
          <w:rFonts w:ascii="Century Gothic" w:eastAsia="Times New Roman" w:hAnsi="Century Gothic" w:cs="Segoe UI"/>
          <w:b/>
          <w:color w:val="000000" w:themeColor="text1"/>
          <w:lang w:eastAsia="en-GB"/>
        </w:rPr>
        <w:t>s</w:t>
      </w:r>
    </w:p>
    <w:p w14:paraId="22D4F4DD" w14:textId="5872DB8D"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5EC288F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Risk assessments are written as needed and reviewed by Director Alison Laws </w:t>
      </w:r>
      <w:r w:rsidRPr="00807C6B">
        <w:rPr>
          <w:rFonts w:ascii="Century Gothic" w:eastAsia="Times New Roman" w:hAnsi="Century Gothic" w:cs="Segoe UI"/>
          <w:color w:val="000000" w:themeColor="text1"/>
          <w:lang w:val="en-GB" w:eastAsia="en-GB"/>
        </w:rPr>
        <w:t> </w:t>
      </w:r>
    </w:p>
    <w:p w14:paraId="680C6A67" w14:textId="6475963D"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This policy will be reviewed by the H</w:t>
      </w:r>
      <w:r w:rsidR="00C2212A">
        <w:rPr>
          <w:rFonts w:ascii="Century Gothic" w:eastAsia="Times New Roman" w:hAnsi="Century Gothic" w:cs="Segoe UI"/>
          <w:color w:val="000000" w:themeColor="text1"/>
          <w:lang w:eastAsia="en-GB"/>
        </w:rPr>
        <w:t>ead of Operations</w:t>
      </w:r>
      <w:r w:rsidRPr="00807C6B">
        <w:rPr>
          <w:rFonts w:ascii="Century Gothic" w:eastAsia="Times New Roman" w:hAnsi="Century Gothic" w:cs="Segoe UI"/>
          <w:color w:val="000000" w:themeColor="text1"/>
          <w:lang w:eastAsia="en-GB"/>
        </w:rPr>
        <w:t xml:space="preserve"> every </w:t>
      </w:r>
      <w:r w:rsidR="00386D3D">
        <w:rPr>
          <w:rFonts w:ascii="Century Gothic" w:eastAsia="Times New Roman" w:hAnsi="Century Gothic" w:cs="Segoe UI"/>
          <w:color w:val="000000" w:themeColor="text1"/>
          <w:lang w:eastAsia="en-GB"/>
        </w:rPr>
        <w:t>12</w:t>
      </w:r>
      <w:r w:rsidRPr="00807C6B">
        <w:rPr>
          <w:rFonts w:ascii="Century Gothic" w:eastAsia="Times New Roman" w:hAnsi="Century Gothic" w:cs="Segoe UI"/>
          <w:color w:val="000000" w:themeColor="text1"/>
          <w:lang w:eastAsia="en-GB"/>
        </w:rPr>
        <w:t xml:space="preserve"> months and approved by the Directors. </w:t>
      </w:r>
      <w:r w:rsidRPr="00807C6B">
        <w:rPr>
          <w:rFonts w:ascii="Century Gothic" w:eastAsia="Times New Roman" w:hAnsi="Century Gothic" w:cs="Segoe UI"/>
          <w:color w:val="000000" w:themeColor="text1"/>
          <w:lang w:val="en-GB" w:eastAsia="en-GB"/>
        </w:rPr>
        <w:t> </w:t>
      </w:r>
    </w:p>
    <w:p w14:paraId="3F5ADDF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3D2F465C" w14:textId="5FA2126B" w:rsidR="00E04556" w:rsidRPr="00392FC5" w:rsidRDefault="00E04556" w:rsidP="00E04556">
      <w:pPr>
        <w:spacing w:after="0" w:line="240" w:lineRule="auto"/>
        <w:textAlignment w:val="baseline"/>
        <w:rPr>
          <w:rFonts w:ascii="Segoe UI" w:eastAsia="Times New Roman" w:hAnsi="Segoe UI" w:cs="Segoe UI"/>
          <w:color w:val="000000" w:themeColor="text1"/>
          <w:lang w:val="en-GB" w:eastAsia="en-GB"/>
        </w:rPr>
      </w:pPr>
      <w:r w:rsidRPr="00E3462B">
        <w:rPr>
          <w:rFonts w:ascii="Century Gothic" w:eastAsia="Times New Roman" w:hAnsi="Century Gothic" w:cs="Segoe UI"/>
          <w:b/>
          <w:color w:val="000000" w:themeColor="text1"/>
          <w:lang w:eastAsia="en-GB"/>
        </w:rPr>
        <w:t>Policy links</w:t>
      </w:r>
      <w:r w:rsidRPr="00E3462B">
        <w:rPr>
          <w:rFonts w:ascii="Century Gothic" w:eastAsia="Times New Roman" w:hAnsi="Century Gothic" w:cs="Segoe UI"/>
          <w:b/>
          <w:color w:val="000000" w:themeColor="text1"/>
          <w:lang w:val="en-GB" w:eastAsia="en-GB"/>
        </w:rPr>
        <w:t> </w:t>
      </w:r>
    </w:p>
    <w:p w14:paraId="5C6DFEB6" w14:textId="77777777" w:rsidR="00E3462B" w:rsidRPr="00807C6B" w:rsidRDefault="00E3462B" w:rsidP="00E04556">
      <w:pPr>
        <w:spacing w:after="0" w:line="240" w:lineRule="auto"/>
        <w:textAlignment w:val="baseline"/>
        <w:rPr>
          <w:rFonts w:ascii="Segoe UI" w:eastAsia="Times New Roman" w:hAnsi="Segoe UI" w:cs="Segoe UI"/>
          <w:color w:val="000000" w:themeColor="text1"/>
          <w:lang w:val="en-GB" w:eastAsia="en-GB"/>
        </w:rPr>
      </w:pPr>
    </w:p>
    <w:p w14:paraId="59AB1694" w14:textId="112C7A1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risk assessment policy links to all policies relating to </w:t>
      </w:r>
      <w:proofErr w:type="spellStart"/>
      <w:r w:rsidRPr="00807C6B">
        <w:rPr>
          <w:rFonts w:ascii="Century Gothic" w:eastAsia="Times New Roman" w:hAnsi="Century Gothic" w:cs="Segoe UI"/>
          <w:color w:val="000000" w:themeColor="text1"/>
          <w:lang w:eastAsia="en-GB"/>
        </w:rPr>
        <w:t>Hopefields</w:t>
      </w:r>
      <w:proofErr w:type="spellEnd"/>
      <w:r w:rsidRPr="00807C6B">
        <w:rPr>
          <w:rFonts w:ascii="Century Gothic" w:eastAsia="Times New Roman" w:hAnsi="Century Gothic" w:cs="Segoe UI"/>
          <w:color w:val="000000" w:themeColor="text1"/>
          <w:lang w:eastAsia="en-GB"/>
        </w:rPr>
        <w:t xml:space="preserve"> </w:t>
      </w:r>
      <w:r w:rsidR="00C2212A">
        <w:rPr>
          <w:rFonts w:ascii="Century Gothic" w:eastAsia="Times New Roman" w:hAnsi="Century Gothic" w:cs="Segoe UI"/>
          <w:color w:val="000000" w:themeColor="text1"/>
          <w:lang w:eastAsia="en-GB"/>
        </w:rPr>
        <w:t>School</w:t>
      </w:r>
      <w:r w:rsidRPr="00807C6B">
        <w:rPr>
          <w:rFonts w:ascii="Century Gothic" w:eastAsia="Times New Roman" w:hAnsi="Century Gothic" w:cs="Segoe UI"/>
          <w:color w:val="000000" w:themeColor="text1"/>
          <w:lang w:eastAsia="en-GB"/>
        </w:rPr>
        <w:t>.</w:t>
      </w:r>
    </w:p>
    <w:p w14:paraId="74A37933" w14:textId="77777777" w:rsidR="00392FC5" w:rsidRDefault="00392FC5" w:rsidP="00E04556">
      <w:pPr>
        <w:spacing w:after="0" w:line="240" w:lineRule="auto"/>
        <w:textAlignment w:val="baseline"/>
        <w:rPr>
          <w:rFonts w:ascii="Century Gothic" w:eastAsia="Times New Roman" w:hAnsi="Century Gothic" w:cs="Segoe UI"/>
          <w:color w:val="000000" w:themeColor="text1"/>
          <w:lang w:val="en-GB" w:eastAsia="en-GB"/>
        </w:rPr>
      </w:pPr>
    </w:p>
    <w:p w14:paraId="0ECEDFC0" w14:textId="77777777" w:rsidR="00392FC5" w:rsidRPr="00807C6B" w:rsidRDefault="00392FC5" w:rsidP="00E04556">
      <w:pPr>
        <w:spacing w:after="0" w:line="240" w:lineRule="auto"/>
        <w:textAlignment w:val="baseline"/>
        <w:rPr>
          <w:rFonts w:ascii="Segoe UI" w:eastAsia="Times New Roman" w:hAnsi="Segoe UI" w:cs="Segoe UI"/>
          <w:color w:val="000000" w:themeColor="text1"/>
          <w:lang w:val="en-GB" w:eastAsia="en-GB"/>
        </w:rPr>
      </w:pPr>
    </w:p>
    <w:p w14:paraId="44553ADC" w14:textId="5B621A17" w:rsidR="006417C2" w:rsidRPr="006417C2" w:rsidRDefault="00E04556" w:rsidP="006417C2">
      <w:pPr>
        <w:spacing w:line="200" w:lineRule="exact"/>
        <w:rPr>
          <w:rFonts w:ascii="Century Gothic" w:eastAsiaTheme="minorEastAsia" w:hAnsi="Century Gothic" w:cs="Times New Roman"/>
        </w:rPr>
      </w:pPr>
      <w:r w:rsidRPr="00807C6B">
        <w:rPr>
          <w:rFonts w:ascii="Century Gothic" w:eastAsia="Times New Roman" w:hAnsi="Century Gothic" w:cs="Segoe UI"/>
          <w:color w:val="000000" w:themeColor="text1"/>
          <w:lang w:eastAsia="en-GB"/>
        </w:rPr>
        <w:t> </w:t>
      </w:r>
    </w:p>
    <w:p w14:paraId="14BFDC59" w14:textId="77777777" w:rsidR="006417C2" w:rsidRPr="006417C2" w:rsidRDefault="006417C2" w:rsidP="006417C2">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1F74EE51" w14:textId="77777777" w:rsidR="006417C2" w:rsidRPr="006417C2" w:rsidRDefault="006417C2" w:rsidP="006417C2">
      <w:pPr>
        <w:spacing w:after="0" w:line="240" w:lineRule="auto"/>
        <w:rPr>
          <w:rFonts w:ascii="Century Gothic" w:eastAsiaTheme="minorEastAsia" w:hAnsi="Century Gothic" w:cs="Times New Roman"/>
          <w:b/>
          <w:bCs/>
        </w:rPr>
      </w:pPr>
    </w:p>
    <w:p w14:paraId="63E764CD" w14:textId="77777777" w:rsidR="006417C2" w:rsidRPr="006417C2" w:rsidRDefault="006417C2" w:rsidP="006417C2">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6417C2" w:rsidRPr="006417C2" w14:paraId="5A672A03" w14:textId="77777777" w:rsidTr="00DF7BAE">
        <w:tc>
          <w:tcPr>
            <w:tcW w:w="1526" w:type="dxa"/>
            <w:tcBorders>
              <w:top w:val="single" w:sz="4" w:space="0" w:color="auto"/>
              <w:left w:val="single" w:sz="4" w:space="0" w:color="auto"/>
              <w:bottom w:val="single" w:sz="4" w:space="0" w:color="auto"/>
              <w:right w:val="single" w:sz="4" w:space="0" w:color="auto"/>
            </w:tcBorders>
            <w:hideMark/>
          </w:tcPr>
          <w:p w14:paraId="3F130256"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574D6C5E"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04324CB"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AE766FF"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6417C2" w:rsidRPr="006417C2" w14:paraId="07A5039F" w14:textId="77777777" w:rsidTr="00DF7BAE">
        <w:tc>
          <w:tcPr>
            <w:tcW w:w="1526" w:type="dxa"/>
            <w:tcBorders>
              <w:top w:val="single" w:sz="4" w:space="0" w:color="auto"/>
              <w:left w:val="single" w:sz="4" w:space="0" w:color="auto"/>
              <w:bottom w:val="single" w:sz="4" w:space="0" w:color="auto"/>
              <w:right w:val="single" w:sz="4" w:space="0" w:color="auto"/>
            </w:tcBorders>
          </w:tcPr>
          <w:p w14:paraId="42C3AC13" w14:textId="49138B94"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17.11.23</w:t>
            </w:r>
          </w:p>
        </w:tc>
        <w:tc>
          <w:tcPr>
            <w:tcW w:w="3982" w:type="dxa"/>
            <w:tcBorders>
              <w:top w:val="single" w:sz="4" w:space="0" w:color="auto"/>
              <w:left w:val="single" w:sz="4" w:space="0" w:color="auto"/>
              <w:bottom w:val="single" w:sz="4" w:space="0" w:color="auto"/>
              <w:right w:val="single" w:sz="4" w:space="0" w:color="auto"/>
            </w:tcBorders>
          </w:tcPr>
          <w:p w14:paraId="67AD3FD3" w14:textId="69E1C8F8"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C766335"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4C8D51F" w14:textId="75652E5A"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AL</w:t>
            </w:r>
          </w:p>
        </w:tc>
      </w:tr>
      <w:tr w:rsidR="006417C2" w:rsidRPr="006417C2" w14:paraId="7E9C2677" w14:textId="77777777" w:rsidTr="00DF7BAE">
        <w:tc>
          <w:tcPr>
            <w:tcW w:w="1526" w:type="dxa"/>
            <w:tcBorders>
              <w:top w:val="single" w:sz="4" w:space="0" w:color="auto"/>
              <w:left w:val="single" w:sz="4" w:space="0" w:color="auto"/>
              <w:bottom w:val="single" w:sz="4" w:space="0" w:color="auto"/>
              <w:right w:val="single" w:sz="4" w:space="0" w:color="auto"/>
            </w:tcBorders>
          </w:tcPr>
          <w:p w14:paraId="608899D1" w14:textId="628B2C22"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12.11.24</w:t>
            </w:r>
          </w:p>
        </w:tc>
        <w:tc>
          <w:tcPr>
            <w:tcW w:w="3982" w:type="dxa"/>
            <w:tcBorders>
              <w:top w:val="single" w:sz="4" w:space="0" w:color="auto"/>
              <w:left w:val="single" w:sz="4" w:space="0" w:color="auto"/>
              <w:bottom w:val="single" w:sz="4" w:space="0" w:color="auto"/>
              <w:right w:val="single" w:sz="4" w:space="0" w:color="auto"/>
            </w:tcBorders>
          </w:tcPr>
          <w:p w14:paraId="7381C376" w14:textId="4BEEC233"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4346C38"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A287EFA" w14:textId="1FC58ABE" w:rsidR="006417C2" w:rsidRPr="006417C2" w:rsidRDefault="00386D3D" w:rsidP="006417C2">
            <w:pPr>
              <w:rPr>
                <w:rFonts w:ascii="Century Gothic" w:eastAsiaTheme="minorEastAsia" w:hAnsi="Century Gothic" w:cs="Times New Roman"/>
              </w:rPr>
            </w:pPr>
            <w:r>
              <w:rPr>
                <w:rFonts w:ascii="Century Gothic" w:eastAsiaTheme="minorEastAsia" w:hAnsi="Century Gothic" w:cs="Times New Roman"/>
              </w:rPr>
              <w:t>AL</w:t>
            </w:r>
          </w:p>
        </w:tc>
      </w:tr>
      <w:tr w:rsidR="00434003" w:rsidRPr="006417C2" w14:paraId="097E1B9C" w14:textId="77777777" w:rsidTr="00DF7BAE">
        <w:tc>
          <w:tcPr>
            <w:tcW w:w="1526" w:type="dxa"/>
            <w:tcBorders>
              <w:top w:val="single" w:sz="4" w:space="0" w:color="auto"/>
              <w:left w:val="single" w:sz="4" w:space="0" w:color="auto"/>
              <w:bottom w:val="single" w:sz="4" w:space="0" w:color="auto"/>
              <w:right w:val="single" w:sz="4" w:space="0" w:color="auto"/>
            </w:tcBorders>
          </w:tcPr>
          <w:p w14:paraId="3AAFA530" w14:textId="0C9425C4" w:rsidR="00434003" w:rsidRDefault="00434003" w:rsidP="006417C2">
            <w:pPr>
              <w:rPr>
                <w:rFonts w:ascii="Century Gothic" w:eastAsiaTheme="minorEastAsia" w:hAnsi="Century Gothic" w:cs="Times New Roman"/>
              </w:rPr>
            </w:pPr>
            <w:r>
              <w:rPr>
                <w:rFonts w:ascii="Century Gothic" w:eastAsiaTheme="minorEastAsia" w:hAnsi="Century Gothic" w:cs="Times New Roman"/>
              </w:rPr>
              <w:t>1.9.25</w:t>
            </w:r>
          </w:p>
        </w:tc>
        <w:tc>
          <w:tcPr>
            <w:tcW w:w="3982" w:type="dxa"/>
            <w:tcBorders>
              <w:top w:val="single" w:sz="4" w:space="0" w:color="auto"/>
              <w:left w:val="single" w:sz="4" w:space="0" w:color="auto"/>
              <w:bottom w:val="single" w:sz="4" w:space="0" w:color="auto"/>
              <w:right w:val="single" w:sz="4" w:space="0" w:color="auto"/>
            </w:tcBorders>
          </w:tcPr>
          <w:p w14:paraId="7F61003F" w14:textId="774DB407" w:rsidR="00434003" w:rsidRDefault="00434003"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47535A9C" w14:textId="77777777" w:rsidR="00434003" w:rsidRPr="006417C2" w:rsidRDefault="00434003"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3C7F7E6" w14:textId="5A6DE715" w:rsidR="00434003" w:rsidRDefault="00434003" w:rsidP="006417C2">
            <w:pPr>
              <w:rPr>
                <w:rFonts w:ascii="Century Gothic" w:eastAsiaTheme="minorEastAsia" w:hAnsi="Century Gothic" w:cs="Times New Roman"/>
              </w:rPr>
            </w:pPr>
            <w:r>
              <w:rPr>
                <w:rFonts w:ascii="Century Gothic" w:eastAsiaTheme="minorEastAsia" w:hAnsi="Century Gothic" w:cs="Times New Roman"/>
              </w:rPr>
              <w:t>AL</w:t>
            </w:r>
          </w:p>
        </w:tc>
      </w:tr>
    </w:tbl>
    <w:p w14:paraId="477CA7EE" w14:textId="77777777" w:rsidR="006417C2" w:rsidRPr="006417C2" w:rsidRDefault="006417C2" w:rsidP="006417C2">
      <w:pPr>
        <w:spacing w:after="0" w:line="240" w:lineRule="auto"/>
        <w:rPr>
          <w:rFonts w:eastAsiaTheme="minorEastAsia"/>
        </w:rPr>
      </w:pPr>
    </w:p>
    <w:p w14:paraId="138E1FD5" w14:textId="1443235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p>
    <w:p w14:paraId="4E67EF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464284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16B1699"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4EB26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1E72C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2D253A7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83FE33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5FC402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935A7C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71688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1BC520C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74880CB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3F62649A" w14:textId="6102DE92" w:rsidR="44B8A610" w:rsidRPr="00807C6B" w:rsidRDefault="44B8A610">
      <w:pPr>
        <w:rPr>
          <w:color w:val="000000" w:themeColor="text1"/>
        </w:rPr>
      </w:pPr>
    </w:p>
    <w:sectPr w:rsidR="44B8A610" w:rsidRPr="00807C6B" w:rsidSect="00287EF8">
      <w:headerReference w:type="even" r:id="rId22"/>
      <w:headerReference w:type="default" r:id="rId23"/>
      <w:footerReference w:type="default" r:id="rId24"/>
      <w:head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AE6A" w14:textId="77777777" w:rsidR="00DD0099" w:rsidRDefault="00DD0099" w:rsidP="00B7688B">
      <w:pPr>
        <w:spacing w:after="0" w:line="240" w:lineRule="auto"/>
      </w:pPr>
      <w:r>
        <w:separator/>
      </w:r>
    </w:p>
  </w:endnote>
  <w:endnote w:type="continuationSeparator" w:id="0">
    <w:p w14:paraId="61B8BBF6" w14:textId="77777777" w:rsidR="00DD0099" w:rsidRDefault="00DD0099"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13306A0B" w:rsidR="00862217" w:rsidRPr="00760B41"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760B41">
      <w:rPr>
        <w:rFonts w:ascii="Century Gothic" w:hAnsi="Century Gothic"/>
        <w:b/>
        <w:color w:val="00B050"/>
        <w:sz w:val="20"/>
        <w:szCs w:val="20"/>
      </w:rPr>
      <w:t>Hopefields</w:t>
    </w:r>
    <w:proofErr w:type="spellEnd"/>
    <w:r w:rsidRPr="00760B41">
      <w:rPr>
        <w:rFonts w:ascii="Century Gothic" w:hAnsi="Century Gothic"/>
        <w:b/>
        <w:color w:val="00B050"/>
        <w:sz w:val="20"/>
        <w:szCs w:val="20"/>
      </w:rPr>
      <w:t xml:space="preserve"> </w:t>
    </w:r>
  </w:p>
  <w:p w14:paraId="1EF6DF09" w14:textId="758CEEB9" w:rsidR="00862217" w:rsidRPr="00760B41"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760B41">
      <w:rPr>
        <w:rFonts w:ascii="Century Gothic" w:hAnsi="Century Gothic"/>
        <w:b/>
        <w:color w:val="00B050"/>
        <w:sz w:val="20"/>
        <w:szCs w:val="20"/>
      </w:rPr>
      <w:t>Reg :</w:t>
    </w:r>
    <w:proofErr w:type="gramEnd"/>
    <w:r w:rsidRPr="00760B41">
      <w:rPr>
        <w:rFonts w:ascii="Century Gothic" w:hAnsi="Century Gothic"/>
        <w:b/>
        <w:color w:val="00B050"/>
        <w:sz w:val="20"/>
        <w:szCs w:val="20"/>
      </w:rPr>
      <w:t xml:space="preserve"> 12504502 </w:t>
    </w:r>
    <w:r w:rsidR="008509CE" w:rsidRPr="00760B41">
      <w:rPr>
        <w:rFonts w:ascii="Century Gothic" w:hAnsi="Century Gothic"/>
        <w:b/>
        <w:color w:val="00B050"/>
        <w:sz w:val="20"/>
        <w:szCs w:val="20"/>
      </w:rPr>
      <w:t xml:space="preserve">  </w:t>
    </w:r>
    <w:proofErr w:type="gramStart"/>
    <w:r w:rsidR="008509CE" w:rsidRPr="00760B41">
      <w:rPr>
        <w:rFonts w:ascii="Century Gothic" w:hAnsi="Century Gothic"/>
        <w:b/>
        <w:color w:val="00B050"/>
        <w:sz w:val="20"/>
        <w:szCs w:val="20"/>
      </w:rPr>
      <w:t>DfE :</w:t>
    </w:r>
    <w:proofErr w:type="gramEnd"/>
    <w:r w:rsidR="008509CE" w:rsidRPr="00760B41">
      <w:rPr>
        <w:rFonts w:ascii="Century Gothic" w:hAnsi="Century Gothic"/>
        <w:b/>
        <w:color w:val="00B050"/>
        <w:sz w:val="20"/>
        <w:szCs w:val="20"/>
      </w:rPr>
      <w:t xml:space="preserve"> 149109</w:t>
    </w:r>
    <w:r w:rsidRPr="00760B41">
      <w:rPr>
        <w:rFonts w:ascii="Century Gothic" w:hAnsi="Century Gothic"/>
        <w:b/>
        <w:i/>
        <w:color w:val="00B050"/>
        <w:sz w:val="20"/>
        <w:szCs w:val="20"/>
      </w:rPr>
      <w:ptab w:relativeTo="margin" w:alignment="right" w:leader="none"/>
    </w:r>
    <w:r w:rsidRPr="00760B41">
      <w:rPr>
        <w:rFonts w:ascii="Century Gothic" w:hAnsi="Century Gothic"/>
        <w:b/>
        <w:i/>
        <w:color w:val="00B050"/>
        <w:sz w:val="20"/>
        <w:szCs w:val="20"/>
      </w:rPr>
      <w:t xml:space="preserve">Page </w:t>
    </w:r>
    <w:r w:rsidR="00DC78A5" w:rsidRPr="00760B41">
      <w:rPr>
        <w:rFonts w:ascii="Century Gothic" w:hAnsi="Century Gothic"/>
        <w:b/>
        <w:i/>
        <w:color w:val="00B050"/>
        <w:sz w:val="20"/>
        <w:szCs w:val="20"/>
      </w:rPr>
      <w:fldChar w:fldCharType="begin"/>
    </w:r>
    <w:r w:rsidRPr="00760B41">
      <w:rPr>
        <w:rFonts w:ascii="Century Gothic" w:hAnsi="Century Gothic"/>
        <w:b/>
        <w:i/>
        <w:color w:val="00B050"/>
        <w:sz w:val="20"/>
        <w:szCs w:val="20"/>
      </w:rPr>
      <w:instrText xml:space="preserve"> PAGE   \* MERGEFORMAT </w:instrText>
    </w:r>
    <w:r w:rsidR="00DC78A5" w:rsidRPr="00760B41">
      <w:rPr>
        <w:rFonts w:ascii="Century Gothic" w:hAnsi="Century Gothic"/>
        <w:b/>
        <w:i/>
        <w:color w:val="00B050"/>
        <w:sz w:val="20"/>
        <w:szCs w:val="20"/>
      </w:rPr>
      <w:fldChar w:fldCharType="separate"/>
    </w:r>
    <w:r w:rsidR="005556E5" w:rsidRPr="00760B41">
      <w:rPr>
        <w:rFonts w:ascii="Century Gothic" w:hAnsi="Century Gothic"/>
        <w:b/>
        <w:i/>
        <w:noProof/>
        <w:color w:val="00B050"/>
        <w:sz w:val="20"/>
        <w:szCs w:val="20"/>
      </w:rPr>
      <w:t>1</w:t>
    </w:r>
    <w:r w:rsidR="00DC78A5" w:rsidRPr="00760B41">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019B" w14:textId="77777777" w:rsidR="00DD0099" w:rsidRDefault="00DD0099" w:rsidP="00B7688B">
      <w:pPr>
        <w:spacing w:after="0" w:line="240" w:lineRule="auto"/>
      </w:pPr>
      <w:r>
        <w:separator/>
      </w:r>
    </w:p>
  </w:footnote>
  <w:footnote w:type="continuationSeparator" w:id="0">
    <w:p w14:paraId="7A0B3B50" w14:textId="77777777" w:rsidR="00DD0099" w:rsidRDefault="00DD0099"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DD0099">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2A0ECB1A" w:rsidR="00862217" w:rsidRDefault="00F047E8"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7547178F">
          <wp:simplePos x="0" y="0"/>
          <wp:positionH relativeFrom="column">
            <wp:posOffset>-438150</wp:posOffset>
          </wp:positionH>
          <wp:positionV relativeFrom="paragraph">
            <wp:posOffset>-373380</wp:posOffset>
          </wp:positionV>
          <wp:extent cx="1352550" cy="1350645"/>
          <wp:effectExtent l="0" t="0" r="0" b="1905"/>
          <wp:wrapTight wrapText="bothSides">
            <wp:wrapPolygon edited="0">
              <wp:start x="0" y="0"/>
              <wp:lineTo x="0" y="21326"/>
              <wp:lineTo x="21296" y="21326"/>
              <wp:lineTo x="21296"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352550" cy="1350645"/>
                  </a:xfrm>
                  <a:prstGeom prst="rect">
                    <a:avLst/>
                  </a:prstGeom>
                </pic:spPr>
              </pic:pic>
            </a:graphicData>
          </a:graphic>
          <wp14:sizeRelH relativeFrom="margin">
            <wp14:pctWidth>0</wp14:pctWidth>
          </wp14:sizeRelH>
          <wp14:sizeRelV relativeFrom="margin">
            <wp14:pctHeight>0</wp14:pctHeight>
          </wp14:sizeRelV>
        </wp:anchor>
      </w:drawing>
    </w:r>
    <w:r w:rsidR="00DD0099">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6A05A809" w14:textId="6D4C646C" w:rsidR="00B7688B" w:rsidRPr="00B7688B" w:rsidRDefault="00807C6B" w:rsidP="00F047E8">
    <w:pPr>
      <w:ind w:left="1440" w:firstLine="720"/>
      <w:jc w:val="right"/>
      <w:rPr>
        <w:rFonts w:ascii="Century Gothic" w:hAnsi="Century Gothic"/>
        <w:color w:val="00B050"/>
        <w:sz w:val="28"/>
        <w:szCs w:val="36"/>
      </w:rPr>
    </w:pPr>
    <w:r>
      <w:rPr>
        <w:rFonts w:ascii="Century Gothic" w:hAnsi="Century Gothic"/>
        <w:b/>
        <w:color w:val="00B050"/>
        <w:sz w:val="36"/>
        <w:szCs w:val="36"/>
      </w:rPr>
      <w:t xml:space="preserve">                                       Risk Assessment Policy</w:t>
    </w: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DD0099">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6AA4"/>
    <w:multiLevelType w:val="hybridMultilevel"/>
    <w:tmpl w:val="59D0F36A"/>
    <w:lvl w:ilvl="0" w:tplc="78D604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32601"/>
    <w:multiLevelType w:val="multilevel"/>
    <w:tmpl w:val="5F1E834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D02B82"/>
    <w:multiLevelType w:val="hybridMultilevel"/>
    <w:tmpl w:val="93EE9394"/>
    <w:lvl w:ilvl="0" w:tplc="06D45F2A">
      <w:start w:val="1"/>
      <w:numFmt w:val="bullet"/>
      <w:lvlText w:val="·"/>
      <w:lvlJc w:val="left"/>
      <w:pPr>
        <w:ind w:left="720" w:hanging="360"/>
      </w:pPr>
      <w:rPr>
        <w:rFonts w:ascii="Symbol" w:hAnsi="Symbol" w:hint="default"/>
      </w:rPr>
    </w:lvl>
    <w:lvl w:ilvl="1" w:tplc="4818328A">
      <w:start w:val="1"/>
      <w:numFmt w:val="bullet"/>
      <w:lvlText w:val="o"/>
      <w:lvlJc w:val="left"/>
      <w:pPr>
        <w:ind w:left="1440" w:hanging="360"/>
      </w:pPr>
      <w:rPr>
        <w:rFonts w:ascii="Courier New" w:hAnsi="Courier New" w:hint="default"/>
      </w:rPr>
    </w:lvl>
    <w:lvl w:ilvl="2" w:tplc="65B094B2">
      <w:start w:val="1"/>
      <w:numFmt w:val="bullet"/>
      <w:lvlText w:val=""/>
      <w:lvlJc w:val="left"/>
      <w:pPr>
        <w:ind w:left="2160" w:hanging="360"/>
      </w:pPr>
      <w:rPr>
        <w:rFonts w:ascii="Wingdings" w:hAnsi="Wingdings" w:hint="default"/>
      </w:rPr>
    </w:lvl>
    <w:lvl w:ilvl="3" w:tplc="F92EDBCA">
      <w:start w:val="1"/>
      <w:numFmt w:val="bullet"/>
      <w:lvlText w:val=""/>
      <w:lvlJc w:val="left"/>
      <w:pPr>
        <w:ind w:left="2880" w:hanging="360"/>
      </w:pPr>
      <w:rPr>
        <w:rFonts w:ascii="Symbol" w:hAnsi="Symbol" w:hint="default"/>
      </w:rPr>
    </w:lvl>
    <w:lvl w:ilvl="4" w:tplc="611A90EC">
      <w:start w:val="1"/>
      <w:numFmt w:val="bullet"/>
      <w:lvlText w:val="o"/>
      <w:lvlJc w:val="left"/>
      <w:pPr>
        <w:ind w:left="3600" w:hanging="360"/>
      </w:pPr>
      <w:rPr>
        <w:rFonts w:ascii="Courier New" w:hAnsi="Courier New" w:hint="default"/>
      </w:rPr>
    </w:lvl>
    <w:lvl w:ilvl="5" w:tplc="1C36A4DC">
      <w:start w:val="1"/>
      <w:numFmt w:val="bullet"/>
      <w:lvlText w:val=""/>
      <w:lvlJc w:val="left"/>
      <w:pPr>
        <w:ind w:left="4320" w:hanging="360"/>
      </w:pPr>
      <w:rPr>
        <w:rFonts w:ascii="Wingdings" w:hAnsi="Wingdings" w:hint="default"/>
      </w:rPr>
    </w:lvl>
    <w:lvl w:ilvl="6" w:tplc="33F48F3C">
      <w:start w:val="1"/>
      <w:numFmt w:val="bullet"/>
      <w:lvlText w:val=""/>
      <w:lvlJc w:val="left"/>
      <w:pPr>
        <w:ind w:left="5040" w:hanging="360"/>
      </w:pPr>
      <w:rPr>
        <w:rFonts w:ascii="Symbol" w:hAnsi="Symbol" w:hint="default"/>
      </w:rPr>
    </w:lvl>
    <w:lvl w:ilvl="7" w:tplc="8C88B17A">
      <w:start w:val="1"/>
      <w:numFmt w:val="bullet"/>
      <w:lvlText w:val="o"/>
      <w:lvlJc w:val="left"/>
      <w:pPr>
        <w:ind w:left="5760" w:hanging="360"/>
      </w:pPr>
      <w:rPr>
        <w:rFonts w:ascii="Courier New" w:hAnsi="Courier New" w:hint="default"/>
      </w:rPr>
    </w:lvl>
    <w:lvl w:ilvl="8" w:tplc="0E38EB26">
      <w:start w:val="1"/>
      <w:numFmt w:val="bullet"/>
      <w:lvlText w:val=""/>
      <w:lvlJc w:val="left"/>
      <w:pPr>
        <w:ind w:left="6480" w:hanging="360"/>
      </w:pPr>
      <w:rPr>
        <w:rFonts w:ascii="Wingdings" w:hAnsi="Wingdings" w:hint="default"/>
      </w:rPr>
    </w:lvl>
  </w:abstractNum>
  <w:abstractNum w:abstractNumId="3" w15:restartNumberingAfterBreak="0">
    <w:nsid w:val="3A5B7205"/>
    <w:multiLevelType w:val="hybridMultilevel"/>
    <w:tmpl w:val="6AE0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D7856"/>
    <w:multiLevelType w:val="multilevel"/>
    <w:tmpl w:val="BA5A9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63069F"/>
    <w:multiLevelType w:val="multilevel"/>
    <w:tmpl w:val="71ECD1C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40616A3"/>
    <w:multiLevelType w:val="hybridMultilevel"/>
    <w:tmpl w:val="24A2C148"/>
    <w:lvl w:ilvl="0" w:tplc="96780FE8">
      <w:start w:val="1"/>
      <w:numFmt w:val="bullet"/>
      <w:lvlText w:val="o"/>
      <w:lvlJc w:val="left"/>
      <w:pPr>
        <w:ind w:left="720" w:hanging="360"/>
      </w:pPr>
      <w:rPr>
        <w:rFonts w:ascii="Symbol" w:hAnsi="Symbol" w:hint="default"/>
      </w:rPr>
    </w:lvl>
    <w:lvl w:ilvl="1" w:tplc="7772C9F4">
      <w:start w:val="1"/>
      <w:numFmt w:val="bullet"/>
      <w:lvlText w:val="o"/>
      <w:lvlJc w:val="left"/>
      <w:pPr>
        <w:ind w:left="1440" w:hanging="360"/>
      </w:pPr>
      <w:rPr>
        <w:rFonts w:ascii="Courier New" w:hAnsi="Courier New" w:hint="default"/>
      </w:rPr>
    </w:lvl>
    <w:lvl w:ilvl="2" w:tplc="2CB2064C">
      <w:start w:val="1"/>
      <w:numFmt w:val="bullet"/>
      <w:lvlText w:val=""/>
      <w:lvlJc w:val="left"/>
      <w:pPr>
        <w:ind w:left="2160" w:hanging="360"/>
      </w:pPr>
      <w:rPr>
        <w:rFonts w:ascii="Wingdings" w:hAnsi="Wingdings" w:hint="default"/>
      </w:rPr>
    </w:lvl>
    <w:lvl w:ilvl="3" w:tplc="D10A152A">
      <w:start w:val="1"/>
      <w:numFmt w:val="bullet"/>
      <w:lvlText w:val=""/>
      <w:lvlJc w:val="left"/>
      <w:pPr>
        <w:ind w:left="2880" w:hanging="360"/>
      </w:pPr>
      <w:rPr>
        <w:rFonts w:ascii="Symbol" w:hAnsi="Symbol" w:hint="default"/>
      </w:rPr>
    </w:lvl>
    <w:lvl w:ilvl="4" w:tplc="6B423540">
      <w:start w:val="1"/>
      <w:numFmt w:val="bullet"/>
      <w:lvlText w:val="o"/>
      <w:lvlJc w:val="left"/>
      <w:pPr>
        <w:ind w:left="3600" w:hanging="360"/>
      </w:pPr>
      <w:rPr>
        <w:rFonts w:ascii="Courier New" w:hAnsi="Courier New" w:hint="default"/>
      </w:rPr>
    </w:lvl>
    <w:lvl w:ilvl="5" w:tplc="646AD12A">
      <w:start w:val="1"/>
      <w:numFmt w:val="bullet"/>
      <w:lvlText w:val=""/>
      <w:lvlJc w:val="left"/>
      <w:pPr>
        <w:ind w:left="4320" w:hanging="360"/>
      </w:pPr>
      <w:rPr>
        <w:rFonts w:ascii="Wingdings" w:hAnsi="Wingdings" w:hint="default"/>
      </w:rPr>
    </w:lvl>
    <w:lvl w:ilvl="6" w:tplc="EDCE9DF2">
      <w:start w:val="1"/>
      <w:numFmt w:val="bullet"/>
      <w:lvlText w:val=""/>
      <w:lvlJc w:val="left"/>
      <w:pPr>
        <w:ind w:left="5040" w:hanging="360"/>
      </w:pPr>
      <w:rPr>
        <w:rFonts w:ascii="Symbol" w:hAnsi="Symbol" w:hint="default"/>
      </w:rPr>
    </w:lvl>
    <w:lvl w:ilvl="7" w:tplc="FA6C8A5A">
      <w:start w:val="1"/>
      <w:numFmt w:val="bullet"/>
      <w:lvlText w:val="o"/>
      <w:lvlJc w:val="left"/>
      <w:pPr>
        <w:ind w:left="5760" w:hanging="360"/>
      </w:pPr>
      <w:rPr>
        <w:rFonts w:ascii="Courier New" w:hAnsi="Courier New" w:hint="default"/>
      </w:rPr>
    </w:lvl>
    <w:lvl w:ilvl="8" w:tplc="188878C4">
      <w:start w:val="1"/>
      <w:numFmt w:val="bullet"/>
      <w:lvlText w:val=""/>
      <w:lvlJc w:val="left"/>
      <w:pPr>
        <w:ind w:left="6480" w:hanging="360"/>
      </w:pPr>
      <w:rPr>
        <w:rFonts w:ascii="Wingdings" w:hAnsi="Wingdings" w:hint="default"/>
      </w:rPr>
    </w:lvl>
  </w:abstractNum>
  <w:abstractNum w:abstractNumId="7" w15:restartNumberingAfterBreak="0">
    <w:nsid w:val="73097324"/>
    <w:multiLevelType w:val="multilevel"/>
    <w:tmpl w:val="EA4017E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EDF0170"/>
    <w:multiLevelType w:val="multilevel"/>
    <w:tmpl w:val="8CD8BBF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865171157">
    <w:abstractNumId w:val="2"/>
  </w:num>
  <w:num w:numId="2" w16cid:durableId="596836562">
    <w:abstractNumId w:val="6"/>
  </w:num>
  <w:num w:numId="3" w16cid:durableId="250743925">
    <w:abstractNumId w:val="5"/>
  </w:num>
  <w:num w:numId="4" w16cid:durableId="121461688">
    <w:abstractNumId w:val="1"/>
  </w:num>
  <w:num w:numId="5" w16cid:durableId="2101172159">
    <w:abstractNumId w:val="4"/>
  </w:num>
  <w:num w:numId="6" w16cid:durableId="1509440767">
    <w:abstractNumId w:val="8"/>
  </w:num>
  <w:num w:numId="7" w16cid:durableId="1322661084">
    <w:abstractNumId w:val="7"/>
  </w:num>
  <w:num w:numId="8" w16cid:durableId="640115390">
    <w:abstractNumId w:val="0"/>
  </w:num>
  <w:num w:numId="9" w16cid:durableId="45102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1614F"/>
    <w:rsid w:val="00056D48"/>
    <w:rsid w:val="0017146F"/>
    <w:rsid w:val="001B4824"/>
    <w:rsid w:val="001C0CE7"/>
    <w:rsid w:val="00287EF8"/>
    <w:rsid w:val="00294C06"/>
    <w:rsid w:val="003376B3"/>
    <w:rsid w:val="0035342C"/>
    <w:rsid w:val="00367FA7"/>
    <w:rsid w:val="00386D3D"/>
    <w:rsid w:val="00392FC5"/>
    <w:rsid w:val="003956CB"/>
    <w:rsid w:val="003D73ED"/>
    <w:rsid w:val="00434003"/>
    <w:rsid w:val="00446333"/>
    <w:rsid w:val="0045588D"/>
    <w:rsid w:val="00514DD5"/>
    <w:rsid w:val="005556E5"/>
    <w:rsid w:val="005A1ADC"/>
    <w:rsid w:val="005D4B5C"/>
    <w:rsid w:val="006417C2"/>
    <w:rsid w:val="006473E9"/>
    <w:rsid w:val="006C7FE1"/>
    <w:rsid w:val="00751F62"/>
    <w:rsid w:val="00760B41"/>
    <w:rsid w:val="00807C6B"/>
    <w:rsid w:val="008509CE"/>
    <w:rsid w:val="00862217"/>
    <w:rsid w:val="00871D0F"/>
    <w:rsid w:val="00906755"/>
    <w:rsid w:val="00977699"/>
    <w:rsid w:val="00A80D09"/>
    <w:rsid w:val="00B7688B"/>
    <w:rsid w:val="00C2212A"/>
    <w:rsid w:val="00C44F3E"/>
    <w:rsid w:val="00C67C46"/>
    <w:rsid w:val="00CA43CB"/>
    <w:rsid w:val="00DB7061"/>
    <w:rsid w:val="00DC78A5"/>
    <w:rsid w:val="00DD0099"/>
    <w:rsid w:val="00E04556"/>
    <w:rsid w:val="00E3462B"/>
    <w:rsid w:val="00EF2C92"/>
    <w:rsid w:val="00F047E8"/>
    <w:rsid w:val="00F26B74"/>
    <w:rsid w:val="00FE37C0"/>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paragraph">
    <w:name w:val="paragraph"/>
    <w:basedOn w:val="Normal"/>
    <w:rsid w:val="00E045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4556"/>
  </w:style>
  <w:style w:type="character" w:customStyle="1" w:styleId="eop">
    <w:name w:val="eop"/>
    <w:basedOn w:val="DefaultParagraphFont"/>
    <w:rsid w:val="00E04556"/>
  </w:style>
  <w:style w:type="character" w:customStyle="1" w:styleId="scxw16170240">
    <w:name w:val="scxw16170240"/>
    <w:basedOn w:val="DefaultParagraphFont"/>
    <w:rsid w:val="00E04556"/>
  </w:style>
  <w:style w:type="character" w:customStyle="1" w:styleId="tabchar">
    <w:name w:val="tabchar"/>
    <w:basedOn w:val="DefaultParagraphFont"/>
    <w:rsid w:val="00E04556"/>
  </w:style>
  <w:style w:type="paragraph" w:styleId="ListParagraph">
    <w:name w:val="List Paragraph"/>
    <w:basedOn w:val="Normal"/>
    <w:uiPriority w:val="34"/>
    <w:qFormat/>
    <w:rsid w:val="00446333"/>
    <w:pPr>
      <w:ind w:left="720"/>
      <w:contextualSpacing/>
    </w:pPr>
  </w:style>
  <w:style w:type="table" w:styleId="TableGrid">
    <w:name w:val="Table Grid"/>
    <w:basedOn w:val="TableNormal"/>
    <w:uiPriority w:val="59"/>
    <w:rsid w:val="006417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184978">
      <w:bodyDiv w:val="1"/>
      <w:marLeft w:val="0"/>
      <w:marRight w:val="0"/>
      <w:marTop w:val="0"/>
      <w:marBottom w:val="0"/>
      <w:divBdr>
        <w:top w:val="none" w:sz="0" w:space="0" w:color="auto"/>
        <w:left w:val="none" w:sz="0" w:space="0" w:color="auto"/>
        <w:bottom w:val="none" w:sz="0" w:space="0" w:color="auto"/>
        <w:right w:val="none" w:sz="0" w:space="0" w:color="auto"/>
      </w:divBdr>
      <w:divsChild>
        <w:div w:id="876890105">
          <w:marLeft w:val="0"/>
          <w:marRight w:val="0"/>
          <w:marTop w:val="0"/>
          <w:marBottom w:val="0"/>
          <w:divBdr>
            <w:top w:val="none" w:sz="0" w:space="0" w:color="auto"/>
            <w:left w:val="none" w:sz="0" w:space="0" w:color="auto"/>
            <w:bottom w:val="none" w:sz="0" w:space="0" w:color="auto"/>
            <w:right w:val="none" w:sz="0" w:space="0" w:color="auto"/>
          </w:divBdr>
        </w:div>
        <w:div w:id="1215195794">
          <w:marLeft w:val="0"/>
          <w:marRight w:val="0"/>
          <w:marTop w:val="0"/>
          <w:marBottom w:val="0"/>
          <w:divBdr>
            <w:top w:val="none" w:sz="0" w:space="0" w:color="auto"/>
            <w:left w:val="none" w:sz="0" w:space="0" w:color="auto"/>
            <w:bottom w:val="none" w:sz="0" w:space="0" w:color="auto"/>
            <w:right w:val="none" w:sz="0" w:space="0" w:color="auto"/>
          </w:divBdr>
        </w:div>
        <w:div w:id="2058506501">
          <w:marLeft w:val="0"/>
          <w:marRight w:val="0"/>
          <w:marTop w:val="0"/>
          <w:marBottom w:val="0"/>
          <w:divBdr>
            <w:top w:val="none" w:sz="0" w:space="0" w:color="auto"/>
            <w:left w:val="none" w:sz="0" w:space="0" w:color="auto"/>
            <w:bottom w:val="none" w:sz="0" w:space="0" w:color="auto"/>
            <w:right w:val="none" w:sz="0" w:space="0" w:color="auto"/>
          </w:divBdr>
        </w:div>
        <w:div w:id="1134640926">
          <w:marLeft w:val="0"/>
          <w:marRight w:val="0"/>
          <w:marTop w:val="0"/>
          <w:marBottom w:val="0"/>
          <w:divBdr>
            <w:top w:val="none" w:sz="0" w:space="0" w:color="auto"/>
            <w:left w:val="none" w:sz="0" w:space="0" w:color="auto"/>
            <w:bottom w:val="none" w:sz="0" w:space="0" w:color="auto"/>
            <w:right w:val="none" w:sz="0" w:space="0" w:color="auto"/>
          </w:divBdr>
        </w:div>
        <w:div w:id="1975401362">
          <w:marLeft w:val="0"/>
          <w:marRight w:val="0"/>
          <w:marTop w:val="0"/>
          <w:marBottom w:val="0"/>
          <w:divBdr>
            <w:top w:val="none" w:sz="0" w:space="0" w:color="auto"/>
            <w:left w:val="none" w:sz="0" w:space="0" w:color="auto"/>
            <w:bottom w:val="none" w:sz="0" w:space="0" w:color="auto"/>
            <w:right w:val="none" w:sz="0" w:space="0" w:color="auto"/>
          </w:divBdr>
        </w:div>
        <w:div w:id="1534228813">
          <w:marLeft w:val="0"/>
          <w:marRight w:val="0"/>
          <w:marTop w:val="0"/>
          <w:marBottom w:val="0"/>
          <w:divBdr>
            <w:top w:val="none" w:sz="0" w:space="0" w:color="auto"/>
            <w:left w:val="none" w:sz="0" w:space="0" w:color="auto"/>
            <w:bottom w:val="none" w:sz="0" w:space="0" w:color="auto"/>
            <w:right w:val="none" w:sz="0" w:space="0" w:color="auto"/>
          </w:divBdr>
        </w:div>
        <w:div w:id="836847907">
          <w:marLeft w:val="0"/>
          <w:marRight w:val="0"/>
          <w:marTop w:val="0"/>
          <w:marBottom w:val="0"/>
          <w:divBdr>
            <w:top w:val="none" w:sz="0" w:space="0" w:color="auto"/>
            <w:left w:val="none" w:sz="0" w:space="0" w:color="auto"/>
            <w:bottom w:val="none" w:sz="0" w:space="0" w:color="auto"/>
            <w:right w:val="none" w:sz="0" w:space="0" w:color="auto"/>
          </w:divBdr>
        </w:div>
        <w:div w:id="1492989198">
          <w:marLeft w:val="0"/>
          <w:marRight w:val="0"/>
          <w:marTop w:val="0"/>
          <w:marBottom w:val="0"/>
          <w:divBdr>
            <w:top w:val="none" w:sz="0" w:space="0" w:color="auto"/>
            <w:left w:val="none" w:sz="0" w:space="0" w:color="auto"/>
            <w:bottom w:val="none" w:sz="0" w:space="0" w:color="auto"/>
            <w:right w:val="none" w:sz="0" w:space="0" w:color="auto"/>
          </w:divBdr>
        </w:div>
        <w:div w:id="1779334117">
          <w:marLeft w:val="0"/>
          <w:marRight w:val="0"/>
          <w:marTop w:val="0"/>
          <w:marBottom w:val="0"/>
          <w:divBdr>
            <w:top w:val="none" w:sz="0" w:space="0" w:color="auto"/>
            <w:left w:val="none" w:sz="0" w:space="0" w:color="auto"/>
            <w:bottom w:val="none" w:sz="0" w:space="0" w:color="auto"/>
            <w:right w:val="none" w:sz="0" w:space="0" w:color="auto"/>
          </w:divBdr>
        </w:div>
        <w:div w:id="938415804">
          <w:marLeft w:val="0"/>
          <w:marRight w:val="0"/>
          <w:marTop w:val="0"/>
          <w:marBottom w:val="0"/>
          <w:divBdr>
            <w:top w:val="none" w:sz="0" w:space="0" w:color="auto"/>
            <w:left w:val="none" w:sz="0" w:space="0" w:color="auto"/>
            <w:bottom w:val="none" w:sz="0" w:space="0" w:color="auto"/>
            <w:right w:val="none" w:sz="0" w:space="0" w:color="auto"/>
          </w:divBdr>
        </w:div>
        <w:div w:id="776683124">
          <w:marLeft w:val="0"/>
          <w:marRight w:val="0"/>
          <w:marTop w:val="0"/>
          <w:marBottom w:val="0"/>
          <w:divBdr>
            <w:top w:val="none" w:sz="0" w:space="0" w:color="auto"/>
            <w:left w:val="none" w:sz="0" w:space="0" w:color="auto"/>
            <w:bottom w:val="none" w:sz="0" w:space="0" w:color="auto"/>
            <w:right w:val="none" w:sz="0" w:space="0" w:color="auto"/>
          </w:divBdr>
        </w:div>
        <w:div w:id="185366483">
          <w:marLeft w:val="0"/>
          <w:marRight w:val="0"/>
          <w:marTop w:val="0"/>
          <w:marBottom w:val="0"/>
          <w:divBdr>
            <w:top w:val="none" w:sz="0" w:space="0" w:color="auto"/>
            <w:left w:val="none" w:sz="0" w:space="0" w:color="auto"/>
            <w:bottom w:val="none" w:sz="0" w:space="0" w:color="auto"/>
            <w:right w:val="none" w:sz="0" w:space="0" w:color="auto"/>
          </w:divBdr>
          <w:divsChild>
            <w:div w:id="1275556565">
              <w:marLeft w:val="-75"/>
              <w:marRight w:val="0"/>
              <w:marTop w:val="30"/>
              <w:marBottom w:val="30"/>
              <w:divBdr>
                <w:top w:val="none" w:sz="0" w:space="0" w:color="auto"/>
                <w:left w:val="none" w:sz="0" w:space="0" w:color="auto"/>
                <w:bottom w:val="none" w:sz="0" w:space="0" w:color="auto"/>
                <w:right w:val="none" w:sz="0" w:space="0" w:color="auto"/>
              </w:divBdr>
              <w:divsChild>
                <w:div w:id="1495342936">
                  <w:marLeft w:val="0"/>
                  <w:marRight w:val="0"/>
                  <w:marTop w:val="0"/>
                  <w:marBottom w:val="0"/>
                  <w:divBdr>
                    <w:top w:val="none" w:sz="0" w:space="0" w:color="auto"/>
                    <w:left w:val="none" w:sz="0" w:space="0" w:color="auto"/>
                    <w:bottom w:val="none" w:sz="0" w:space="0" w:color="auto"/>
                    <w:right w:val="none" w:sz="0" w:space="0" w:color="auto"/>
                  </w:divBdr>
                  <w:divsChild>
                    <w:div w:id="308100970">
                      <w:marLeft w:val="0"/>
                      <w:marRight w:val="0"/>
                      <w:marTop w:val="0"/>
                      <w:marBottom w:val="0"/>
                      <w:divBdr>
                        <w:top w:val="none" w:sz="0" w:space="0" w:color="auto"/>
                        <w:left w:val="none" w:sz="0" w:space="0" w:color="auto"/>
                        <w:bottom w:val="none" w:sz="0" w:space="0" w:color="auto"/>
                        <w:right w:val="none" w:sz="0" w:space="0" w:color="auto"/>
                      </w:divBdr>
                    </w:div>
                  </w:divsChild>
                </w:div>
                <w:div w:id="235750129">
                  <w:marLeft w:val="0"/>
                  <w:marRight w:val="0"/>
                  <w:marTop w:val="0"/>
                  <w:marBottom w:val="0"/>
                  <w:divBdr>
                    <w:top w:val="none" w:sz="0" w:space="0" w:color="auto"/>
                    <w:left w:val="none" w:sz="0" w:space="0" w:color="auto"/>
                    <w:bottom w:val="none" w:sz="0" w:space="0" w:color="auto"/>
                    <w:right w:val="none" w:sz="0" w:space="0" w:color="auto"/>
                  </w:divBdr>
                  <w:divsChild>
                    <w:div w:id="1946812990">
                      <w:marLeft w:val="0"/>
                      <w:marRight w:val="0"/>
                      <w:marTop w:val="0"/>
                      <w:marBottom w:val="0"/>
                      <w:divBdr>
                        <w:top w:val="none" w:sz="0" w:space="0" w:color="auto"/>
                        <w:left w:val="none" w:sz="0" w:space="0" w:color="auto"/>
                        <w:bottom w:val="none" w:sz="0" w:space="0" w:color="auto"/>
                        <w:right w:val="none" w:sz="0" w:space="0" w:color="auto"/>
                      </w:divBdr>
                    </w:div>
                  </w:divsChild>
                </w:div>
                <w:div w:id="1010720106">
                  <w:marLeft w:val="0"/>
                  <w:marRight w:val="0"/>
                  <w:marTop w:val="0"/>
                  <w:marBottom w:val="0"/>
                  <w:divBdr>
                    <w:top w:val="none" w:sz="0" w:space="0" w:color="auto"/>
                    <w:left w:val="none" w:sz="0" w:space="0" w:color="auto"/>
                    <w:bottom w:val="none" w:sz="0" w:space="0" w:color="auto"/>
                    <w:right w:val="none" w:sz="0" w:space="0" w:color="auto"/>
                  </w:divBdr>
                  <w:divsChild>
                    <w:div w:id="865405934">
                      <w:marLeft w:val="0"/>
                      <w:marRight w:val="0"/>
                      <w:marTop w:val="0"/>
                      <w:marBottom w:val="0"/>
                      <w:divBdr>
                        <w:top w:val="none" w:sz="0" w:space="0" w:color="auto"/>
                        <w:left w:val="none" w:sz="0" w:space="0" w:color="auto"/>
                        <w:bottom w:val="none" w:sz="0" w:space="0" w:color="auto"/>
                        <w:right w:val="none" w:sz="0" w:space="0" w:color="auto"/>
                      </w:divBdr>
                    </w:div>
                  </w:divsChild>
                </w:div>
                <w:div w:id="1269266661">
                  <w:marLeft w:val="0"/>
                  <w:marRight w:val="0"/>
                  <w:marTop w:val="0"/>
                  <w:marBottom w:val="0"/>
                  <w:divBdr>
                    <w:top w:val="none" w:sz="0" w:space="0" w:color="auto"/>
                    <w:left w:val="none" w:sz="0" w:space="0" w:color="auto"/>
                    <w:bottom w:val="none" w:sz="0" w:space="0" w:color="auto"/>
                    <w:right w:val="none" w:sz="0" w:space="0" w:color="auto"/>
                  </w:divBdr>
                  <w:divsChild>
                    <w:div w:id="1632662611">
                      <w:marLeft w:val="0"/>
                      <w:marRight w:val="0"/>
                      <w:marTop w:val="0"/>
                      <w:marBottom w:val="0"/>
                      <w:divBdr>
                        <w:top w:val="none" w:sz="0" w:space="0" w:color="auto"/>
                        <w:left w:val="none" w:sz="0" w:space="0" w:color="auto"/>
                        <w:bottom w:val="none" w:sz="0" w:space="0" w:color="auto"/>
                        <w:right w:val="none" w:sz="0" w:space="0" w:color="auto"/>
                      </w:divBdr>
                    </w:div>
                  </w:divsChild>
                </w:div>
                <w:div w:id="612591777">
                  <w:marLeft w:val="0"/>
                  <w:marRight w:val="0"/>
                  <w:marTop w:val="0"/>
                  <w:marBottom w:val="0"/>
                  <w:divBdr>
                    <w:top w:val="none" w:sz="0" w:space="0" w:color="auto"/>
                    <w:left w:val="none" w:sz="0" w:space="0" w:color="auto"/>
                    <w:bottom w:val="none" w:sz="0" w:space="0" w:color="auto"/>
                    <w:right w:val="none" w:sz="0" w:space="0" w:color="auto"/>
                  </w:divBdr>
                  <w:divsChild>
                    <w:div w:id="538933798">
                      <w:marLeft w:val="0"/>
                      <w:marRight w:val="0"/>
                      <w:marTop w:val="0"/>
                      <w:marBottom w:val="0"/>
                      <w:divBdr>
                        <w:top w:val="none" w:sz="0" w:space="0" w:color="auto"/>
                        <w:left w:val="none" w:sz="0" w:space="0" w:color="auto"/>
                        <w:bottom w:val="none" w:sz="0" w:space="0" w:color="auto"/>
                        <w:right w:val="none" w:sz="0" w:space="0" w:color="auto"/>
                      </w:divBdr>
                    </w:div>
                  </w:divsChild>
                </w:div>
                <w:div w:id="1294215868">
                  <w:marLeft w:val="0"/>
                  <w:marRight w:val="0"/>
                  <w:marTop w:val="0"/>
                  <w:marBottom w:val="0"/>
                  <w:divBdr>
                    <w:top w:val="none" w:sz="0" w:space="0" w:color="auto"/>
                    <w:left w:val="none" w:sz="0" w:space="0" w:color="auto"/>
                    <w:bottom w:val="none" w:sz="0" w:space="0" w:color="auto"/>
                    <w:right w:val="none" w:sz="0" w:space="0" w:color="auto"/>
                  </w:divBdr>
                  <w:divsChild>
                    <w:div w:id="6568592">
                      <w:marLeft w:val="0"/>
                      <w:marRight w:val="0"/>
                      <w:marTop w:val="0"/>
                      <w:marBottom w:val="0"/>
                      <w:divBdr>
                        <w:top w:val="none" w:sz="0" w:space="0" w:color="auto"/>
                        <w:left w:val="none" w:sz="0" w:space="0" w:color="auto"/>
                        <w:bottom w:val="none" w:sz="0" w:space="0" w:color="auto"/>
                        <w:right w:val="none" w:sz="0" w:space="0" w:color="auto"/>
                      </w:divBdr>
                    </w:div>
                  </w:divsChild>
                </w:div>
                <w:div w:id="1446773061">
                  <w:marLeft w:val="0"/>
                  <w:marRight w:val="0"/>
                  <w:marTop w:val="0"/>
                  <w:marBottom w:val="0"/>
                  <w:divBdr>
                    <w:top w:val="none" w:sz="0" w:space="0" w:color="auto"/>
                    <w:left w:val="none" w:sz="0" w:space="0" w:color="auto"/>
                    <w:bottom w:val="none" w:sz="0" w:space="0" w:color="auto"/>
                    <w:right w:val="none" w:sz="0" w:space="0" w:color="auto"/>
                  </w:divBdr>
                  <w:divsChild>
                    <w:div w:id="19415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3164">
          <w:marLeft w:val="0"/>
          <w:marRight w:val="0"/>
          <w:marTop w:val="0"/>
          <w:marBottom w:val="0"/>
          <w:divBdr>
            <w:top w:val="none" w:sz="0" w:space="0" w:color="auto"/>
            <w:left w:val="none" w:sz="0" w:space="0" w:color="auto"/>
            <w:bottom w:val="none" w:sz="0" w:space="0" w:color="auto"/>
            <w:right w:val="none" w:sz="0" w:space="0" w:color="auto"/>
          </w:divBdr>
        </w:div>
        <w:div w:id="327367756">
          <w:marLeft w:val="0"/>
          <w:marRight w:val="0"/>
          <w:marTop w:val="0"/>
          <w:marBottom w:val="0"/>
          <w:divBdr>
            <w:top w:val="none" w:sz="0" w:space="0" w:color="auto"/>
            <w:left w:val="none" w:sz="0" w:space="0" w:color="auto"/>
            <w:bottom w:val="none" w:sz="0" w:space="0" w:color="auto"/>
            <w:right w:val="none" w:sz="0" w:space="0" w:color="auto"/>
          </w:divBdr>
        </w:div>
        <w:div w:id="1004093600">
          <w:marLeft w:val="0"/>
          <w:marRight w:val="0"/>
          <w:marTop w:val="0"/>
          <w:marBottom w:val="0"/>
          <w:divBdr>
            <w:top w:val="none" w:sz="0" w:space="0" w:color="auto"/>
            <w:left w:val="none" w:sz="0" w:space="0" w:color="auto"/>
            <w:bottom w:val="none" w:sz="0" w:space="0" w:color="auto"/>
            <w:right w:val="none" w:sz="0" w:space="0" w:color="auto"/>
          </w:divBdr>
        </w:div>
        <w:div w:id="1734114888">
          <w:marLeft w:val="0"/>
          <w:marRight w:val="0"/>
          <w:marTop w:val="0"/>
          <w:marBottom w:val="0"/>
          <w:divBdr>
            <w:top w:val="none" w:sz="0" w:space="0" w:color="auto"/>
            <w:left w:val="none" w:sz="0" w:space="0" w:color="auto"/>
            <w:bottom w:val="none" w:sz="0" w:space="0" w:color="auto"/>
            <w:right w:val="none" w:sz="0" w:space="0" w:color="auto"/>
          </w:divBdr>
        </w:div>
        <w:div w:id="1287085363">
          <w:marLeft w:val="0"/>
          <w:marRight w:val="0"/>
          <w:marTop w:val="0"/>
          <w:marBottom w:val="0"/>
          <w:divBdr>
            <w:top w:val="none" w:sz="0" w:space="0" w:color="auto"/>
            <w:left w:val="none" w:sz="0" w:space="0" w:color="auto"/>
            <w:bottom w:val="none" w:sz="0" w:space="0" w:color="auto"/>
            <w:right w:val="none" w:sz="0" w:space="0" w:color="auto"/>
          </w:divBdr>
        </w:div>
        <w:div w:id="180045985">
          <w:marLeft w:val="0"/>
          <w:marRight w:val="0"/>
          <w:marTop w:val="0"/>
          <w:marBottom w:val="0"/>
          <w:divBdr>
            <w:top w:val="none" w:sz="0" w:space="0" w:color="auto"/>
            <w:left w:val="none" w:sz="0" w:space="0" w:color="auto"/>
            <w:bottom w:val="none" w:sz="0" w:space="0" w:color="auto"/>
            <w:right w:val="none" w:sz="0" w:space="0" w:color="auto"/>
          </w:divBdr>
        </w:div>
        <w:div w:id="1966303009">
          <w:marLeft w:val="0"/>
          <w:marRight w:val="0"/>
          <w:marTop w:val="0"/>
          <w:marBottom w:val="0"/>
          <w:divBdr>
            <w:top w:val="none" w:sz="0" w:space="0" w:color="auto"/>
            <w:left w:val="none" w:sz="0" w:space="0" w:color="auto"/>
            <w:bottom w:val="none" w:sz="0" w:space="0" w:color="auto"/>
            <w:right w:val="none" w:sz="0" w:space="0" w:color="auto"/>
          </w:divBdr>
        </w:div>
        <w:div w:id="206574808">
          <w:marLeft w:val="0"/>
          <w:marRight w:val="0"/>
          <w:marTop w:val="0"/>
          <w:marBottom w:val="0"/>
          <w:divBdr>
            <w:top w:val="none" w:sz="0" w:space="0" w:color="auto"/>
            <w:left w:val="none" w:sz="0" w:space="0" w:color="auto"/>
            <w:bottom w:val="none" w:sz="0" w:space="0" w:color="auto"/>
            <w:right w:val="none" w:sz="0" w:space="0" w:color="auto"/>
          </w:divBdr>
        </w:div>
        <w:div w:id="854884307">
          <w:marLeft w:val="0"/>
          <w:marRight w:val="0"/>
          <w:marTop w:val="0"/>
          <w:marBottom w:val="0"/>
          <w:divBdr>
            <w:top w:val="none" w:sz="0" w:space="0" w:color="auto"/>
            <w:left w:val="none" w:sz="0" w:space="0" w:color="auto"/>
            <w:bottom w:val="none" w:sz="0" w:space="0" w:color="auto"/>
            <w:right w:val="none" w:sz="0" w:space="0" w:color="auto"/>
          </w:divBdr>
        </w:div>
        <w:div w:id="2060129331">
          <w:marLeft w:val="0"/>
          <w:marRight w:val="0"/>
          <w:marTop w:val="0"/>
          <w:marBottom w:val="0"/>
          <w:divBdr>
            <w:top w:val="none" w:sz="0" w:space="0" w:color="auto"/>
            <w:left w:val="none" w:sz="0" w:space="0" w:color="auto"/>
            <w:bottom w:val="none" w:sz="0" w:space="0" w:color="auto"/>
            <w:right w:val="none" w:sz="0" w:space="0" w:color="auto"/>
          </w:divBdr>
        </w:div>
        <w:div w:id="1949196530">
          <w:marLeft w:val="0"/>
          <w:marRight w:val="0"/>
          <w:marTop w:val="0"/>
          <w:marBottom w:val="0"/>
          <w:divBdr>
            <w:top w:val="none" w:sz="0" w:space="0" w:color="auto"/>
            <w:left w:val="none" w:sz="0" w:space="0" w:color="auto"/>
            <w:bottom w:val="none" w:sz="0" w:space="0" w:color="auto"/>
            <w:right w:val="none" w:sz="0" w:space="0" w:color="auto"/>
          </w:divBdr>
        </w:div>
        <w:div w:id="1528451330">
          <w:marLeft w:val="0"/>
          <w:marRight w:val="0"/>
          <w:marTop w:val="0"/>
          <w:marBottom w:val="0"/>
          <w:divBdr>
            <w:top w:val="none" w:sz="0" w:space="0" w:color="auto"/>
            <w:left w:val="none" w:sz="0" w:space="0" w:color="auto"/>
            <w:bottom w:val="none" w:sz="0" w:space="0" w:color="auto"/>
            <w:right w:val="none" w:sz="0" w:space="0" w:color="auto"/>
          </w:divBdr>
        </w:div>
        <w:div w:id="1307204086">
          <w:marLeft w:val="0"/>
          <w:marRight w:val="0"/>
          <w:marTop w:val="0"/>
          <w:marBottom w:val="0"/>
          <w:divBdr>
            <w:top w:val="none" w:sz="0" w:space="0" w:color="auto"/>
            <w:left w:val="none" w:sz="0" w:space="0" w:color="auto"/>
            <w:bottom w:val="none" w:sz="0" w:space="0" w:color="auto"/>
            <w:right w:val="none" w:sz="0" w:space="0" w:color="auto"/>
          </w:divBdr>
        </w:div>
        <w:div w:id="1335185814">
          <w:marLeft w:val="0"/>
          <w:marRight w:val="0"/>
          <w:marTop w:val="0"/>
          <w:marBottom w:val="0"/>
          <w:divBdr>
            <w:top w:val="none" w:sz="0" w:space="0" w:color="auto"/>
            <w:left w:val="none" w:sz="0" w:space="0" w:color="auto"/>
            <w:bottom w:val="none" w:sz="0" w:space="0" w:color="auto"/>
            <w:right w:val="none" w:sz="0" w:space="0" w:color="auto"/>
          </w:divBdr>
        </w:div>
        <w:div w:id="221916793">
          <w:marLeft w:val="0"/>
          <w:marRight w:val="0"/>
          <w:marTop w:val="0"/>
          <w:marBottom w:val="0"/>
          <w:divBdr>
            <w:top w:val="none" w:sz="0" w:space="0" w:color="auto"/>
            <w:left w:val="none" w:sz="0" w:space="0" w:color="auto"/>
            <w:bottom w:val="none" w:sz="0" w:space="0" w:color="auto"/>
            <w:right w:val="none" w:sz="0" w:space="0" w:color="auto"/>
          </w:divBdr>
        </w:div>
        <w:div w:id="1868449769">
          <w:marLeft w:val="0"/>
          <w:marRight w:val="0"/>
          <w:marTop w:val="0"/>
          <w:marBottom w:val="0"/>
          <w:divBdr>
            <w:top w:val="none" w:sz="0" w:space="0" w:color="auto"/>
            <w:left w:val="none" w:sz="0" w:space="0" w:color="auto"/>
            <w:bottom w:val="none" w:sz="0" w:space="0" w:color="auto"/>
            <w:right w:val="none" w:sz="0" w:space="0" w:color="auto"/>
          </w:divBdr>
        </w:div>
        <w:div w:id="1156992395">
          <w:marLeft w:val="0"/>
          <w:marRight w:val="0"/>
          <w:marTop w:val="0"/>
          <w:marBottom w:val="0"/>
          <w:divBdr>
            <w:top w:val="none" w:sz="0" w:space="0" w:color="auto"/>
            <w:left w:val="none" w:sz="0" w:space="0" w:color="auto"/>
            <w:bottom w:val="none" w:sz="0" w:space="0" w:color="auto"/>
            <w:right w:val="none" w:sz="0" w:space="0" w:color="auto"/>
          </w:divBdr>
        </w:div>
        <w:div w:id="1761952768">
          <w:marLeft w:val="0"/>
          <w:marRight w:val="0"/>
          <w:marTop w:val="0"/>
          <w:marBottom w:val="0"/>
          <w:divBdr>
            <w:top w:val="none" w:sz="0" w:space="0" w:color="auto"/>
            <w:left w:val="none" w:sz="0" w:space="0" w:color="auto"/>
            <w:bottom w:val="none" w:sz="0" w:space="0" w:color="auto"/>
            <w:right w:val="none" w:sz="0" w:space="0" w:color="auto"/>
          </w:divBdr>
        </w:div>
        <w:div w:id="2007591298">
          <w:marLeft w:val="0"/>
          <w:marRight w:val="0"/>
          <w:marTop w:val="0"/>
          <w:marBottom w:val="0"/>
          <w:divBdr>
            <w:top w:val="none" w:sz="0" w:space="0" w:color="auto"/>
            <w:left w:val="none" w:sz="0" w:space="0" w:color="auto"/>
            <w:bottom w:val="none" w:sz="0" w:space="0" w:color="auto"/>
            <w:right w:val="none" w:sz="0" w:space="0" w:color="auto"/>
          </w:divBdr>
        </w:div>
        <w:div w:id="1407730186">
          <w:marLeft w:val="0"/>
          <w:marRight w:val="0"/>
          <w:marTop w:val="0"/>
          <w:marBottom w:val="0"/>
          <w:divBdr>
            <w:top w:val="none" w:sz="0" w:space="0" w:color="auto"/>
            <w:left w:val="none" w:sz="0" w:space="0" w:color="auto"/>
            <w:bottom w:val="none" w:sz="0" w:space="0" w:color="auto"/>
            <w:right w:val="none" w:sz="0" w:space="0" w:color="auto"/>
          </w:divBdr>
        </w:div>
        <w:div w:id="363796071">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1149053771">
          <w:marLeft w:val="0"/>
          <w:marRight w:val="0"/>
          <w:marTop w:val="0"/>
          <w:marBottom w:val="0"/>
          <w:divBdr>
            <w:top w:val="none" w:sz="0" w:space="0" w:color="auto"/>
            <w:left w:val="none" w:sz="0" w:space="0" w:color="auto"/>
            <w:bottom w:val="none" w:sz="0" w:space="0" w:color="auto"/>
            <w:right w:val="none" w:sz="0" w:space="0" w:color="auto"/>
          </w:divBdr>
        </w:div>
        <w:div w:id="2018847838">
          <w:marLeft w:val="0"/>
          <w:marRight w:val="0"/>
          <w:marTop w:val="0"/>
          <w:marBottom w:val="0"/>
          <w:divBdr>
            <w:top w:val="none" w:sz="0" w:space="0" w:color="auto"/>
            <w:left w:val="none" w:sz="0" w:space="0" w:color="auto"/>
            <w:bottom w:val="none" w:sz="0" w:space="0" w:color="auto"/>
            <w:right w:val="none" w:sz="0" w:space="0" w:color="auto"/>
          </w:divBdr>
        </w:div>
        <w:div w:id="841966800">
          <w:marLeft w:val="0"/>
          <w:marRight w:val="0"/>
          <w:marTop w:val="0"/>
          <w:marBottom w:val="0"/>
          <w:divBdr>
            <w:top w:val="none" w:sz="0" w:space="0" w:color="auto"/>
            <w:left w:val="none" w:sz="0" w:space="0" w:color="auto"/>
            <w:bottom w:val="none" w:sz="0" w:space="0" w:color="auto"/>
            <w:right w:val="none" w:sz="0" w:space="0" w:color="auto"/>
          </w:divBdr>
        </w:div>
        <w:div w:id="808205272">
          <w:marLeft w:val="0"/>
          <w:marRight w:val="0"/>
          <w:marTop w:val="0"/>
          <w:marBottom w:val="0"/>
          <w:divBdr>
            <w:top w:val="none" w:sz="0" w:space="0" w:color="auto"/>
            <w:left w:val="none" w:sz="0" w:space="0" w:color="auto"/>
            <w:bottom w:val="none" w:sz="0" w:space="0" w:color="auto"/>
            <w:right w:val="none" w:sz="0" w:space="0" w:color="auto"/>
          </w:divBdr>
        </w:div>
        <w:div w:id="2076246289">
          <w:marLeft w:val="0"/>
          <w:marRight w:val="0"/>
          <w:marTop w:val="0"/>
          <w:marBottom w:val="0"/>
          <w:divBdr>
            <w:top w:val="none" w:sz="0" w:space="0" w:color="auto"/>
            <w:left w:val="none" w:sz="0" w:space="0" w:color="auto"/>
            <w:bottom w:val="none" w:sz="0" w:space="0" w:color="auto"/>
            <w:right w:val="none" w:sz="0" w:space="0" w:color="auto"/>
          </w:divBdr>
          <w:divsChild>
            <w:div w:id="1102802831">
              <w:marLeft w:val="-75"/>
              <w:marRight w:val="0"/>
              <w:marTop w:val="30"/>
              <w:marBottom w:val="30"/>
              <w:divBdr>
                <w:top w:val="none" w:sz="0" w:space="0" w:color="auto"/>
                <w:left w:val="none" w:sz="0" w:space="0" w:color="auto"/>
                <w:bottom w:val="none" w:sz="0" w:space="0" w:color="auto"/>
                <w:right w:val="none" w:sz="0" w:space="0" w:color="auto"/>
              </w:divBdr>
              <w:divsChild>
                <w:div w:id="837574398">
                  <w:marLeft w:val="0"/>
                  <w:marRight w:val="0"/>
                  <w:marTop w:val="0"/>
                  <w:marBottom w:val="0"/>
                  <w:divBdr>
                    <w:top w:val="none" w:sz="0" w:space="0" w:color="auto"/>
                    <w:left w:val="none" w:sz="0" w:space="0" w:color="auto"/>
                    <w:bottom w:val="none" w:sz="0" w:space="0" w:color="auto"/>
                    <w:right w:val="none" w:sz="0" w:space="0" w:color="auto"/>
                  </w:divBdr>
                  <w:divsChild>
                    <w:div w:id="334000371">
                      <w:marLeft w:val="0"/>
                      <w:marRight w:val="0"/>
                      <w:marTop w:val="0"/>
                      <w:marBottom w:val="0"/>
                      <w:divBdr>
                        <w:top w:val="none" w:sz="0" w:space="0" w:color="auto"/>
                        <w:left w:val="none" w:sz="0" w:space="0" w:color="auto"/>
                        <w:bottom w:val="none" w:sz="0" w:space="0" w:color="auto"/>
                        <w:right w:val="none" w:sz="0" w:space="0" w:color="auto"/>
                      </w:divBdr>
                    </w:div>
                  </w:divsChild>
                </w:div>
                <w:div w:id="1780447235">
                  <w:marLeft w:val="0"/>
                  <w:marRight w:val="0"/>
                  <w:marTop w:val="0"/>
                  <w:marBottom w:val="0"/>
                  <w:divBdr>
                    <w:top w:val="none" w:sz="0" w:space="0" w:color="auto"/>
                    <w:left w:val="none" w:sz="0" w:space="0" w:color="auto"/>
                    <w:bottom w:val="none" w:sz="0" w:space="0" w:color="auto"/>
                    <w:right w:val="none" w:sz="0" w:space="0" w:color="auto"/>
                  </w:divBdr>
                  <w:divsChild>
                    <w:div w:id="1796948846">
                      <w:marLeft w:val="0"/>
                      <w:marRight w:val="0"/>
                      <w:marTop w:val="0"/>
                      <w:marBottom w:val="0"/>
                      <w:divBdr>
                        <w:top w:val="none" w:sz="0" w:space="0" w:color="auto"/>
                        <w:left w:val="none" w:sz="0" w:space="0" w:color="auto"/>
                        <w:bottom w:val="none" w:sz="0" w:space="0" w:color="auto"/>
                        <w:right w:val="none" w:sz="0" w:space="0" w:color="auto"/>
                      </w:divBdr>
                    </w:div>
                  </w:divsChild>
                </w:div>
                <w:div w:id="81687221">
                  <w:marLeft w:val="0"/>
                  <w:marRight w:val="0"/>
                  <w:marTop w:val="0"/>
                  <w:marBottom w:val="0"/>
                  <w:divBdr>
                    <w:top w:val="none" w:sz="0" w:space="0" w:color="auto"/>
                    <w:left w:val="none" w:sz="0" w:space="0" w:color="auto"/>
                    <w:bottom w:val="none" w:sz="0" w:space="0" w:color="auto"/>
                    <w:right w:val="none" w:sz="0" w:space="0" w:color="auto"/>
                  </w:divBdr>
                  <w:divsChild>
                    <w:div w:id="986208162">
                      <w:marLeft w:val="0"/>
                      <w:marRight w:val="0"/>
                      <w:marTop w:val="0"/>
                      <w:marBottom w:val="0"/>
                      <w:divBdr>
                        <w:top w:val="none" w:sz="0" w:space="0" w:color="auto"/>
                        <w:left w:val="none" w:sz="0" w:space="0" w:color="auto"/>
                        <w:bottom w:val="none" w:sz="0" w:space="0" w:color="auto"/>
                        <w:right w:val="none" w:sz="0" w:space="0" w:color="auto"/>
                      </w:divBdr>
                    </w:div>
                  </w:divsChild>
                </w:div>
                <w:div w:id="1972442897">
                  <w:marLeft w:val="0"/>
                  <w:marRight w:val="0"/>
                  <w:marTop w:val="0"/>
                  <w:marBottom w:val="0"/>
                  <w:divBdr>
                    <w:top w:val="none" w:sz="0" w:space="0" w:color="auto"/>
                    <w:left w:val="none" w:sz="0" w:space="0" w:color="auto"/>
                    <w:bottom w:val="none" w:sz="0" w:space="0" w:color="auto"/>
                    <w:right w:val="none" w:sz="0" w:space="0" w:color="auto"/>
                  </w:divBdr>
                  <w:divsChild>
                    <w:div w:id="642123502">
                      <w:marLeft w:val="0"/>
                      <w:marRight w:val="0"/>
                      <w:marTop w:val="0"/>
                      <w:marBottom w:val="0"/>
                      <w:divBdr>
                        <w:top w:val="none" w:sz="0" w:space="0" w:color="auto"/>
                        <w:left w:val="none" w:sz="0" w:space="0" w:color="auto"/>
                        <w:bottom w:val="none" w:sz="0" w:space="0" w:color="auto"/>
                        <w:right w:val="none" w:sz="0" w:space="0" w:color="auto"/>
                      </w:divBdr>
                    </w:div>
                  </w:divsChild>
                </w:div>
                <w:div w:id="1001397151">
                  <w:marLeft w:val="0"/>
                  <w:marRight w:val="0"/>
                  <w:marTop w:val="0"/>
                  <w:marBottom w:val="0"/>
                  <w:divBdr>
                    <w:top w:val="none" w:sz="0" w:space="0" w:color="auto"/>
                    <w:left w:val="none" w:sz="0" w:space="0" w:color="auto"/>
                    <w:bottom w:val="none" w:sz="0" w:space="0" w:color="auto"/>
                    <w:right w:val="none" w:sz="0" w:space="0" w:color="auto"/>
                  </w:divBdr>
                  <w:divsChild>
                    <w:div w:id="1843470813">
                      <w:marLeft w:val="0"/>
                      <w:marRight w:val="0"/>
                      <w:marTop w:val="0"/>
                      <w:marBottom w:val="0"/>
                      <w:divBdr>
                        <w:top w:val="none" w:sz="0" w:space="0" w:color="auto"/>
                        <w:left w:val="none" w:sz="0" w:space="0" w:color="auto"/>
                        <w:bottom w:val="none" w:sz="0" w:space="0" w:color="auto"/>
                        <w:right w:val="none" w:sz="0" w:space="0" w:color="auto"/>
                      </w:divBdr>
                    </w:div>
                  </w:divsChild>
                </w:div>
                <w:div w:id="215093515">
                  <w:marLeft w:val="0"/>
                  <w:marRight w:val="0"/>
                  <w:marTop w:val="0"/>
                  <w:marBottom w:val="0"/>
                  <w:divBdr>
                    <w:top w:val="none" w:sz="0" w:space="0" w:color="auto"/>
                    <w:left w:val="none" w:sz="0" w:space="0" w:color="auto"/>
                    <w:bottom w:val="none" w:sz="0" w:space="0" w:color="auto"/>
                    <w:right w:val="none" w:sz="0" w:space="0" w:color="auto"/>
                  </w:divBdr>
                  <w:divsChild>
                    <w:div w:id="886573424">
                      <w:marLeft w:val="0"/>
                      <w:marRight w:val="0"/>
                      <w:marTop w:val="0"/>
                      <w:marBottom w:val="0"/>
                      <w:divBdr>
                        <w:top w:val="none" w:sz="0" w:space="0" w:color="auto"/>
                        <w:left w:val="none" w:sz="0" w:space="0" w:color="auto"/>
                        <w:bottom w:val="none" w:sz="0" w:space="0" w:color="auto"/>
                        <w:right w:val="none" w:sz="0" w:space="0" w:color="auto"/>
                      </w:divBdr>
                    </w:div>
                  </w:divsChild>
                </w:div>
                <w:div w:id="1578856389">
                  <w:marLeft w:val="0"/>
                  <w:marRight w:val="0"/>
                  <w:marTop w:val="0"/>
                  <w:marBottom w:val="0"/>
                  <w:divBdr>
                    <w:top w:val="none" w:sz="0" w:space="0" w:color="auto"/>
                    <w:left w:val="none" w:sz="0" w:space="0" w:color="auto"/>
                    <w:bottom w:val="none" w:sz="0" w:space="0" w:color="auto"/>
                    <w:right w:val="none" w:sz="0" w:space="0" w:color="auto"/>
                  </w:divBdr>
                </w:div>
                <w:div w:id="1752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131">
          <w:marLeft w:val="0"/>
          <w:marRight w:val="0"/>
          <w:marTop w:val="0"/>
          <w:marBottom w:val="0"/>
          <w:divBdr>
            <w:top w:val="none" w:sz="0" w:space="0" w:color="auto"/>
            <w:left w:val="none" w:sz="0" w:space="0" w:color="auto"/>
            <w:bottom w:val="none" w:sz="0" w:space="0" w:color="auto"/>
            <w:right w:val="none" w:sz="0" w:space="0" w:color="auto"/>
          </w:divBdr>
        </w:div>
        <w:div w:id="1279482841">
          <w:marLeft w:val="0"/>
          <w:marRight w:val="0"/>
          <w:marTop w:val="0"/>
          <w:marBottom w:val="0"/>
          <w:divBdr>
            <w:top w:val="none" w:sz="0" w:space="0" w:color="auto"/>
            <w:left w:val="none" w:sz="0" w:space="0" w:color="auto"/>
            <w:bottom w:val="none" w:sz="0" w:space="0" w:color="auto"/>
            <w:right w:val="none" w:sz="0" w:space="0" w:color="auto"/>
          </w:divBdr>
        </w:div>
        <w:div w:id="738018221">
          <w:marLeft w:val="0"/>
          <w:marRight w:val="0"/>
          <w:marTop w:val="0"/>
          <w:marBottom w:val="0"/>
          <w:divBdr>
            <w:top w:val="none" w:sz="0" w:space="0" w:color="auto"/>
            <w:left w:val="none" w:sz="0" w:space="0" w:color="auto"/>
            <w:bottom w:val="none" w:sz="0" w:space="0" w:color="auto"/>
            <w:right w:val="none" w:sz="0" w:space="0" w:color="auto"/>
          </w:divBdr>
        </w:div>
        <w:div w:id="1607229138">
          <w:marLeft w:val="0"/>
          <w:marRight w:val="0"/>
          <w:marTop w:val="0"/>
          <w:marBottom w:val="0"/>
          <w:divBdr>
            <w:top w:val="none" w:sz="0" w:space="0" w:color="auto"/>
            <w:left w:val="none" w:sz="0" w:space="0" w:color="auto"/>
            <w:bottom w:val="none" w:sz="0" w:space="0" w:color="auto"/>
            <w:right w:val="none" w:sz="0" w:space="0" w:color="auto"/>
          </w:divBdr>
        </w:div>
        <w:div w:id="1064719895">
          <w:marLeft w:val="0"/>
          <w:marRight w:val="0"/>
          <w:marTop w:val="0"/>
          <w:marBottom w:val="0"/>
          <w:divBdr>
            <w:top w:val="none" w:sz="0" w:space="0" w:color="auto"/>
            <w:left w:val="none" w:sz="0" w:space="0" w:color="auto"/>
            <w:bottom w:val="none" w:sz="0" w:space="0" w:color="auto"/>
            <w:right w:val="none" w:sz="0" w:space="0" w:color="auto"/>
          </w:divBdr>
        </w:div>
        <w:div w:id="2096390064">
          <w:marLeft w:val="0"/>
          <w:marRight w:val="0"/>
          <w:marTop w:val="0"/>
          <w:marBottom w:val="0"/>
          <w:divBdr>
            <w:top w:val="none" w:sz="0" w:space="0" w:color="auto"/>
            <w:left w:val="none" w:sz="0" w:space="0" w:color="auto"/>
            <w:bottom w:val="none" w:sz="0" w:space="0" w:color="auto"/>
            <w:right w:val="none" w:sz="0" w:space="0" w:color="auto"/>
          </w:divBdr>
        </w:div>
        <w:div w:id="2120372006">
          <w:marLeft w:val="0"/>
          <w:marRight w:val="0"/>
          <w:marTop w:val="0"/>
          <w:marBottom w:val="0"/>
          <w:divBdr>
            <w:top w:val="none" w:sz="0" w:space="0" w:color="auto"/>
            <w:left w:val="none" w:sz="0" w:space="0" w:color="auto"/>
            <w:bottom w:val="none" w:sz="0" w:space="0" w:color="auto"/>
            <w:right w:val="none" w:sz="0" w:space="0" w:color="auto"/>
          </w:divBdr>
        </w:div>
        <w:div w:id="303656069">
          <w:marLeft w:val="0"/>
          <w:marRight w:val="0"/>
          <w:marTop w:val="0"/>
          <w:marBottom w:val="0"/>
          <w:divBdr>
            <w:top w:val="none" w:sz="0" w:space="0" w:color="auto"/>
            <w:left w:val="none" w:sz="0" w:space="0" w:color="auto"/>
            <w:bottom w:val="none" w:sz="0" w:space="0" w:color="auto"/>
            <w:right w:val="none" w:sz="0" w:space="0" w:color="auto"/>
          </w:divBdr>
        </w:div>
        <w:div w:id="1380863173">
          <w:marLeft w:val="0"/>
          <w:marRight w:val="0"/>
          <w:marTop w:val="0"/>
          <w:marBottom w:val="0"/>
          <w:divBdr>
            <w:top w:val="none" w:sz="0" w:space="0" w:color="auto"/>
            <w:left w:val="none" w:sz="0" w:space="0" w:color="auto"/>
            <w:bottom w:val="none" w:sz="0" w:space="0" w:color="auto"/>
            <w:right w:val="none" w:sz="0" w:space="0" w:color="auto"/>
          </w:divBdr>
        </w:div>
        <w:div w:id="936451671">
          <w:marLeft w:val="0"/>
          <w:marRight w:val="0"/>
          <w:marTop w:val="0"/>
          <w:marBottom w:val="0"/>
          <w:divBdr>
            <w:top w:val="none" w:sz="0" w:space="0" w:color="auto"/>
            <w:left w:val="none" w:sz="0" w:space="0" w:color="auto"/>
            <w:bottom w:val="none" w:sz="0" w:space="0" w:color="auto"/>
            <w:right w:val="none" w:sz="0" w:space="0" w:color="auto"/>
          </w:divBdr>
        </w:div>
        <w:div w:id="43799638">
          <w:marLeft w:val="0"/>
          <w:marRight w:val="0"/>
          <w:marTop w:val="0"/>
          <w:marBottom w:val="0"/>
          <w:divBdr>
            <w:top w:val="none" w:sz="0" w:space="0" w:color="auto"/>
            <w:left w:val="none" w:sz="0" w:space="0" w:color="auto"/>
            <w:bottom w:val="none" w:sz="0" w:space="0" w:color="auto"/>
            <w:right w:val="none" w:sz="0" w:space="0" w:color="auto"/>
          </w:divBdr>
        </w:div>
        <w:div w:id="492793215">
          <w:marLeft w:val="0"/>
          <w:marRight w:val="0"/>
          <w:marTop w:val="0"/>
          <w:marBottom w:val="0"/>
          <w:divBdr>
            <w:top w:val="none" w:sz="0" w:space="0" w:color="auto"/>
            <w:left w:val="none" w:sz="0" w:space="0" w:color="auto"/>
            <w:bottom w:val="none" w:sz="0" w:space="0" w:color="auto"/>
            <w:right w:val="none" w:sz="0" w:space="0" w:color="auto"/>
          </w:divBdr>
        </w:div>
        <w:div w:id="1182821484">
          <w:marLeft w:val="0"/>
          <w:marRight w:val="0"/>
          <w:marTop w:val="0"/>
          <w:marBottom w:val="0"/>
          <w:divBdr>
            <w:top w:val="none" w:sz="0" w:space="0" w:color="auto"/>
            <w:left w:val="none" w:sz="0" w:space="0" w:color="auto"/>
            <w:bottom w:val="none" w:sz="0" w:space="0" w:color="auto"/>
            <w:right w:val="none" w:sz="0" w:space="0" w:color="auto"/>
          </w:divBdr>
        </w:div>
        <w:div w:id="254823812">
          <w:marLeft w:val="0"/>
          <w:marRight w:val="0"/>
          <w:marTop w:val="0"/>
          <w:marBottom w:val="0"/>
          <w:divBdr>
            <w:top w:val="none" w:sz="0" w:space="0" w:color="auto"/>
            <w:left w:val="none" w:sz="0" w:space="0" w:color="auto"/>
            <w:bottom w:val="none" w:sz="0" w:space="0" w:color="auto"/>
            <w:right w:val="none" w:sz="0" w:space="0" w:color="auto"/>
          </w:divBdr>
        </w:div>
        <w:div w:id="1906453482">
          <w:marLeft w:val="0"/>
          <w:marRight w:val="0"/>
          <w:marTop w:val="0"/>
          <w:marBottom w:val="0"/>
          <w:divBdr>
            <w:top w:val="none" w:sz="0" w:space="0" w:color="auto"/>
            <w:left w:val="none" w:sz="0" w:space="0" w:color="auto"/>
            <w:bottom w:val="none" w:sz="0" w:space="0" w:color="auto"/>
            <w:right w:val="none" w:sz="0" w:space="0" w:color="auto"/>
          </w:divBdr>
        </w:div>
        <w:div w:id="1038429590">
          <w:marLeft w:val="0"/>
          <w:marRight w:val="0"/>
          <w:marTop w:val="0"/>
          <w:marBottom w:val="0"/>
          <w:divBdr>
            <w:top w:val="none" w:sz="0" w:space="0" w:color="auto"/>
            <w:left w:val="none" w:sz="0" w:space="0" w:color="auto"/>
            <w:bottom w:val="none" w:sz="0" w:space="0" w:color="auto"/>
            <w:right w:val="none" w:sz="0" w:space="0" w:color="auto"/>
          </w:divBdr>
        </w:div>
        <w:div w:id="1450318673">
          <w:marLeft w:val="0"/>
          <w:marRight w:val="0"/>
          <w:marTop w:val="0"/>
          <w:marBottom w:val="0"/>
          <w:divBdr>
            <w:top w:val="none" w:sz="0" w:space="0" w:color="auto"/>
            <w:left w:val="none" w:sz="0" w:space="0" w:color="auto"/>
            <w:bottom w:val="none" w:sz="0" w:space="0" w:color="auto"/>
            <w:right w:val="none" w:sz="0" w:space="0" w:color="auto"/>
          </w:divBdr>
        </w:div>
        <w:div w:id="1897355568">
          <w:marLeft w:val="0"/>
          <w:marRight w:val="0"/>
          <w:marTop w:val="0"/>
          <w:marBottom w:val="0"/>
          <w:divBdr>
            <w:top w:val="none" w:sz="0" w:space="0" w:color="auto"/>
            <w:left w:val="none" w:sz="0" w:space="0" w:color="auto"/>
            <w:bottom w:val="none" w:sz="0" w:space="0" w:color="auto"/>
            <w:right w:val="none" w:sz="0" w:space="0" w:color="auto"/>
          </w:divBdr>
        </w:div>
        <w:div w:id="784621067">
          <w:marLeft w:val="0"/>
          <w:marRight w:val="0"/>
          <w:marTop w:val="0"/>
          <w:marBottom w:val="0"/>
          <w:divBdr>
            <w:top w:val="none" w:sz="0" w:space="0" w:color="auto"/>
            <w:left w:val="none" w:sz="0" w:space="0" w:color="auto"/>
            <w:bottom w:val="none" w:sz="0" w:space="0" w:color="auto"/>
            <w:right w:val="none" w:sz="0" w:space="0" w:color="auto"/>
          </w:divBdr>
        </w:div>
        <w:div w:id="1982801964">
          <w:marLeft w:val="0"/>
          <w:marRight w:val="0"/>
          <w:marTop w:val="0"/>
          <w:marBottom w:val="0"/>
          <w:divBdr>
            <w:top w:val="none" w:sz="0" w:space="0" w:color="auto"/>
            <w:left w:val="none" w:sz="0" w:space="0" w:color="auto"/>
            <w:bottom w:val="none" w:sz="0" w:space="0" w:color="auto"/>
            <w:right w:val="none" w:sz="0" w:space="0" w:color="auto"/>
          </w:divBdr>
        </w:div>
        <w:div w:id="996345315">
          <w:marLeft w:val="0"/>
          <w:marRight w:val="0"/>
          <w:marTop w:val="0"/>
          <w:marBottom w:val="0"/>
          <w:divBdr>
            <w:top w:val="none" w:sz="0" w:space="0" w:color="auto"/>
            <w:left w:val="none" w:sz="0" w:space="0" w:color="auto"/>
            <w:bottom w:val="none" w:sz="0" w:space="0" w:color="auto"/>
            <w:right w:val="none" w:sz="0" w:space="0" w:color="auto"/>
          </w:divBdr>
        </w:div>
        <w:div w:id="1610550414">
          <w:marLeft w:val="0"/>
          <w:marRight w:val="0"/>
          <w:marTop w:val="0"/>
          <w:marBottom w:val="0"/>
          <w:divBdr>
            <w:top w:val="none" w:sz="0" w:space="0" w:color="auto"/>
            <w:left w:val="none" w:sz="0" w:space="0" w:color="auto"/>
            <w:bottom w:val="none" w:sz="0" w:space="0" w:color="auto"/>
            <w:right w:val="none" w:sz="0" w:space="0" w:color="auto"/>
          </w:divBdr>
        </w:div>
        <w:div w:id="1104611693">
          <w:marLeft w:val="0"/>
          <w:marRight w:val="0"/>
          <w:marTop w:val="0"/>
          <w:marBottom w:val="0"/>
          <w:divBdr>
            <w:top w:val="none" w:sz="0" w:space="0" w:color="auto"/>
            <w:left w:val="none" w:sz="0" w:space="0" w:color="auto"/>
            <w:bottom w:val="none" w:sz="0" w:space="0" w:color="auto"/>
            <w:right w:val="none" w:sz="0" w:space="0" w:color="auto"/>
          </w:divBdr>
        </w:div>
        <w:div w:id="681128364">
          <w:marLeft w:val="0"/>
          <w:marRight w:val="0"/>
          <w:marTop w:val="0"/>
          <w:marBottom w:val="0"/>
          <w:divBdr>
            <w:top w:val="none" w:sz="0" w:space="0" w:color="auto"/>
            <w:left w:val="none" w:sz="0" w:space="0" w:color="auto"/>
            <w:bottom w:val="none" w:sz="0" w:space="0" w:color="auto"/>
            <w:right w:val="none" w:sz="0" w:space="0" w:color="auto"/>
          </w:divBdr>
        </w:div>
        <w:div w:id="733552440">
          <w:marLeft w:val="0"/>
          <w:marRight w:val="0"/>
          <w:marTop w:val="0"/>
          <w:marBottom w:val="0"/>
          <w:divBdr>
            <w:top w:val="none" w:sz="0" w:space="0" w:color="auto"/>
            <w:left w:val="none" w:sz="0" w:space="0" w:color="auto"/>
            <w:bottom w:val="none" w:sz="0" w:space="0" w:color="auto"/>
            <w:right w:val="none" w:sz="0" w:space="0" w:color="auto"/>
          </w:divBdr>
        </w:div>
        <w:div w:id="696662861">
          <w:marLeft w:val="0"/>
          <w:marRight w:val="0"/>
          <w:marTop w:val="0"/>
          <w:marBottom w:val="0"/>
          <w:divBdr>
            <w:top w:val="none" w:sz="0" w:space="0" w:color="auto"/>
            <w:left w:val="none" w:sz="0" w:space="0" w:color="auto"/>
            <w:bottom w:val="none" w:sz="0" w:space="0" w:color="auto"/>
            <w:right w:val="none" w:sz="0" w:space="0" w:color="auto"/>
          </w:divBdr>
        </w:div>
        <w:div w:id="361514969">
          <w:marLeft w:val="0"/>
          <w:marRight w:val="0"/>
          <w:marTop w:val="0"/>
          <w:marBottom w:val="0"/>
          <w:divBdr>
            <w:top w:val="none" w:sz="0" w:space="0" w:color="auto"/>
            <w:left w:val="none" w:sz="0" w:space="0" w:color="auto"/>
            <w:bottom w:val="none" w:sz="0" w:space="0" w:color="auto"/>
            <w:right w:val="none" w:sz="0" w:space="0" w:color="auto"/>
          </w:divBdr>
        </w:div>
        <w:div w:id="1916165277">
          <w:marLeft w:val="0"/>
          <w:marRight w:val="0"/>
          <w:marTop w:val="0"/>
          <w:marBottom w:val="0"/>
          <w:divBdr>
            <w:top w:val="none" w:sz="0" w:space="0" w:color="auto"/>
            <w:left w:val="none" w:sz="0" w:space="0" w:color="auto"/>
            <w:bottom w:val="none" w:sz="0" w:space="0" w:color="auto"/>
            <w:right w:val="none" w:sz="0" w:space="0" w:color="auto"/>
          </w:divBdr>
        </w:div>
        <w:div w:id="280765397">
          <w:marLeft w:val="0"/>
          <w:marRight w:val="0"/>
          <w:marTop w:val="0"/>
          <w:marBottom w:val="0"/>
          <w:divBdr>
            <w:top w:val="none" w:sz="0" w:space="0" w:color="auto"/>
            <w:left w:val="none" w:sz="0" w:space="0" w:color="auto"/>
            <w:bottom w:val="none" w:sz="0" w:space="0" w:color="auto"/>
            <w:right w:val="none" w:sz="0" w:space="0" w:color="auto"/>
          </w:divBdr>
        </w:div>
        <w:div w:id="597101227">
          <w:marLeft w:val="0"/>
          <w:marRight w:val="0"/>
          <w:marTop w:val="0"/>
          <w:marBottom w:val="0"/>
          <w:divBdr>
            <w:top w:val="none" w:sz="0" w:space="0" w:color="auto"/>
            <w:left w:val="none" w:sz="0" w:space="0" w:color="auto"/>
            <w:bottom w:val="none" w:sz="0" w:space="0" w:color="auto"/>
            <w:right w:val="none" w:sz="0" w:space="0" w:color="auto"/>
          </w:divBdr>
        </w:div>
        <w:div w:id="1082331560">
          <w:marLeft w:val="0"/>
          <w:marRight w:val="0"/>
          <w:marTop w:val="0"/>
          <w:marBottom w:val="0"/>
          <w:divBdr>
            <w:top w:val="none" w:sz="0" w:space="0" w:color="auto"/>
            <w:left w:val="none" w:sz="0" w:space="0" w:color="auto"/>
            <w:bottom w:val="none" w:sz="0" w:space="0" w:color="auto"/>
            <w:right w:val="none" w:sz="0" w:space="0" w:color="auto"/>
          </w:divBdr>
        </w:div>
        <w:div w:id="1510564784">
          <w:marLeft w:val="0"/>
          <w:marRight w:val="0"/>
          <w:marTop w:val="0"/>
          <w:marBottom w:val="0"/>
          <w:divBdr>
            <w:top w:val="none" w:sz="0" w:space="0" w:color="auto"/>
            <w:left w:val="none" w:sz="0" w:space="0" w:color="auto"/>
            <w:bottom w:val="none" w:sz="0" w:space="0" w:color="auto"/>
            <w:right w:val="none" w:sz="0" w:space="0" w:color="auto"/>
          </w:divBdr>
        </w:div>
        <w:div w:id="18094772">
          <w:marLeft w:val="0"/>
          <w:marRight w:val="0"/>
          <w:marTop w:val="0"/>
          <w:marBottom w:val="0"/>
          <w:divBdr>
            <w:top w:val="none" w:sz="0" w:space="0" w:color="auto"/>
            <w:left w:val="none" w:sz="0" w:space="0" w:color="auto"/>
            <w:bottom w:val="none" w:sz="0" w:space="0" w:color="auto"/>
            <w:right w:val="none" w:sz="0" w:space="0" w:color="auto"/>
          </w:divBdr>
        </w:div>
        <w:div w:id="108597057">
          <w:marLeft w:val="0"/>
          <w:marRight w:val="0"/>
          <w:marTop w:val="0"/>
          <w:marBottom w:val="0"/>
          <w:divBdr>
            <w:top w:val="none" w:sz="0" w:space="0" w:color="auto"/>
            <w:left w:val="none" w:sz="0" w:space="0" w:color="auto"/>
            <w:bottom w:val="none" w:sz="0" w:space="0" w:color="auto"/>
            <w:right w:val="none" w:sz="0" w:space="0" w:color="auto"/>
          </w:divBdr>
        </w:div>
        <w:div w:id="927737837">
          <w:marLeft w:val="0"/>
          <w:marRight w:val="0"/>
          <w:marTop w:val="0"/>
          <w:marBottom w:val="0"/>
          <w:divBdr>
            <w:top w:val="none" w:sz="0" w:space="0" w:color="auto"/>
            <w:left w:val="none" w:sz="0" w:space="0" w:color="auto"/>
            <w:bottom w:val="none" w:sz="0" w:space="0" w:color="auto"/>
            <w:right w:val="none" w:sz="0" w:space="0" w:color="auto"/>
          </w:divBdr>
        </w:div>
        <w:div w:id="1201094541">
          <w:marLeft w:val="0"/>
          <w:marRight w:val="0"/>
          <w:marTop w:val="0"/>
          <w:marBottom w:val="0"/>
          <w:divBdr>
            <w:top w:val="none" w:sz="0" w:space="0" w:color="auto"/>
            <w:left w:val="none" w:sz="0" w:space="0" w:color="auto"/>
            <w:bottom w:val="none" w:sz="0" w:space="0" w:color="auto"/>
            <w:right w:val="none" w:sz="0" w:space="0" w:color="auto"/>
          </w:divBdr>
        </w:div>
        <w:div w:id="824709812">
          <w:marLeft w:val="0"/>
          <w:marRight w:val="0"/>
          <w:marTop w:val="0"/>
          <w:marBottom w:val="0"/>
          <w:divBdr>
            <w:top w:val="none" w:sz="0" w:space="0" w:color="auto"/>
            <w:left w:val="none" w:sz="0" w:space="0" w:color="auto"/>
            <w:bottom w:val="none" w:sz="0" w:space="0" w:color="auto"/>
            <w:right w:val="none" w:sz="0" w:space="0" w:color="auto"/>
          </w:divBdr>
        </w:div>
        <w:div w:id="283080424">
          <w:marLeft w:val="0"/>
          <w:marRight w:val="0"/>
          <w:marTop w:val="0"/>
          <w:marBottom w:val="0"/>
          <w:divBdr>
            <w:top w:val="none" w:sz="0" w:space="0" w:color="auto"/>
            <w:left w:val="none" w:sz="0" w:space="0" w:color="auto"/>
            <w:bottom w:val="none" w:sz="0" w:space="0" w:color="auto"/>
            <w:right w:val="none" w:sz="0" w:space="0" w:color="auto"/>
          </w:divBdr>
        </w:div>
        <w:div w:id="1426608290">
          <w:marLeft w:val="0"/>
          <w:marRight w:val="0"/>
          <w:marTop w:val="0"/>
          <w:marBottom w:val="0"/>
          <w:divBdr>
            <w:top w:val="none" w:sz="0" w:space="0" w:color="auto"/>
            <w:left w:val="none" w:sz="0" w:space="0" w:color="auto"/>
            <w:bottom w:val="none" w:sz="0" w:space="0" w:color="auto"/>
            <w:right w:val="none" w:sz="0" w:space="0" w:color="auto"/>
          </w:divBdr>
        </w:div>
        <w:div w:id="155849702">
          <w:marLeft w:val="0"/>
          <w:marRight w:val="0"/>
          <w:marTop w:val="0"/>
          <w:marBottom w:val="0"/>
          <w:divBdr>
            <w:top w:val="none" w:sz="0" w:space="0" w:color="auto"/>
            <w:left w:val="none" w:sz="0" w:space="0" w:color="auto"/>
            <w:bottom w:val="none" w:sz="0" w:space="0" w:color="auto"/>
            <w:right w:val="none" w:sz="0" w:space="0" w:color="auto"/>
          </w:divBdr>
        </w:div>
        <w:div w:id="1654525504">
          <w:marLeft w:val="0"/>
          <w:marRight w:val="0"/>
          <w:marTop w:val="0"/>
          <w:marBottom w:val="0"/>
          <w:divBdr>
            <w:top w:val="none" w:sz="0" w:space="0" w:color="auto"/>
            <w:left w:val="none" w:sz="0" w:space="0" w:color="auto"/>
            <w:bottom w:val="none" w:sz="0" w:space="0" w:color="auto"/>
            <w:right w:val="none" w:sz="0" w:space="0" w:color="auto"/>
          </w:divBdr>
        </w:div>
        <w:div w:id="890969399">
          <w:marLeft w:val="0"/>
          <w:marRight w:val="0"/>
          <w:marTop w:val="0"/>
          <w:marBottom w:val="0"/>
          <w:divBdr>
            <w:top w:val="none" w:sz="0" w:space="0" w:color="auto"/>
            <w:left w:val="none" w:sz="0" w:space="0" w:color="auto"/>
            <w:bottom w:val="none" w:sz="0" w:space="0" w:color="auto"/>
            <w:right w:val="none" w:sz="0" w:space="0" w:color="auto"/>
          </w:divBdr>
        </w:div>
        <w:div w:id="1566338763">
          <w:marLeft w:val="0"/>
          <w:marRight w:val="0"/>
          <w:marTop w:val="0"/>
          <w:marBottom w:val="0"/>
          <w:divBdr>
            <w:top w:val="none" w:sz="0" w:space="0" w:color="auto"/>
            <w:left w:val="none" w:sz="0" w:space="0" w:color="auto"/>
            <w:bottom w:val="none" w:sz="0" w:space="0" w:color="auto"/>
            <w:right w:val="none" w:sz="0" w:space="0" w:color="auto"/>
          </w:divBdr>
        </w:div>
        <w:div w:id="486408293">
          <w:marLeft w:val="0"/>
          <w:marRight w:val="0"/>
          <w:marTop w:val="0"/>
          <w:marBottom w:val="0"/>
          <w:divBdr>
            <w:top w:val="none" w:sz="0" w:space="0" w:color="auto"/>
            <w:left w:val="none" w:sz="0" w:space="0" w:color="auto"/>
            <w:bottom w:val="none" w:sz="0" w:space="0" w:color="auto"/>
            <w:right w:val="none" w:sz="0" w:space="0" w:color="auto"/>
          </w:divBdr>
        </w:div>
        <w:div w:id="866790689">
          <w:marLeft w:val="0"/>
          <w:marRight w:val="0"/>
          <w:marTop w:val="0"/>
          <w:marBottom w:val="0"/>
          <w:divBdr>
            <w:top w:val="none" w:sz="0" w:space="0" w:color="auto"/>
            <w:left w:val="none" w:sz="0" w:space="0" w:color="auto"/>
            <w:bottom w:val="none" w:sz="0" w:space="0" w:color="auto"/>
            <w:right w:val="none" w:sz="0" w:space="0" w:color="auto"/>
          </w:divBdr>
        </w:div>
        <w:div w:id="1728986678">
          <w:marLeft w:val="0"/>
          <w:marRight w:val="0"/>
          <w:marTop w:val="0"/>
          <w:marBottom w:val="0"/>
          <w:divBdr>
            <w:top w:val="none" w:sz="0" w:space="0" w:color="auto"/>
            <w:left w:val="none" w:sz="0" w:space="0" w:color="auto"/>
            <w:bottom w:val="none" w:sz="0" w:space="0" w:color="auto"/>
            <w:right w:val="none" w:sz="0" w:space="0" w:color="auto"/>
          </w:divBdr>
        </w:div>
        <w:div w:id="1163737233">
          <w:marLeft w:val="0"/>
          <w:marRight w:val="0"/>
          <w:marTop w:val="0"/>
          <w:marBottom w:val="0"/>
          <w:divBdr>
            <w:top w:val="none" w:sz="0" w:space="0" w:color="auto"/>
            <w:left w:val="none" w:sz="0" w:space="0" w:color="auto"/>
            <w:bottom w:val="none" w:sz="0" w:space="0" w:color="auto"/>
            <w:right w:val="none" w:sz="0" w:space="0" w:color="auto"/>
          </w:divBdr>
        </w:div>
        <w:div w:id="419985897">
          <w:marLeft w:val="0"/>
          <w:marRight w:val="0"/>
          <w:marTop w:val="0"/>
          <w:marBottom w:val="0"/>
          <w:divBdr>
            <w:top w:val="none" w:sz="0" w:space="0" w:color="auto"/>
            <w:left w:val="none" w:sz="0" w:space="0" w:color="auto"/>
            <w:bottom w:val="none" w:sz="0" w:space="0" w:color="auto"/>
            <w:right w:val="none" w:sz="0" w:space="0" w:color="auto"/>
          </w:divBdr>
        </w:div>
        <w:div w:id="9012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2/2677/regulation/6/made" TargetMode="External"/><Relationship Id="rId18" Type="http://schemas.openxmlformats.org/officeDocument/2006/relationships/hyperlink" Target="https://www.gov.uk/government/publications/first-aid-in-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health-and-safety-advice-for-schools/responsibilities-and-duties-for-schools" TargetMode="External"/><Relationship Id="rId7" Type="http://schemas.openxmlformats.org/officeDocument/2006/relationships/webSettings" Target="webSettings.xml"/><Relationship Id="rId12" Type="http://schemas.openxmlformats.org/officeDocument/2006/relationships/hyperlink" Target="http://www.legislation.gov.uk/uksi/2012/632/regulation/4/made" TargetMode="External"/><Relationship Id="rId17" Type="http://schemas.openxmlformats.org/officeDocument/2006/relationships/hyperlink" Target="http://www.legislation.gov.uk/uksi/2005/735/regulation/6/ma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si/1992/2793/regulation/4/made" TargetMode="External"/><Relationship Id="rId20" Type="http://schemas.openxmlformats.org/officeDocument/2006/relationships/hyperlink" Target="http://www.hse.gov.uk/entertainment/leisure/swimming-poo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1999/3242/contents/ma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05/1541/article/9/made" TargetMode="External"/><Relationship Id="rId23" Type="http://schemas.openxmlformats.org/officeDocument/2006/relationships/header" Target="header2.xml"/><Relationship Id="rId10" Type="http://schemas.openxmlformats.org/officeDocument/2006/relationships/hyperlink" Target="http://www.legislation.gov.uk/uksi/2014/3283/schedule/part/3/made" TargetMode="External"/><Relationship Id="rId19" Type="http://schemas.openxmlformats.org/officeDocument/2006/relationships/hyperlink" Target="https://www.gov.uk/government/publications/prevent-duty-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2/2792/regulation/2/mad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3.xml><?xml version="1.0" encoding="utf-8"?>
<ds:datastoreItem xmlns:ds="http://schemas.openxmlformats.org/officeDocument/2006/customXml" ds:itemID="{02D02195-DA59-41AE-8AE2-1153439D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3</cp:revision>
  <dcterms:created xsi:type="dcterms:W3CDTF">2025-05-21T06:41:00Z</dcterms:created>
  <dcterms:modified xsi:type="dcterms:W3CDTF">2025-06-17T12:33:00Z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