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541D2" w14:textId="77777777" w:rsidR="00BA5002" w:rsidRDefault="00000000">
      <w:pPr>
        <w:spacing w:after="560"/>
        <w:jc w:val="center"/>
      </w:pPr>
      <w:r>
        <w:rPr>
          <w:b/>
          <w:color w:val="2B70E4"/>
          <w:sz w:val="20"/>
        </w:rPr>
        <w:t>CLIENT EDUCATION GUIDE</w:t>
      </w:r>
    </w:p>
    <w:p w14:paraId="7E2ABB0D" w14:textId="77777777" w:rsidR="00BA5002" w:rsidRDefault="00000000">
      <w:pPr>
        <w:spacing w:after="200"/>
        <w:jc w:val="center"/>
      </w:pPr>
      <w:r>
        <w:rPr>
          <w:b/>
          <w:color w:val="06327D"/>
          <w:sz w:val="56"/>
        </w:rPr>
        <w:t>2026 Small Business</w:t>
      </w:r>
      <w:r>
        <w:rPr>
          <w:b/>
          <w:color w:val="06327D"/>
          <w:sz w:val="56"/>
        </w:rPr>
        <w:br/>
        <w:t>Retirement Plan Guide</w:t>
      </w:r>
    </w:p>
    <w:p w14:paraId="4856D08B" w14:textId="77777777" w:rsidR="00BA5002" w:rsidRDefault="00000000">
      <w:pPr>
        <w:spacing w:after="680"/>
        <w:jc w:val="center"/>
      </w:pPr>
      <w:r>
        <w:rPr>
          <w:color w:val="5B6573"/>
          <w:sz w:val="28"/>
        </w:rPr>
        <w:t>A practical comparison of SIMPLE IRA, SEP IRA,</w:t>
      </w:r>
      <w:r>
        <w:rPr>
          <w:color w:val="5B6573"/>
          <w:sz w:val="28"/>
        </w:rPr>
        <w:br/>
        <w:t>Safe Harbor 401(k), and Solo 401(k) plans</w:t>
      </w:r>
    </w:p>
    <w:p w14:paraId="458B30D9" w14:textId="77777777" w:rsidR="00BA5002" w:rsidRDefault="00000000">
      <w:pPr>
        <w:jc w:val="center"/>
      </w:pPr>
      <w:r>
        <w:rPr>
          <w:b/>
        </w:rPr>
        <w:t>For small-business owners, with special planning notes for S corporations</w:t>
      </w:r>
    </w:p>
    <w:p w14:paraId="07DDD232" w14:textId="77777777" w:rsidR="00BA5002" w:rsidRDefault="00000000">
      <w:pPr>
        <w:spacing w:after="840"/>
        <w:jc w:val="center"/>
      </w:pPr>
      <w:r>
        <w:rPr>
          <w:color w:val="5B6573"/>
          <w:sz w:val="20"/>
        </w:rPr>
        <w:t>2026 limits and rules | Updated August 7, 2026</w:t>
      </w:r>
    </w:p>
    <w:tbl>
      <w:tblPr>
        <w:tblStyle w:val="TableGrid"/>
        <w:tblW w:w="9360" w:type="dxa"/>
        <w:tblInd w:w="120" w:type="dxa"/>
        <w:tblLayout w:type="fixed"/>
        <w:tblLook w:val="04A0" w:firstRow="1" w:lastRow="0" w:firstColumn="1" w:lastColumn="0" w:noHBand="0" w:noVBand="1"/>
      </w:tblPr>
      <w:tblGrid>
        <w:gridCol w:w="9360"/>
      </w:tblGrid>
      <w:tr w:rsidR="00BA5002" w14:paraId="49BF5E7D" w14:textId="77777777">
        <w:tc>
          <w:tcPr>
            <w:tcW w:w="9360" w:type="dxa"/>
            <w:shd w:val="clear" w:color="auto" w:fill="EEF5FF"/>
            <w:tcMar>
              <w:top w:w="80" w:type="dxa"/>
              <w:left w:w="120" w:type="dxa"/>
              <w:bottom w:w="80" w:type="dxa"/>
              <w:right w:w="120" w:type="dxa"/>
            </w:tcMar>
            <w:vAlign w:val="center"/>
          </w:tcPr>
          <w:p w14:paraId="63D58813" w14:textId="77777777" w:rsidR="00BA5002" w:rsidRDefault="00000000">
            <w:pPr>
              <w:spacing w:after="60"/>
            </w:pPr>
            <w:r>
              <w:rPr>
                <w:b/>
                <w:color w:val="06327D"/>
              </w:rPr>
              <w:t>The goal</w:t>
            </w:r>
          </w:p>
          <w:p w14:paraId="11D23EC9" w14:textId="77777777" w:rsidR="00BA5002" w:rsidRDefault="00000000">
            <w:pPr>
              <w:spacing w:after="0" w:line="283" w:lineRule="auto"/>
            </w:pPr>
            <w:r>
              <w:rPr>
                <w:sz w:val="20"/>
              </w:rPr>
              <w:t>Choose a retirement plan that fits the owner's savings goal, employee structure, cash flow, tax strategy, and tolerance for administration - not simply the plan with the largest contribution limit.</w:t>
            </w:r>
          </w:p>
        </w:tc>
      </w:tr>
    </w:tbl>
    <w:p w14:paraId="4D98C776" w14:textId="77777777" w:rsidR="00BA5002" w:rsidRDefault="00BA5002">
      <w:pPr>
        <w:spacing w:after="20"/>
      </w:pPr>
    </w:p>
    <w:p w14:paraId="7928E2D7" w14:textId="77777777" w:rsidR="00BA5002" w:rsidRDefault="00000000">
      <w:pPr>
        <w:spacing w:after="0"/>
      </w:pPr>
      <w:r>
        <w:rPr>
          <w:i/>
          <w:color w:val="5B6573"/>
          <w:sz w:val="17"/>
        </w:rPr>
        <w:t>Important: This guide is for general educational purposes. Retirement-plan rules are highly fact-specific, and plan documents and provider capabilities can differ. Consult your CPA/tax adviser, retirement-plan administrator/TPA, and financial adviser before establishing, changing, or funding a plan.</w:t>
      </w:r>
    </w:p>
    <w:p w14:paraId="30933E4E" w14:textId="77777777" w:rsidR="00BA5002" w:rsidRDefault="00000000">
      <w:r>
        <w:br w:type="page"/>
      </w:r>
    </w:p>
    <w:p w14:paraId="1BC9F4E7" w14:textId="77777777" w:rsidR="00BA5002" w:rsidRDefault="00000000">
      <w:pPr>
        <w:pStyle w:val="Heading1"/>
      </w:pPr>
      <w:r>
        <w:lastRenderedPageBreak/>
        <w:t>Start With the Decision, Not the Acronym</w:t>
      </w:r>
    </w:p>
    <w:p w14:paraId="2DC50F18" w14:textId="77777777" w:rsidR="00BA5002" w:rsidRDefault="00000000">
      <w:r>
        <w:t>For many closely held businesses, these four plan types cover the most common planning conversations. The right answer depends on how the owner balances personal savings, employee cost, administration, and flexibility.</w:t>
      </w:r>
    </w:p>
    <w:tbl>
      <w:tblPr>
        <w:tblStyle w:val="TableGrid"/>
        <w:tblW w:w="9360" w:type="dxa"/>
        <w:tblInd w:w="120" w:type="dxa"/>
        <w:tblLayout w:type="fixed"/>
        <w:tblLook w:val="04A0" w:firstRow="1" w:lastRow="0" w:firstColumn="1" w:lastColumn="0" w:noHBand="0" w:noVBand="1"/>
      </w:tblPr>
      <w:tblGrid>
        <w:gridCol w:w="1500"/>
        <w:gridCol w:w="4860"/>
        <w:gridCol w:w="3000"/>
      </w:tblGrid>
      <w:tr w:rsidR="00BA5002" w14:paraId="757CD8CB" w14:textId="77777777">
        <w:trPr>
          <w:tblHeader/>
        </w:trPr>
        <w:tc>
          <w:tcPr>
            <w:tcW w:w="1500" w:type="dxa"/>
            <w:shd w:val="clear" w:color="auto" w:fill="06327D"/>
            <w:tcMar>
              <w:top w:w="80" w:type="dxa"/>
              <w:left w:w="120" w:type="dxa"/>
              <w:bottom w:w="80" w:type="dxa"/>
              <w:right w:w="120" w:type="dxa"/>
            </w:tcMar>
            <w:vAlign w:val="center"/>
          </w:tcPr>
          <w:p w14:paraId="7BE0E900" w14:textId="77777777" w:rsidR="00BA5002" w:rsidRDefault="00000000">
            <w:pPr>
              <w:spacing w:after="0" w:line="252" w:lineRule="auto"/>
              <w:jc w:val="center"/>
            </w:pPr>
            <w:r>
              <w:rPr>
                <w:b/>
                <w:color w:val="FFFFFF"/>
                <w:sz w:val="18"/>
              </w:rPr>
              <w:t>Plan</w:t>
            </w:r>
          </w:p>
        </w:tc>
        <w:tc>
          <w:tcPr>
            <w:tcW w:w="4860" w:type="dxa"/>
            <w:shd w:val="clear" w:color="auto" w:fill="06327D"/>
            <w:tcMar>
              <w:top w:w="80" w:type="dxa"/>
              <w:left w:w="120" w:type="dxa"/>
              <w:bottom w:w="80" w:type="dxa"/>
              <w:right w:w="120" w:type="dxa"/>
            </w:tcMar>
            <w:vAlign w:val="center"/>
          </w:tcPr>
          <w:p w14:paraId="7E57AAAB" w14:textId="77777777" w:rsidR="00BA5002" w:rsidRDefault="00000000">
            <w:pPr>
              <w:spacing w:after="0" w:line="252" w:lineRule="auto"/>
              <w:jc w:val="center"/>
            </w:pPr>
            <w:r>
              <w:rPr>
                <w:b/>
                <w:color w:val="FFFFFF"/>
                <w:sz w:val="18"/>
              </w:rPr>
              <w:t>Usually a strong fit when...</w:t>
            </w:r>
          </w:p>
        </w:tc>
        <w:tc>
          <w:tcPr>
            <w:tcW w:w="3000" w:type="dxa"/>
            <w:shd w:val="clear" w:color="auto" w:fill="06327D"/>
            <w:tcMar>
              <w:top w:w="80" w:type="dxa"/>
              <w:left w:w="120" w:type="dxa"/>
              <w:bottom w:w="80" w:type="dxa"/>
              <w:right w:w="120" w:type="dxa"/>
            </w:tcMar>
            <w:vAlign w:val="center"/>
          </w:tcPr>
          <w:p w14:paraId="043B6420" w14:textId="77777777" w:rsidR="00BA5002" w:rsidRDefault="00000000">
            <w:pPr>
              <w:spacing w:after="0" w:line="252" w:lineRule="auto"/>
              <w:jc w:val="center"/>
            </w:pPr>
            <w:r>
              <w:rPr>
                <w:b/>
                <w:color w:val="FFFFFF"/>
                <w:sz w:val="18"/>
              </w:rPr>
              <w:t>Primary trade-off</w:t>
            </w:r>
          </w:p>
        </w:tc>
      </w:tr>
      <w:tr w:rsidR="00BA5002" w14:paraId="78B8E0E5" w14:textId="77777777">
        <w:tc>
          <w:tcPr>
            <w:tcW w:w="1500" w:type="dxa"/>
            <w:tcMar>
              <w:top w:w="80" w:type="dxa"/>
              <w:left w:w="120" w:type="dxa"/>
              <w:bottom w:w="80" w:type="dxa"/>
              <w:right w:w="120" w:type="dxa"/>
            </w:tcMar>
            <w:vAlign w:val="center"/>
          </w:tcPr>
          <w:p w14:paraId="5195D44A" w14:textId="77777777" w:rsidR="00BA5002" w:rsidRDefault="00000000">
            <w:pPr>
              <w:spacing w:after="0" w:line="259" w:lineRule="auto"/>
            </w:pPr>
            <w:r>
              <w:rPr>
                <w:sz w:val="18"/>
              </w:rPr>
              <w:t>SIMPLE IRA</w:t>
            </w:r>
          </w:p>
        </w:tc>
        <w:tc>
          <w:tcPr>
            <w:tcW w:w="4860" w:type="dxa"/>
            <w:tcMar>
              <w:top w:w="80" w:type="dxa"/>
              <w:left w:w="120" w:type="dxa"/>
              <w:bottom w:w="80" w:type="dxa"/>
              <w:right w:w="120" w:type="dxa"/>
            </w:tcMar>
            <w:vAlign w:val="center"/>
          </w:tcPr>
          <w:p w14:paraId="7BFDEE20" w14:textId="77777777" w:rsidR="00BA5002" w:rsidRDefault="00000000">
            <w:pPr>
              <w:spacing w:after="0" w:line="259" w:lineRule="auto"/>
            </w:pPr>
            <w:r>
              <w:rPr>
                <w:sz w:val="18"/>
              </w:rPr>
              <w:t>Employees should be able to defer, but the owner wants low administration.</w:t>
            </w:r>
          </w:p>
        </w:tc>
        <w:tc>
          <w:tcPr>
            <w:tcW w:w="3000" w:type="dxa"/>
            <w:tcMar>
              <w:top w:w="80" w:type="dxa"/>
              <w:left w:w="120" w:type="dxa"/>
              <w:bottom w:w="80" w:type="dxa"/>
              <w:right w:w="120" w:type="dxa"/>
            </w:tcMar>
            <w:vAlign w:val="center"/>
          </w:tcPr>
          <w:p w14:paraId="57A53A42" w14:textId="77777777" w:rsidR="00BA5002" w:rsidRDefault="00000000">
            <w:pPr>
              <w:spacing w:after="0" w:line="259" w:lineRule="auto"/>
            </w:pPr>
            <w:r>
              <w:rPr>
                <w:sz w:val="18"/>
              </w:rPr>
              <w:t>Lower contribution ceiling and a required employer contribution.</w:t>
            </w:r>
          </w:p>
        </w:tc>
      </w:tr>
      <w:tr w:rsidR="00BA5002" w14:paraId="493FB33D" w14:textId="77777777">
        <w:tc>
          <w:tcPr>
            <w:tcW w:w="1500" w:type="dxa"/>
            <w:shd w:val="clear" w:color="auto" w:fill="F7F9FC"/>
            <w:tcMar>
              <w:top w:w="80" w:type="dxa"/>
              <w:left w:w="120" w:type="dxa"/>
              <w:bottom w:w="80" w:type="dxa"/>
              <w:right w:w="120" w:type="dxa"/>
            </w:tcMar>
            <w:vAlign w:val="center"/>
          </w:tcPr>
          <w:p w14:paraId="6798B91C" w14:textId="77777777" w:rsidR="00BA5002" w:rsidRDefault="00000000">
            <w:pPr>
              <w:spacing w:after="0" w:line="259" w:lineRule="auto"/>
            </w:pPr>
            <w:r>
              <w:rPr>
                <w:sz w:val="18"/>
              </w:rPr>
              <w:t>SEP IRA</w:t>
            </w:r>
          </w:p>
        </w:tc>
        <w:tc>
          <w:tcPr>
            <w:tcW w:w="4860" w:type="dxa"/>
            <w:shd w:val="clear" w:color="auto" w:fill="F7F9FC"/>
            <w:tcMar>
              <w:top w:w="80" w:type="dxa"/>
              <w:left w:w="120" w:type="dxa"/>
              <w:bottom w:w="80" w:type="dxa"/>
              <w:right w:w="120" w:type="dxa"/>
            </w:tcMar>
            <w:vAlign w:val="center"/>
          </w:tcPr>
          <w:p w14:paraId="69025431" w14:textId="77777777" w:rsidR="00BA5002" w:rsidRDefault="00000000">
            <w:pPr>
              <w:spacing w:after="0" w:line="259" w:lineRule="auto"/>
            </w:pPr>
            <w:r>
              <w:rPr>
                <w:sz w:val="18"/>
              </w:rPr>
              <w:t>The business wants flexible employer-only funding and has few or no employees.</w:t>
            </w:r>
          </w:p>
        </w:tc>
        <w:tc>
          <w:tcPr>
            <w:tcW w:w="3000" w:type="dxa"/>
            <w:shd w:val="clear" w:color="auto" w:fill="F7F9FC"/>
            <w:tcMar>
              <w:top w:w="80" w:type="dxa"/>
              <w:left w:w="120" w:type="dxa"/>
              <w:bottom w:w="80" w:type="dxa"/>
              <w:right w:w="120" w:type="dxa"/>
            </w:tcMar>
            <w:vAlign w:val="center"/>
          </w:tcPr>
          <w:p w14:paraId="1964C0A8" w14:textId="77777777" w:rsidR="00BA5002" w:rsidRDefault="00000000">
            <w:pPr>
              <w:spacing w:after="0" w:line="259" w:lineRule="auto"/>
            </w:pPr>
            <w:r>
              <w:rPr>
                <w:sz w:val="18"/>
              </w:rPr>
              <w:t>Employees cannot make elective salary deferrals under the SEP arrangement; uniform-percentage funding can be costly.</w:t>
            </w:r>
          </w:p>
        </w:tc>
      </w:tr>
      <w:tr w:rsidR="00BA5002" w14:paraId="012CF915" w14:textId="77777777">
        <w:tc>
          <w:tcPr>
            <w:tcW w:w="1500" w:type="dxa"/>
            <w:tcMar>
              <w:top w:w="80" w:type="dxa"/>
              <w:left w:w="120" w:type="dxa"/>
              <w:bottom w:w="80" w:type="dxa"/>
              <w:right w:w="120" w:type="dxa"/>
            </w:tcMar>
            <w:vAlign w:val="center"/>
          </w:tcPr>
          <w:p w14:paraId="2BCC0C92" w14:textId="77777777" w:rsidR="00BA5002" w:rsidRDefault="00000000">
            <w:pPr>
              <w:spacing w:after="0" w:line="259" w:lineRule="auto"/>
            </w:pPr>
            <w:r>
              <w:rPr>
                <w:sz w:val="18"/>
              </w:rPr>
              <w:t>Safe Harbor 401(k)</w:t>
            </w:r>
          </w:p>
        </w:tc>
        <w:tc>
          <w:tcPr>
            <w:tcW w:w="4860" w:type="dxa"/>
            <w:tcMar>
              <w:top w:w="80" w:type="dxa"/>
              <w:left w:w="120" w:type="dxa"/>
              <w:bottom w:w="80" w:type="dxa"/>
              <w:right w:w="120" w:type="dxa"/>
            </w:tcMar>
            <w:vAlign w:val="center"/>
          </w:tcPr>
          <w:p w14:paraId="4E0AF59C" w14:textId="77777777" w:rsidR="00BA5002" w:rsidRDefault="00000000">
            <w:pPr>
              <w:spacing w:after="0" w:line="259" w:lineRule="auto"/>
            </w:pPr>
            <w:r>
              <w:rPr>
                <w:sz w:val="18"/>
              </w:rPr>
              <w:t>A profitable business wants higher owner savings plus an employee retirement benefit.</w:t>
            </w:r>
          </w:p>
        </w:tc>
        <w:tc>
          <w:tcPr>
            <w:tcW w:w="3000" w:type="dxa"/>
            <w:tcMar>
              <w:top w:w="80" w:type="dxa"/>
              <w:left w:w="120" w:type="dxa"/>
              <w:bottom w:w="80" w:type="dxa"/>
              <w:right w:w="120" w:type="dxa"/>
            </w:tcMar>
            <w:vAlign w:val="center"/>
          </w:tcPr>
          <w:p w14:paraId="157D40D5" w14:textId="77777777" w:rsidR="00BA5002" w:rsidRDefault="00000000">
            <w:pPr>
              <w:spacing w:after="0" w:line="259" w:lineRule="auto"/>
            </w:pPr>
            <w:r>
              <w:rPr>
                <w:sz w:val="18"/>
              </w:rPr>
              <w:t>More administration and required Safe Harbor employer funding.</w:t>
            </w:r>
          </w:p>
        </w:tc>
      </w:tr>
      <w:tr w:rsidR="00BA5002" w14:paraId="06200BCB" w14:textId="77777777">
        <w:tc>
          <w:tcPr>
            <w:tcW w:w="1500" w:type="dxa"/>
            <w:shd w:val="clear" w:color="auto" w:fill="F7F9FC"/>
            <w:tcMar>
              <w:top w:w="80" w:type="dxa"/>
              <w:left w:w="120" w:type="dxa"/>
              <w:bottom w:w="80" w:type="dxa"/>
              <w:right w:w="120" w:type="dxa"/>
            </w:tcMar>
            <w:vAlign w:val="center"/>
          </w:tcPr>
          <w:p w14:paraId="355C5BF8" w14:textId="77777777" w:rsidR="00BA5002" w:rsidRDefault="00000000">
            <w:pPr>
              <w:spacing w:after="0" w:line="259" w:lineRule="auto"/>
            </w:pPr>
            <w:r>
              <w:rPr>
                <w:sz w:val="18"/>
              </w:rPr>
              <w:t>Solo 401(k)</w:t>
            </w:r>
          </w:p>
        </w:tc>
        <w:tc>
          <w:tcPr>
            <w:tcW w:w="4860" w:type="dxa"/>
            <w:shd w:val="clear" w:color="auto" w:fill="F7F9FC"/>
            <w:tcMar>
              <w:top w:w="80" w:type="dxa"/>
              <w:left w:w="120" w:type="dxa"/>
              <w:bottom w:w="80" w:type="dxa"/>
              <w:right w:w="120" w:type="dxa"/>
            </w:tcMar>
            <w:vAlign w:val="center"/>
          </w:tcPr>
          <w:p w14:paraId="3340FB8F" w14:textId="77777777" w:rsidR="00BA5002" w:rsidRDefault="00000000">
            <w:pPr>
              <w:spacing w:after="0" w:line="259" w:lineRule="auto"/>
            </w:pPr>
            <w:r>
              <w:rPr>
                <w:sz w:val="18"/>
              </w:rPr>
              <w:t>The business covers only the owner, or the owner and spouse, and wants high contribution flexibility.</w:t>
            </w:r>
          </w:p>
        </w:tc>
        <w:tc>
          <w:tcPr>
            <w:tcW w:w="3000" w:type="dxa"/>
            <w:shd w:val="clear" w:color="auto" w:fill="F7F9FC"/>
            <w:tcMar>
              <w:top w:w="80" w:type="dxa"/>
              <w:left w:w="120" w:type="dxa"/>
              <w:bottom w:w="80" w:type="dxa"/>
              <w:right w:w="120" w:type="dxa"/>
            </w:tcMar>
            <w:vAlign w:val="center"/>
          </w:tcPr>
          <w:p w14:paraId="5EFF6058" w14:textId="77777777" w:rsidR="00BA5002" w:rsidRDefault="00000000">
            <w:pPr>
              <w:spacing w:after="0" w:line="259" w:lineRule="auto"/>
            </w:pPr>
            <w:r>
              <w:rPr>
                <w:sz w:val="18"/>
              </w:rPr>
              <w:t>Cannot remain owner-only once eligible common-law employees must be covered.</w:t>
            </w:r>
          </w:p>
        </w:tc>
      </w:tr>
    </w:tbl>
    <w:p w14:paraId="16711143" w14:textId="77777777" w:rsidR="00BA5002" w:rsidRDefault="00BA5002">
      <w:pPr>
        <w:spacing w:after="20"/>
      </w:pPr>
    </w:p>
    <w:tbl>
      <w:tblPr>
        <w:tblStyle w:val="TableGrid"/>
        <w:tblW w:w="9360" w:type="dxa"/>
        <w:tblInd w:w="120" w:type="dxa"/>
        <w:tblLayout w:type="fixed"/>
        <w:tblLook w:val="04A0" w:firstRow="1" w:lastRow="0" w:firstColumn="1" w:lastColumn="0" w:noHBand="0" w:noVBand="1"/>
      </w:tblPr>
      <w:tblGrid>
        <w:gridCol w:w="9360"/>
      </w:tblGrid>
      <w:tr w:rsidR="00BA5002" w14:paraId="006827A4" w14:textId="77777777">
        <w:tc>
          <w:tcPr>
            <w:tcW w:w="9360" w:type="dxa"/>
            <w:shd w:val="clear" w:color="auto" w:fill="EEF5FF"/>
            <w:tcMar>
              <w:top w:w="80" w:type="dxa"/>
              <w:left w:w="120" w:type="dxa"/>
              <w:bottom w:w="80" w:type="dxa"/>
              <w:right w:w="120" w:type="dxa"/>
            </w:tcMar>
            <w:vAlign w:val="center"/>
          </w:tcPr>
          <w:p w14:paraId="0AAFF8C1" w14:textId="77777777" w:rsidR="00BA5002" w:rsidRDefault="00000000">
            <w:pPr>
              <w:spacing w:after="60"/>
            </w:pPr>
            <w:r>
              <w:rPr>
                <w:b/>
                <w:color w:val="06327D"/>
              </w:rPr>
              <w:t>Traditional 401(k) is different</w:t>
            </w:r>
          </w:p>
          <w:p w14:paraId="1BE6CD8C" w14:textId="77777777" w:rsidR="00BA5002" w:rsidRDefault="00000000">
            <w:pPr>
              <w:spacing w:after="0" w:line="283" w:lineRule="auto"/>
            </w:pPr>
            <w:r>
              <w:rPr>
                <w:sz w:val="20"/>
              </w:rPr>
              <w:t>A traditional 401(k) can also be appropriate, but it is not interchangeable with a Safe Harbor 401(k). A traditional 401(k) may have no required employer contribution, but it generally is subject to ADP/ACP nondiscrimination testing that can restrict highly compensated employees. This guide focuses on Safe Harbor 401(k) designs because they are common in owner-driven small-business planning.</w:t>
            </w:r>
          </w:p>
        </w:tc>
      </w:tr>
    </w:tbl>
    <w:p w14:paraId="36C55F66" w14:textId="77777777" w:rsidR="00BA5002" w:rsidRDefault="00BA5002">
      <w:pPr>
        <w:spacing w:after="20"/>
      </w:pPr>
    </w:p>
    <w:p w14:paraId="4CE994F6" w14:textId="77777777" w:rsidR="00BA5002" w:rsidRDefault="00000000">
      <w:pPr>
        <w:pStyle w:val="Heading1"/>
      </w:pPr>
      <w:r>
        <w:t>2026 Contribution-Limit Snapshot</w:t>
      </w:r>
    </w:p>
    <w:tbl>
      <w:tblPr>
        <w:tblStyle w:val="TableGrid"/>
        <w:tblW w:w="9360" w:type="dxa"/>
        <w:tblInd w:w="120" w:type="dxa"/>
        <w:tblLayout w:type="fixed"/>
        <w:tblLook w:val="04A0" w:firstRow="1" w:lastRow="0" w:firstColumn="1" w:lastColumn="0" w:noHBand="0" w:noVBand="1"/>
      </w:tblPr>
      <w:tblGrid>
        <w:gridCol w:w="1850"/>
        <w:gridCol w:w="2750"/>
        <w:gridCol w:w="2200"/>
        <w:gridCol w:w="2560"/>
      </w:tblGrid>
      <w:tr w:rsidR="00BA5002" w14:paraId="1C7F2C01" w14:textId="77777777">
        <w:trPr>
          <w:tblHeader/>
        </w:trPr>
        <w:tc>
          <w:tcPr>
            <w:tcW w:w="1850" w:type="dxa"/>
            <w:shd w:val="clear" w:color="auto" w:fill="06327D"/>
            <w:tcMar>
              <w:top w:w="80" w:type="dxa"/>
              <w:left w:w="120" w:type="dxa"/>
              <w:bottom w:w="80" w:type="dxa"/>
              <w:right w:w="120" w:type="dxa"/>
            </w:tcMar>
            <w:vAlign w:val="center"/>
          </w:tcPr>
          <w:p w14:paraId="38047F7A" w14:textId="77777777" w:rsidR="00BA5002" w:rsidRDefault="00000000">
            <w:pPr>
              <w:spacing w:after="0" w:line="252" w:lineRule="auto"/>
              <w:jc w:val="center"/>
            </w:pPr>
            <w:r>
              <w:rPr>
                <w:b/>
                <w:color w:val="FFFFFF"/>
                <w:sz w:val="17"/>
              </w:rPr>
              <w:t>Plan</w:t>
            </w:r>
          </w:p>
        </w:tc>
        <w:tc>
          <w:tcPr>
            <w:tcW w:w="2750" w:type="dxa"/>
            <w:shd w:val="clear" w:color="auto" w:fill="06327D"/>
            <w:tcMar>
              <w:top w:w="80" w:type="dxa"/>
              <w:left w:w="120" w:type="dxa"/>
              <w:bottom w:w="80" w:type="dxa"/>
              <w:right w:w="120" w:type="dxa"/>
            </w:tcMar>
            <w:vAlign w:val="center"/>
          </w:tcPr>
          <w:p w14:paraId="1F9B4A8E" w14:textId="77777777" w:rsidR="00BA5002" w:rsidRDefault="00000000">
            <w:pPr>
              <w:spacing w:after="0" w:line="252" w:lineRule="auto"/>
              <w:jc w:val="center"/>
            </w:pPr>
            <w:r>
              <w:rPr>
                <w:b/>
                <w:color w:val="FFFFFF"/>
                <w:sz w:val="17"/>
              </w:rPr>
              <w:t>Employee elective deferral</w:t>
            </w:r>
          </w:p>
        </w:tc>
        <w:tc>
          <w:tcPr>
            <w:tcW w:w="2200" w:type="dxa"/>
            <w:shd w:val="clear" w:color="auto" w:fill="06327D"/>
            <w:tcMar>
              <w:top w:w="80" w:type="dxa"/>
              <w:left w:w="120" w:type="dxa"/>
              <w:bottom w:w="80" w:type="dxa"/>
              <w:right w:w="120" w:type="dxa"/>
            </w:tcMar>
            <w:vAlign w:val="center"/>
          </w:tcPr>
          <w:p w14:paraId="2387FE42" w14:textId="77777777" w:rsidR="00BA5002" w:rsidRDefault="00000000">
            <w:pPr>
              <w:spacing w:after="0" w:line="252" w:lineRule="auto"/>
              <w:jc w:val="center"/>
            </w:pPr>
            <w:r>
              <w:rPr>
                <w:b/>
                <w:color w:val="FFFFFF"/>
                <w:sz w:val="17"/>
              </w:rPr>
              <w:t>Age 50+ catch-up</w:t>
            </w:r>
          </w:p>
        </w:tc>
        <w:tc>
          <w:tcPr>
            <w:tcW w:w="2560" w:type="dxa"/>
            <w:shd w:val="clear" w:color="auto" w:fill="06327D"/>
            <w:tcMar>
              <w:top w:w="80" w:type="dxa"/>
              <w:left w:w="120" w:type="dxa"/>
              <w:bottom w:w="80" w:type="dxa"/>
              <w:right w:w="120" w:type="dxa"/>
            </w:tcMar>
            <w:vAlign w:val="center"/>
          </w:tcPr>
          <w:p w14:paraId="3331E732" w14:textId="77777777" w:rsidR="00BA5002" w:rsidRDefault="00000000">
            <w:pPr>
              <w:spacing w:after="0" w:line="252" w:lineRule="auto"/>
              <w:jc w:val="center"/>
            </w:pPr>
            <w:r>
              <w:rPr>
                <w:b/>
                <w:color w:val="FFFFFF"/>
                <w:sz w:val="17"/>
              </w:rPr>
              <w:t>Overall defined-contribution limit</w:t>
            </w:r>
          </w:p>
        </w:tc>
      </w:tr>
      <w:tr w:rsidR="00BA5002" w14:paraId="2D705C86" w14:textId="77777777">
        <w:tc>
          <w:tcPr>
            <w:tcW w:w="1850" w:type="dxa"/>
            <w:tcMar>
              <w:top w:w="80" w:type="dxa"/>
              <w:left w:w="120" w:type="dxa"/>
              <w:bottom w:w="80" w:type="dxa"/>
              <w:right w:w="120" w:type="dxa"/>
            </w:tcMar>
            <w:vAlign w:val="center"/>
          </w:tcPr>
          <w:p w14:paraId="55C7D6BD" w14:textId="77777777" w:rsidR="00BA5002" w:rsidRDefault="00000000">
            <w:pPr>
              <w:spacing w:after="0" w:line="259" w:lineRule="auto"/>
            </w:pPr>
            <w:r>
              <w:rPr>
                <w:sz w:val="17"/>
              </w:rPr>
              <w:t>SIMPLE IRA</w:t>
            </w:r>
          </w:p>
        </w:tc>
        <w:tc>
          <w:tcPr>
            <w:tcW w:w="2750" w:type="dxa"/>
            <w:tcMar>
              <w:top w:w="80" w:type="dxa"/>
              <w:left w:w="120" w:type="dxa"/>
              <w:bottom w:w="80" w:type="dxa"/>
              <w:right w:w="120" w:type="dxa"/>
            </w:tcMar>
            <w:vAlign w:val="center"/>
          </w:tcPr>
          <w:p w14:paraId="6E85E939" w14:textId="77777777" w:rsidR="00BA5002" w:rsidRDefault="00000000">
            <w:pPr>
              <w:spacing w:after="0" w:line="259" w:lineRule="auto"/>
            </w:pPr>
            <w:r>
              <w:rPr>
                <w:sz w:val="17"/>
              </w:rPr>
              <w:t>$17,000 generally; $18,100 for certain applicable SIMPLE plans</w:t>
            </w:r>
          </w:p>
        </w:tc>
        <w:tc>
          <w:tcPr>
            <w:tcW w:w="2200" w:type="dxa"/>
            <w:tcMar>
              <w:top w:w="80" w:type="dxa"/>
              <w:left w:w="120" w:type="dxa"/>
              <w:bottom w:w="80" w:type="dxa"/>
              <w:right w:w="120" w:type="dxa"/>
            </w:tcMar>
            <w:vAlign w:val="center"/>
          </w:tcPr>
          <w:p w14:paraId="2251245F" w14:textId="77777777" w:rsidR="00BA5002" w:rsidRDefault="00000000">
            <w:pPr>
              <w:spacing w:after="0" w:line="259" w:lineRule="auto"/>
            </w:pPr>
            <w:r>
              <w:rPr>
                <w:sz w:val="17"/>
              </w:rPr>
              <w:t>$4,000 generally; special SIMPLE rules can apply; ages 60-63: $5,250</w:t>
            </w:r>
          </w:p>
        </w:tc>
        <w:tc>
          <w:tcPr>
            <w:tcW w:w="2560" w:type="dxa"/>
            <w:tcMar>
              <w:top w:w="80" w:type="dxa"/>
              <w:left w:w="120" w:type="dxa"/>
              <w:bottom w:w="80" w:type="dxa"/>
              <w:right w:w="120" w:type="dxa"/>
            </w:tcMar>
            <w:vAlign w:val="center"/>
          </w:tcPr>
          <w:p w14:paraId="1DED234F" w14:textId="77777777" w:rsidR="00BA5002" w:rsidRDefault="00000000">
            <w:pPr>
              <w:spacing w:after="0" w:line="259" w:lineRule="auto"/>
            </w:pPr>
            <w:r>
              <w:rPr>
                <w:sz w:val="17"/>
              </w:rPr>
              <w:t>SIMPLE-specific contribution rules apply</w:t>
            </w:r>
          </w:p>
        </w:tc>
      </w:tr>
      <w:tr w:rsidR="00BA5002" w14:paraId="5188BC84" w14:textId="77777777">
        <w:tc>
          <w:tcPr>
            <w:tcW w:w="1850" w:type="dxa"/>
            <w:shd w:val="clear" w:color="auto" w:fill="F7F9FC"/>
            <w:tcMar>
              <w:top w:w="80" w:type="dxa"/>
              <w:left w:w="120" w:type="dxa"/>
              <w:bottom w:w="80" w:type="dxa"/>
              <w:right w:w="120" w:type="dxa"/>
            </w:tcMar>
            <w:vAlign w:val="center"/>
          </w:tcPr>
          <w:p w14:paraId="4A9A5DD1" w14:textId="77777777" w:rsidR="00BA5002" w:rsidRDefault="00000000">
            <w:pPr>
              <w:spacing w:after="0" w:line="259" w:lineRule="auto"/>
            </w:pPr>
            <w:r>
              <w:rPr>
                <w:sz w:val="17"/>
              </w:rPr>
              <w:t>Safe Harbor 401(k)</w:t>
            </w:r>
          </w:p>
        </w:tc>
        <w:tc>
          <w:tcPr>
            <w:tcW w:w="2750" w:type="dxa"/>
            <w:shd w:val="clear" w:color="auto" w:fill="F7F9FC"/>
            <w:tcMar>
              <w:top w:w="80" w:type="dxa"/>
              <w:left w:w="120" w:type="dxa"/>
              <w:bottom w:w="80" w:type="dxa"/>
              <w:right w:w="120" w:type="dxa"/>
            </w:tcMar>
            <w:vAlign w:val="center"/>
          </w:tcPr>
          <w:p w14:paraId="1F0DEC4D" w14:textId="77777777" w:rsidR="00BA5002" w:rsidRDefault="00000000">
            <w:pPr>
              <w:spacing w:after="0" w:line="259" w:lineRule="auto"/>
            </w:pPr>
            <w:r>
              <w:rPr>
                <w:sz w:val="17"/>
              </w:rPr>
              <w:t>$24,500</w:t>
            </w:r>
          </w:p>
        </w:tc>
        <w:tc>
          <w:tcPr>
            <w:tcW w:w="2200" w:type="dxa"/>
            <w:shd w:val="clear" w:color="auto" w:fill="F7F9FC"/>
            <w:tcMar>
              <w:top w:w="80" w:type="dxa"/>
              <w:left w:w="120" w:type="dxa"/>
              <w:bottom w:w="80" w:type="dxa"/>
              <w:right w:w="120" w:type="dxa"/>
            </w:tcMar>
            <w:vAlign w:val="center"/>
          </w:tcPr>
          <w:p w14:paraId="742F037C" w14:textId="77777777" w:rsidR="00BA5002" w:rsidRDefault="00000000">
            <w:pPr>
              <w:spacing w:after="0" w:line="259" w:lineRule="auto"/>
            </w:pPr>
            <w:r>
              <w:rPr>
                <w:sz w:val="17"/>
              </w:rPr>
              <w:t>$8,000; ages 60-63: $11,250</w:t>
            </w:r>
          </w:p>
        </w:tc>
        <w:tc>
          <w:tcPr>
            <w:tcW w:w="2560" w:type="dxa"/>
            <w:shd w:val="clear" w:color="auto" w:fill="F7F9FC"/>
            <w:tcMar>
              <w:top w:w="80" w:type="dxa"/>
              <w:left w:w="120" w:type="dxa"/>
              <w:bottom w:w="80" w:type="dxa"/>
              <w:right w:w="120" w:type="dxa"/>
            </w:tcMar>
            <w:vAlign w:val="center"/>
          </w:tcPr>
          <w:p w14:paraId="4AA5B11F" w14:textId="77777777" w:rsidR="00BA5002" w:rsidRDefault="00000000">
            <w:pPr>
              <w:spacing w:after="0" w:line="259" w:lineRule="auto"/>
            </w:pPr>
            <w:r>
              <w:rPr>
                <w:sz w:val="17"/>
              </w:rPr>
              <w:t>$72,000, excluding permitted catch-up</w:t>
            </w:r>
          </w:p>
        </w:tc>
      </w:tr>
      <w:tr w:rsidR="00BA5002" w14:paraId="4F79A489" w14:textId="77777777">
        <w:tc>
          <w:tcPr>
            <w:tcW w:w="1850" w:type="dxa"/>
            <w:tcMar>
              <w:top w:w="80" w:type="dxa"/>
              <w:left w:w="120" w:type="dxa"/>
              <w:bottom w:w="80" w:type="dxa"/>
              <w:right w:w="120" w:type="dxa"/>
            </w:tcMar>
            <w:vAlign w:val="center"/>
          </w:tcPr>
          <w:p w14:paraId="05B4EE05" w14:textId="77777777" w:rsidR="00BA5002" w:rsidRDefault="00000000">
            <w:pPr>
              <w:spacing w:after="0" w:line="259" w:lineRule="auto"/>
            </w:pPr>
            <w:r>
              <w:rPr>
                <w:sz w:val="17"/>
              </w:rPr>
              <w:t>Solo 401(k)</w:t>
            </w:r>
          </w:p>
        </w:tc>
        <w:tc>
          <w:tcPr>
            <w:tcW w:w="2750" w:type="dxa"/>
            <w:tcMar>
              <w:top w:w="80" w:type="dxa"/>
              <w:left w:w="120" w:type="dxa"/>
              <w:bottom w:w="80" w:type="dxa"/>
              <w:right w:w="120" w:type="dxa"/>
            </w:tcMar>
            <w:vAlign w:val="center"/>
          </w:tcPr>
          <w:p w14:paraId="091BF609" w14:textId="77777777" w:rsidR="00BA5002" w:rsidRDefault="00000000">
            <w:pPr>
              <w:spacing w:after="0" w:line="259" w:lineRule="auto"/>
            </w:pPr>
            <w:r>
              <w:rPr>
                <w:sz w:val="17"/>
              </w:rPr>
              <w:t>$24,500</w:t>
            </w:r>
          </w:p>
        </w:tc>
        <w:tc>
          <w:tcPr>
            <w:tcW w:w="2200" w:type="dxa"/>
            <w:tcMar>
              <w:top w:w="80" w:type="dxa"/>
              <w:left w:w="120" w:type="dxa"/>
              <w:bottom w:w="80" w:type="dxa"/>
              <w:right w:w="120" w:type="dxa"/>
            </w:tcMar>
            <w:vAlign w:val="center"/>
          </w:tcPr>
          <w:p w14:paraId="10BA5DF0" w14:textId="77777777" w:rsidR="00BA5002" w:rsidRDefault="00000000">
            <w:pPr>
              <w:spacing w:after="0" w:line="259" w:lineRule="auto"/>
            </w:pPr>
            <w:r>
              <w:rPr>
                <w:sz w:val="17"/>
              </w:rPr>
              <w:t>$8,000; ages 60-63: $11,250</w:t>
            </w:r>
          </w:p>
        </w:tc>
        <w:tc>
          <w:tcPr>
            <w:tcW w:w="2560" w:type="dxa"/>
            <w:tcMar>
              <w:top w:w="80" w:type="dxa"/>
              <w:left w:w="120" w:type="dxa"/>
              <w:bottom w:w="80" w:type="dxa"/>
              <w:right w:w="120" w:type="dxa"/>
            </w:tcMar>
            <w:vAlign w:val="center"/>
          </w:tcPr>
          <w:p w14:paraId="58B2692C" w14:textId="77777777" w:rsidR="00BA5002" w:rsidRDefault="00000000">
            <w:pPr>
              <w:spacing w:after="0" w:line="259" w:lineRule="auto"/>
            </w:pPr>
            <w:r>
              <w:rPr>
                <w:sz w:val="17"/>
              </w:rPr>
              <w:t>$72,000, excluding permitted catch-up</w:t>
            </w:r>
          </w:p>
        </w:tc>
      </w:tr>
      <w:tr w:rsidR="00BA5002" w14:paraId="13363E2C" w14:textId="77777777">
        <w:tc>
          <w:tcPr>
            <w:tcW w:w="1850" w:type="dxa"/>
            <w:shd w:val="clear" w:color="auto" w:fill="F7F9FC"/>
            <w:tcMar>
              <w:top w:w="80" w:type="dxa"/>
              <w:left w:w="120" w:type="dxa"/>
              <w:bottom w:w="80" w:type="dxa"/>
              <w:right w:w="120" w:type="dxa"/>
            </w:tcMar>
            <w:vAlign w:val="center"/>
          </w:tcPr>
          <w:p w14:paraId="08A9F6A9" w14:textId="77777777" w:rsidR="00BA5002" w:rsidRDefault="00000000">
            <w:pPr>
              <w:spacing w:after="0" w:line="259" w:lineRule="auto"/>
            </w:pPr>
            <w:r>
              <w:rPr>
                <w:sz w:val="17"/>
              </w:rPr>
              <w:t>SEP IRA</w:t>
            </w:r>
          </w:p>
        </w:tc>
        <w:tc>
          <w:tcPr>
            <w:tcW w:w="2750" w:type="dxa"/>
            <w:shd w:val="clear" w:color="auto" w:fill="F7F9FC"/>
            <w:tcMar>
              <w:top w:w="80" w:type="dxa"/>
              <w:left w:w="120" w:type="dxa"/>
              <w:bottom w:w="80" w:type="dxa"/>
              <w:right w:w="120" w:type="dxa"/>
            </w:tcMar>
            <w:vAlign w:val="center"/>
          </w:tcPr>
          <w:p w14:paraId="7B687188" w14:textId="77777777" w:rsidR="00BA5002" w:rsidRDefault="00000000">
            <w:pPr>
              <w:spacing w:after="0" w:line="259" w:lineRule="auto"/>
            </w:pPr>
            <w:r>
              <w:rPr>
                <w:sz w:val="17"/>
              </w:rPr>
              <w:t>No elective deferral under SEP arrangement</w:t>
            </w:r>
          </w:p>
        </w:tc>
        <w:tc>
          <w:tcPr>
            <w:tcW w:w="2200" w:type="dxa"/>
            <w:shd w:val="clear" w:color="auto" w:fill="F7F9FC"/>
            <w:tcMar>
              <w:top w:w="80" w:type="dxa"/>
              <w:left w:w="120" w:type="dxa"/>
              <w:bottom w:w="80" w:type="dxa"/>
              <w:right w:w="120" w:type="dxa"/>
            </w:tcMar>
            <w:vAlign w:val="center"/>
          </w:tcPr>
          <w:p w14:paraId="70D85AD3" w14:textId="77777777" w:rsidR="00BA5002" w:rsidRDefault="00000000">
            <w:pPr>
              <w:spacing w:after="0" w:line="259" w:lineRule="auto"/>
            </w:pPr>
            <w:r>
              <w:rPr>
                <w:sz w:val="17"/>
              </w:rPr>
              <w:t>No SEP catch-up contribution</w:t>
            </w:r>
          </w:p>
        </w:tc>
        <w:tc>
          <w:tcPr>
            <w:tcW w:w="2560" w:type="dxa"/>
            <w:shd w:val="clear" w:color="auto" w:fill="F7F9FC"/>
            <w:tcMar>
              <w:top w:w="80" w:type="dxa"/>
              <w:left w:w="120" w:type="dxa"/>
              <w:bottom w:w="80" w:type="dxa"/>
              <w:right w:w="120" w:type="dxa"/>
            </w:tcMar>
            <w:vAlign w:val="center"/>
          </w:tcPr>
          <w:p w14:paraId="37214A90" w14:textId="77777777" w:rsidR="00BA5002" w:rsidRDefault="00000000">
            <w:pPr>
              <w:spacing w:after="0" w:line="259" w:lineRule="auto"/>
            </w:pPr>
            <w:r>
              <w:rPr>
                <w:sz w:val="17"/>
              </w:rPr>
              <w:t>$72,000 employer contribution limit, subject to compensation rules</w:t>
            </w:r>
          </w:p>
        </w:tc>
      </w:tr>
    </w:tbl>
    <w:p w14:paraId="22FBD8E1" w14:textId="77777777" w:rsidR="00BA5002" w:rsidRDefault="00BA5002">
      <w:pPr>
        <w:spacing w:after="20"/>
      </w:pPr>
    </w:p>
    <w:p w14:paraId="32BC00BD" w14:textId="77777777" w:rsidR="00BA5002" w:rsidRDefault="00000000">
      <w:pPr>
        <w:pStyle w:val="SourceNote"/>
      </w:pPr>
      <w:r>
        <w:lastRenderedPageBreak/>
        <w:t xml:space="preserve">Source: </w:t>
      </w:r>
      <w:hyperlink r:id="rId8">
        <w:r>
          <w:rPr>
            <w:color w:val="2B70E4"/>
            <w:sz w:val="18"/>
            <w:u w:val="single"/>
          </w:rPr>
          <w:t>IRS 2026 retirement-plan limits</w:t>
        </w:r>
      </w:hyperlink>
    </w:p>
    <w:p w14:paraId="717513B2" w14:textId="77777777" w:rsidR="00BA5002" w:rsidRDefault="00000000">
      <w:r>
        <w:rPr>
          <w:i/>
          <w:color w:val="5B6573"/>
          <w:sz w:val="17"/>
        </w:rPr>
        <w:t>The $72,000 limit is also subject to the applicable percentage-of-compensation/100%-of-compensation rules. Catch-up contributions are generally added outside the IRC Section 415(c) annual additions limit. Plan terms and other plans in which the participant participates can affect the calculation.</w:t>
      </w:r>
    </w:p>
    <w:p w14:paraId="338186FB" w14:textId="77777777" w:rsidR="00BA5002" w:rsidRDefault="00000000">
      <w:pPr>
        <w:pStyle w:val="Heading1"/>
      </w:pPr>
      <w:r>
        <w:t>1. SIMPLE IRA</w:t>
      </w:r>
    </w:p>
    <w:p w14:paraId="0B2413A5" w14:textId="77777777" w:rsidR="00BA5002" w:rsidRDefault="00000000">
      <w:r>
        <w:t>Best for: Employers that want employee payroll deferrals and relatively light administration, without the full infrastructure of a 401(k). A SIMPLE IRA is generally available to an employer with 100 or fewer employees that meets the SIMPLE rules and generally cannot be maintained alongside another employer retirement plan for the same year.</w:t>
      </w:r>
    </w:p>
    <w:p w14:paraId="021246DC" w14:textId="77777777" w:rsidR="00BA5002" w:rsidRDefault="00000000">
      <w:pPr>
        <w:pStyle w:val="Heading2"/>
      </w:pPr>
      <w:r>
        <w:t>2026 employee contributions</w:t>
      </w:r>
    </w:p>
    <w:p w14:paraId="123515F4" w14:textId="77777777" w:rsidR="00BA5002" w:rsidRDefault="00000000">
      <w:pPr>
        <w:numPr>
          <w:ilvl w:val="0"/>
          <w:numId w:val="1"/>
        </w:numPr>
      </w:pPr>
      <w:r>
        <w:t>General elective-deferral limit: $17,000.</w:t>
      </w:r>
    </w:p>
    <w:p w14:paraId="1997F5AE" w14:textId="77777777" w:rsidR="00BA5002" w:rsidRDefault="00000000">
      <w:pPr>
        <w:numPr>
          <w:ilvl w:val="0"/>
          <w:numId w:val="1"/>
        </w:numPr>
      </w:pPr>
      <w:r>
        <w:t>Certain applicable SIMPLE plans can use an enhanced $18,100 deferral limit under SECURE 2.0.</w:t>
      </w:r>
    </w:p>
    <w:p w14:paraId="75B8DBFD" w14:textId="77777777" w:rsidR="00BA5002" w:rsidRDefault="00000000">
      <w:pPr>
        <w:numPr>
          <w:ilvl w:val="0"/>
          <w:numId w:val="1"/>
        </w:numPr>
      </w:pPr>
      <w:r>
        <w:t>General age-50+ catch-up: $4,000. Certain applicable SIMPLE plans have a different $3,850 catch-up amount for 2026.</w:t>
      </w:r>
    </w:p>
    <w:p w14:paraId="4FDC7990" w14:textId="77777777" w:rsidR="00BA5002" w:rsidRDefault="00000000">
      <w:pPr>
        <w:numPr>
          <w:ilvl w:val="0"/>
          <w:numId w:val="1"/>
        </w:numPr>
      </w:pPr>
      <w:r>
        <w:t>Participants who are ages 60, 61, 62, or 63 in 2026 may use the higher $5,250 SIMPLE catch-up, if permitted.</w:t>
      </w:r>
    </w:p>
    <w:tbl>
      <w:tblPr>
        <w:tblStyle w:val="TableGrid"/>
        <w:tblW w:w="9360" w:type="dxa"/>
        <w:tblInd w:w="120" w:type="dxa"/>
        <w:tblLayout w:type="fixed"/>
        <w:tblLook w:val="04A0" w:firstRow="1" w:lastRow="0" w:firstColumn="1" w:lastColumn="0" w:noHBand="0" w:noVBand="1"/>
      </w:tblPr>
      <w:tblGrid>
        <w:gridCol w:w="9360"/>
      </w:tblGrid>
      <w:tr w:rsidR="00BA5002" w14:paraId="55118C46" w14:textId="77777777">
        <w:tc>
          <w:tcPr>
            <w:tcW w:w="9360" w:type="dxa"/>
            <w:shd w:val="clear" w:color="auto" w:fill="EEF5FF"/>
            <w:tcMar>
              <w:top w:w="80" w:type="dxa"/>
              <w:left w:w="120" w:type="dxa"/>
              <w:bottom w:w="80" w:type="dxa"/>
              <w:right w:w="120" w:type="dxa"/>
            </w:tcMar>
            <w:vAlign w:val="center"/>
          </w:tcPr>
          <w:p w14:paraId="58305E81" w14:textId="77777777" w:rsidR="00BA5002" w:rsidRDefault="00000000">
            <w:pPr>
              <w:spacing w:after="60"/>
            </w:pPr>
            <w:r>
              <w:rPr>
                <w:b/>
                <w:color w:val="06327D"/>
              </w:rPr>
              <w:t>Enhanced SIMPLE limit - plan-specific</w:t>
            </w:r>
          </w:p>
          <w:p w14:paraId="52A668DB" w14:textId="77777777" w:rsidR="00BA5002" w:rsidRDefault="00000000">
            <w:pPr>
              <w:spacing w:after="0" w:line="283" w:lineRule="auto"/>
            </w:pPr>
            <w:r>
              <w:rPr>
                <w:sz w:val="20"/>
              </w:rPr>
              <w:t>The enhanced $18,100 limit generally applies to qualifying smaller employers and can be elected by certain employers with 26-100 employees if enhanced employer-contribution requirements are satisfied. Because the associated catch-up rules are unusually technical in 2026, confirm the employer's headcount, plan terms, and provider implementation before quoting a maximum employee deferral.</w:t>
            </w:r>
          </w:p>
        </w:tc>
      </w:tr>
    </w:tbl>
    <w:p w14:paraId="1D3F36CB" w14:textId="77777777" w:rsidR="00BA5002" w:rsidRDefault="00BA5002">
      <w:pPr>
        <w:spacing w:after="20"/>
      </w:pPr>
    </w:p>
    <w:p w14:paraId="1D25C9AA" w14:textId="77777777" w:rsidR="00BA5002" w:rsidRDefault="00000000">
      <w:pPr>
        <w:pStyle w:val="Heading2"/>
      </w:pPr>
      <w:r>
        <w:t>Employer contribution</w:t>
      </w:r>
    </w:p>
    <w:p w14:paraId="4DB62FE9" w14:textId="77777777" w:rsidR="00BA5002" w:rsidRDefault="00000000">
      <w:pPr>
        <w:numPr>
          <w:ilvl w:val="0"/>
          <w:numId w:val="1"/>
        </w:numPr>
      </w:pPr>
      <w:r>
        <w:t>Standard design: dollar-for-dollar match up to 3% of compensation, or a 2% nonelective contribution for eligible employees.</w:t>
      </w:r>
    </w:p>
    <w:p w14:paraId="6158DD7A" w14:textId="77777777" w:rsidR="00BA5002" w:rsidRDefault="00000000">
      <w:pPr>
        <w:numPr>
          <w:ilvl w:val="0"/>
          <w:numId w:val="1"/>
        </w:numPr>
      </w:pPr>
      <w:r>
        <w:t>The standard 3% match can be reduced under limited statutory rules; do not assume it can be changed freely each year.</w:t>
      </w:r>
    </w:p>
    <w:p w14:paraId="29357760" w14:textId="77777777" w:rsidR="00BA5002" w:rsidRDefault="00000000">
      <w:pPr>
        <w:numPr>
          <w:ilvl w:val="0"/>
          <w:numId w:val="1"/>
        </w:numPr>
      </w:pPr>
      <w:r>
        <w:t>SECURE 2.0 permits certain additional nonelective contributions and enhanced employer formulas. Employers with 26-100 employees using the enhanced employee limit generally must meet the enhanced employer contribution requirement.</w:t>
      </w:r>
    </w:p>
    <w:p w14:paraId="0331607E" w14:textId="77777777" w:rsidR="00BA5002" w:rsidRDefault="00000000">
      <w:pPr>
        <w:pStyle w:val="Heading2"/>
      </w:pPr>
      <w:r>
        <w:lastRenderedPageBreak/>
        <w:t>Tax and Roth treatment</w:t>
      </w:r>
    </w:p>
    <w:p w14:paraId="184F613F" w14:textId="77777777" w:rsidR="00BA5002" w:rsidRDefault="00000000">
      <w:r>
        <w:t>Traditional salary-reduction contributions generally reduce federal taxable wages but remain subject to Social Security and Medicare tax. Employer contributions are generally deductible by the employer and tax-deferred to the participant. SECURE 2.0 permits Roth treatment for SIMPLE contributions when the arrangement and provider support it; Roth amounts have different current-year income-tax treatment.</w:t>
      </w:r>
    </w:p>
    <w:p w14:paraId="38526C74" w14:textId="77777777" w:rsidR="00BA5002" w:rsidRDefault="00000000">
      <w:pPr>
        <w:pStyle w:val="SourceNote"/>
      </w:pPr>
      <w:r>
        <w:t xml:space="preserve">Source: </w:t>
      </w:r>
      <w:hyperlink r:id="rId9">
        <w:r>
          <w:rPr>
            <w:color w:val="2B70E4"/>
            <w:sz w:val="18"/>
            <w:u w:val="single"/>
          </w:rPr>
          <w:t>IRS SECURE 2.0 Roth SIMPLE/SEP reporting guidance</w:t>
        </w:r>
      </w:hyperlink>
    </w:p>
    <w:p w14:paraId="4D178252" w14:textId="77777777" w:rsidR="00BA5002" w:rsidRDefault="00000000">
      <w:pPr>
        <w:pStyle w:val="Heading2"/>
      </w:pPr>
      <w:r>
        <w:t>Key advantages / cautions</w:t>
      </w:r>
    </w:p>
    <w:p w14:paraId="19EF5803" w14:textId="77777777" w:rsidR="00BA5002" w:rsidRDefault="00000000">
      <w:pPr>
        <w:numPr>
          <w:ilvl w:val="0"/>
          <w:numId w:val="1"/>
        </w:numPr>
      </w:pPr>
      <w:r>
        <w:t>No employer Form 5500 filing and no traditional nondiscrimination testing.</w:t>
      </w:r>
    </w:p>
    <w:p w14:paraId="0E1024DD" w14:textId="77777777" w:rsidR="00BA5002" w:rsidRDefault="00000000">
      <w:pPr>
        <w:numPr>
          <w:ilvl w:val="0"/>
          <w:numId w:val="1"/>
        </w:numPr>
      </w:pPr>
      <w:r>
        <w:t>Employer contribution is required each year under the SIMPLE formula selected.</w:t>
      </w:r>
    </w:p>
    <w:p w14:paraId="1C62E77D" w14:textId="77777777" w:rsidR="00BA5002" w:rsidRDefault="00000000">
      <w:pPr>
        <w:numPr>
          <w:ilvl w:val="0"/>
          <w:numId w:val="1"/>
        </w:numPr>
      </w:pPr>
      <w:r>
        <w:t>Participant loans are not permitted from SIMPLE IRAs.</w:t>
      </w:r>
    </w:p>
    <w:p w14:paraId="1957588A" w14:textId="77777777" w:rsidR="00BA5002" w:rsidRDefault="00000000">
      <w:pPr>
        <w:numPr>
          <w:ilvl w:val="0"/>
          <w:numId w:val="1"/>
        </w:numPr>
      </w:pPr>
      <w:r>
        <w:t>Eligible employees are always fully vested in SIMPLE IRA contributions.</w:t>
      </w:r>
    </w:p>
    <w:p w14:paraId="46EC6D77" w14:textId="77777777" w:rsidR="00BA5002" w:rsidRDefault="00000000">
      <w:pPr>
        <w:pStyle w:val="SourceNote"/>
      </w:pPr>
      <w:r>
        <w:t xml:space="preserve">Source: </w:t>
      </w:r>
      <w:hyperlink r:id="rId10">
        <w:r>
          <w:rPr>
            <w:color w:val="2B70E4"/>
            <w:sz w:val="18"/>
            <w:u w:val="single"/>
          </w:rPr>
          <w:t>IRS SIMPLE IRA plan guidance</w:t>
        </w:r>
      </w:hyperlink>
    </w:p>
    <w:p w14:paraId="77304512" w14:textId="77777777" w:rsidR="00BA5002" w:rsidRDefault="00000000">
      <w:pPr>
        <w:pStyle w:val="Heading1"/>
      </w:pPr>
      <w:r>
        <w:t>2. SEP IRA</w:t>
      </w:r>
    </w:p>
    <w:p w14:paraId="11D6B163" w14:textId="208DE6FA" w:rsidR="00BA5002" w:rsidRDefault="00000000">
      <w:r>
        <w:t>Best for: Businesses that want a simple, employ</w:t>
      </w:r>
      <w:r w:rsidR="00B312D5">
        <w:t>ER</w:t>
      </w:r>
      <w:r>
        <w:t>-funded plan and value the ability to decide each year whether to contribute. A SEP often works best when there are no employees or only a small number of employees.</w:t>
      </w:r>
    </w:p>
    <w:p w14:paraId="745FE187" w14:textId="77777777" w:rsidR="00BA5002" w:rsidRDefault="00000000">
      <w:pPr>
        <w:pStyle w:val="Heading2"/>
      </w:pPr>
      <w:r>
        <w:t>Contribution structure</w:t>
      </w:r>
    </w:p>
    <w:p w14:paraId="1D5BEB96" w14:textId="77777777" w:rsidR="00BA5002" w:rsidRDefault="00000000">
      <w:pPr>
        <w:numPr>
          <w:ilvl w:val="0"/>
          <w:numId w:val="1"/>
        </w:numPr>
      </w:pPr>
      <w:r>
        <w:t>No employee elective salary-deferral contribution is made under the SEP arrangement.</w:t>
      </w:r>
    </w:p>
    <w:p w14:paraId="6A699090" w14:textId="77777777" w:rsidR="00BA5002" w:rsidRDefault="00000000">
      <w:pPr>
        <w:numPr>
          <w:ilvl w:val="0"/>
          <w:numId w:val="1"/>
        </w:numPr>
      </w:pPr>
      <w:r>
        <w:t>Employer contribution can be up to 25% of compensation for an employee, subject to the $72,000 2026 limit and the plan formula.</w:t>
      </w:r>
    </w:p>
    <w:p w14:paraId="6EDBD18E" w14:textId="77777777" w:rsidR="00BA5002" w:rsidRDefault="00000000">
      <w:pPr>
        <w:numPr>
          <w:ilvl w:val="0"/>
          <w:numId w:val="1"/>
        </w:numPr>
      </w:pPr>
      <w:r>
        <w:t>For an S-corporation shareholder-employee, the employer contribution is based on eligible W-2 compensation - not S-corporation distributions.</w:t>
      </w:r>
    </w:p>
    <w:p w14:paraId="02032E59" w14:textId="77777777" w:rsidR="00BA5002" w:rsidRDefault="00000000">
      <w:pPr>
        <w:numPr>
          <w:ilvl w:val="0"/>
          <w:numId w:val="1"/>
        </w:numPr>
      </w:pPr>
      <w:r>
        <w:t>Under a standard SEP formula, eligible participants generally receive the same contribution percentage of compensation; plan terms control eligibility and allocation.</w:t>
      </w:r>
    </w:p>
    <w:p w14:paraId="4F15C640" w14:textId="77777777" w:rsidR="00BA5002" w:rsidRDefault="00000000">
      <w:pPr>
        <w:pStyle w:val="Heading2"/>
      </w:pPr>
      <w:r>
        <w:t>Tax and Roth treatment</w:t>
      </w:r>
    </w:p>
    <w:p w14:paraId="11636EC1" w14:textId="77777777" w:rsidR="00BA5002" w:rsidRDefault="00000000">
      <w:r>
        <w:t>Traditional SEP employer contributions are generally deductible by the employer and tax-deferred to participants. SECURE 2.0 permits designated Roth SEP contributions when the plan/provider supports the feature; Roth employer contributions are generally included in the participant's income and require special reporting.</w:t>
      </w:r>
    </w:p>
    <w:p w14:paraId="2E9CA301" w14:textId="77777777" w:rsidR="00BA5002" w:rsidRDefault="00000000">
      <w:pPr>
        <w:pStyle w:val="Heading2"/>
      </w:pPr>
      <w:r>
        <w:lastRenderedPageBreak/>
        <w:t>Key advantages / cautions</w:t>
      </w:r>
    </w:p>
    <w:p w14:paraId="4A261C61" w14:textId="77777777" w:rsidR="00BA5002" w:rsidRDefault="00000000">
      <w:pPr>
        <w:numPr>
          <w:ilvl w:val="0"/>
          <w:numId w:val="1"/>
        </w:numPr>
      </w:pPr>
      <w:r>
        <w:t>Very little ongoing administration and generally no Form 5500 filing.</w:t>
      </w:r>
    </w:p>
    <w:p w14:paraId="331B85DD" w14:textId="77777777" w:rsidR="00BA5002" w:rsidRDefault="00000000">
      <w:pPr>
        <w:numPr>
          <w:ilvl w:val="0"/>
          <w:numId w:val="1"/>
        </w:numPr>
      </w:pPr>
      <w:r>
        <w:t>Employer can generally reduce or skip a discretionary SEP contribution in a lean year.</w:t>
      </w:r>
    </w:p>
    <w:p w14:paraId="41EB33D8" w14:textId="77777777" w:rsidR="00BA5002" w:rsidRDefault="00000000">
      <w:pPr>
        <w:numPr>
          <w:ilvl w:val="0"/>
          <w:numId w:val="1"/>
        </w:numPr>
      </w:pPr>
      <w:r>
        <w:t>Can become expensive with employees because the owner cannot simply receive a high percentage while giving a lower percentage to otherwise similarly situated eligible employees under a standard SEP allocation.</w:t>
      </w:r>
    </w:p>
    <w:p w14:paraId="7730C706" w14:textId="77777777" w:rsidR="00BA5002" w:rsidRDefault="00000000">
      <w:pPr>
        <w:numPr>
          <w:ilvl w:val="0"/>
          <w:numId w:val="1"/>
        </w:numPr>
      </w:pPr>
      <w:r>
        <w:t>Loans are not permitted from SEP IRAs.</w:t>
      </w:r>
    </w:p>
    <w:p w14:paraId="25501E0D" w14:textId="77777777" w:rsidR="00BA5002" w:rsidRDefault="00000000">
      <w:pPr>
        <w:pStyle w:val="SourceNote"/>
      </w:pPr>
      <w:r>
        <w:t xml:space="preserve">Source: </w:t>
      </w:r>
      <w:hyperlink r:id="rId11">
        <w:r>
          <w:rPr>
            <w:color w:val="2B70E4"/>
            <w:sz w:val="18"/>
            <w:u w:val="single"/>
          </w:rPr>
          <w:t>IRS Publication 560 - Retirement Plans for Small Business</w:t>
        </w:r>
      </w:hyperlink>
    </w:p>
    <w:p w14:paraId="0D9DAFB8" w14:textId="77777777" w:rsidR="00BA5002" w:rsidRDefault="00000000">
      <w:pPr>
        <w:pStyle w:val="Heading1"/>
      </w:pPr>
      <w:r>
        <w:t>3. Safe Harbor 401(k)</w:t>
      </w:r>
    </w:p>
    <w:p w14:paraId="756AD4E5" w14:textId="77777777" w:rsidR="00BA5002" w:rsidRDefault="00000000">
      <w:r>
        <w:t>Best for: Profitable businesses that want employees to save through payroll while improving the owner's ability to make substantial contributions without the usual ADP/ACP testing constraints, assuming the Safe Harbor requirements are satisfied.</w:t>
      </w:r>
    </w:p>
    <w:p w14:paraId="1E765818" w14:textId="77777777" w:rsidR="00BA5002" w:rsidRDefault="00000000">
      <w:pPr>
        <w:pStyle w:val="Heading2"/>
      </w:pPr>
      <w:r>
        <w:t>2026 employee contributions</w:t>
      </w:r>
    </w:p>
    <w:p w14:paraId="3D1E50C8" w14:textId="77777777" w:rsidR="00BA5002" w:rsidRDefault="00000000">
      <w:pPr>
        <w:numPr>
          <w:ilvl w:val="0"/>
          <w:numId w:val="1"/>
        </w:numPr>
      </w:pPr>
      <w:r>
        <w:t>Elective-deferral limit: $24,500.</w:t>
      </w:r>
    </w:p>
    <w:p w14:paraId="4F0DEE1C" w14:textId="77777777" w:rsidR="00BA5002" w:rsidRDefault="00000000">
      <w:pPr>
        <w:numPr>
          <w:ilvl w:val="0"/>
          <w:numId w:val="1"/>
        </w:numPr>
      </w:pPr>
      <w:r>
        <w:t>Age-50+ catch-up: $8,000.</w:t>
      </w:r>
    </w:p>
    <w:p w14:paraId="64747FC3" w14:textId="77777777" w:rsidR="00BA5002" w:rsidRDefault="00000000">
      <w:pPr>
        <w:numPr>
          <w:ilvl w:val="0"/>
          <w:numId w:val="1"/>
        </w:numPr>
      </w:pPr>
      <w:r>
        <w:t>Ages 60-63 catch-up: $11,250 in 2026 instead of the regular $8,000 catch-up.</w:t>
      </w:r>
    </w:p>
    <w:p w14:paraId="645642A4" w14:textId="77777777" w:rsidR="00BA5002" w:rsidRDefault="00000000">
      <w:pPr>
        <w:pStyle w:val="Heading2"/>
      </w:pPr>
      <w:r>
        <w:t>Employer Safe Harbor funding</w:t>
      </w:r>
    </w:p>
    <w:p w14:paraId="5C476F82" w14:textId="77777777" w:rsidR="00BA5002" w:rsidRDefault="00000000">
      <w:pPr>
        <w:numPr>
          <w:ilvl w:val="0"/>
          <w:numId w:val="1"/>
        </w:numPr>
      </w:pPr>
      <w:r>
        <w:t>Basic match: generally 100% of the first 3% deferred plus 50% of deferrals over 3% through 5% of compensation, or an eligible enhanced matching formula.</w:t>
      </w:r>
    </w:p>
    <w:p w14:paraId="3B8DB794" w14:textId="77777777" w:rsidR="00BA5002" w:rsidRDefault="00000000">
      <w:pPr>
        <w:numPr>
          <w:ilvl w:val="0"/>
          <w:numId w:val="1"/>
        </w:numPr>
      </w:pPr>
      <w:r>
        <w:t>Alternative: generally a 3% nonelective contribution for eligible employees, whether or not the employee defers.</w:t>
      </w:r>
    </w:p>
    <w:p w14:paraId="46C86B14" w14:textId="77777777" w:rsidR="00BA5002" w:rsidRDefault="00000000">
      <w:pPr>
        <w:numPr>
          <w:ilvl w:val="0"/>
          <w:numId w:val="1"/>
        </w:numPr>
      </w:pPr>
      <w:r>
        <w:t>Additional profit-sharing contributions may be available, subject to plan terms, nondiscrimination rules, deduction limits, and the $72,000 annual-additions limit.</w:t>
      </w:r>
    </w:p>
    <w:tbl>
      <w:tblPr>
        <w:tblStyle w:val="TableGrid"/>
        <w:tblW w:w="9360" w:type="dxa"/>
        <w:tblInd w:w="120" w:type="dxa"/>
        <w:tblLayout w:type="fixed"/>
        <w:tblLook w:val="04A0" w:firstRow="1" w:lastRow="0" w:firstColumn="1" w:lastColumn="0" w:noHBand="0" w:noVBand="1"/>
      </w:tblPr>
      <w:tblGrid>
        <w:gridCol w:w="9360"/>
      </w:tblGrid>
      <w:tr w:rsidR="00BA5002" w14:paraId="3C4780F6" w14:textId="77777777">
        <w:tc>
          <w:tcPr>
            <w:tcW w:w="9360" w:type="dxa"/>
            <w:shd w:val="clear" w:color="auto" w:fill="EEF5FF"/>
            <w:tcMar>
              <w:top w:w="80" w:type="dxa"/>
              <w:left w:w="120" w:type="dxa"/>
              <w:bottom w:w="80" w:type="dxa"/>
              <w:right w:w="120" w:type="dxa"/>
            </w:tcMar>
            <w:vAlign w:val="center"/>
          </w:tcPr>
          <w:p w14:paraId="11C0AE98" w14:textId="77777777" w:rsidR="00BA5002" w:rsidRDefault="00000000">
            <w:pPr>
              <w:spacing w:after="60"/>
            </w:pPr>
            <w:r>
              <w:rPr>
                <w:b/>
                <w:color w:val="06327D"/>
              </w:rPr>
              <w:t>Safe Harbor does not mean "no compliance testing"</w:t>
            </w:r>
          </w:p>
          <w:p w14:paraId="27F6A5E8" w14:textId="77777777" w:rsidR="00BA5002" w:rsidRDefault="00000000">
            <w:pPr>
              <w:spacing w:after="0" w:line="283" w:lineRule="auto"/>
            </w:pPr>
            <w:r>
              <w:rPr>
                <w:sz w:val="20"/>
              </w:rPr>
              <w:t>A properly designed Safe Harbor arrangement generally satisfies the ADP test and, when applicable requirements are met, can satisfy the ACP test. Other qualification, coverage, top-heavy, contribution, eligibility, and operational rules can still apply. Adding profit sharing can create additional testing or design considerations.</w:t>
            </w:r>
          </w:p>
        </w:tc>
      </w:tr>
    </w:tbl>
    <w:p w14:paraId="1E2B2261" w14:textId="77777777" w:rsidR="00BA5002" w:rsidRDefault="00BA5002">
      <w:pPr>
        <w:spacing w:after="20"/>
      </w:pPr>
    </w:p>
    <w:p w14:paraId="77D2A1E0" w14:textId="77777777" w:rsidR="00BA5002" w:rsidRDefault="00000000">
      <w:pPr>
        <w:pStyle w:val="Heading2"/>
      </w:pPr>
      <w:r>
        <w:lastRenderedPageBreak/>
        <w:t>Notices, vesting, Roth, and loans</w:t>
      </w:r>
    </w:p>
    <w:p w14:paraId="669908E1" w14:textId="77777777" w:rsidR="00BA5002" w:rsidRDefault="00000000">
      <w:pPr>
        <w:numPr>
          <w:ilvl w:val="0"/>
          <w:numId w:val="1"/>
        </w:numPr>
      </w:pPr>
      <w:r>
        <w:t>Traditional Safe Harbor contributions are generally immediately 100% vested. QACA designs have separate vesting rules and should be reviewed with the TPA.</w:t>
      </w:r>
    </w:p>
    <w:p w14:paraId="17F69F58" w14:textId="77777777" w:rsidR="00BA5002" w:rsidRDefault="00000000">
      <w:pPr>
        <w:numPr>
          <w:ilvl w:val="0"/>
          <w:numId w:val="1"/>
        </w:numPr>
      </w:pPr>
      <w:r>
        <w:t>Annual Safe Harbor notices are not required for certain nonelective Safe Harbor plans; matching and QACA arrangements can still carry notice requirements.</w:t>
      </w:r>
    </w:p>
    <w:p w14:paraId="6B4BB341" w14:textId="77777777" w:rsidR="00BA5002" w:rsidRDefault="00000000">
      <w:pPr>
        <w:numPr>
          <w:ilvl w:val="0"/>
          <w:numId w:val="1"/>
        </w:numPr>
      </w:pPr>
      <w:r>
        <w:t>Plans can offer traditional pre-tax and Roth employee deferrals. Loans may be permitted if the plan document provides for them.</w:t>
      </w:r>
    </w:p>
    <w:p w14:paraId="5228BEF8" w14:textId="77777777" w:rsidR="00BA5002" w:rsidRDefault="00000000">
      <w:pPr>
        <w:numPr>
          <w:ilvl w:val="0"/>
          <w:numId w:val="1"/>
        </w:numPr>
      </w:pPr>
      <w:r>
        <w:t>Certain 401(k) plans first established after December 28, 2022 are subject to SECURE 2.0 automatic-enrollment requirements for plan years beginning after 2024, unless an exception applies (including certain new or small employers).</w:t>
      </w:r>
    </w:p>
    <w:p w14:paraId="003321C4" w14:textId="77777777" w:rsidR="00BA5002" w:rsidRDefault="00000000">
      <w:pPr>
        <w:pStyle w:val="SourceNote"/>
      </w:pPr>
      <w:r>
        <w:t xml:space="preserve">Source: </w:t>
      </w:r>
      <w:hyperlink r:id="rId12">
        <w:r>
          <w:rPr>
            <w:color w:val="2B70E4"/>
            <w:sz w:val="18"/>
            <w:u w:val="single"/>
          </w:rPr>
          <w:t>IRS - Operating a 401(k) plan</w:t>
        </w:r>
      </w:hyperlink>
    </w:p>
    <w:p w14:paraId="44A2FE5F" w14:textId="77777777" w:rsidR="00BA5002" w:rsidRDefault="00000000">
      <w:pPr>
        <w:pStyle w:val="SourceNote"/>
      </w:pPr>
      <w:r>
        <w:t xml:space="preserve">Source: </w:t>
      </w:r>
      <w:hyperlink r:id="rId13">
        <w:r>
          <w:rPr>
            <w:color w:val="2B70E4"/>
            <w:sz w:val="18"/>
            <w:u w:val="single"/>
          </w:rPr>
          <w:t>IRS - Safe Harbor notice requirements</w:t>
        </w:r>
      </w:hyperlink>
    </w:p>
    <w:p w14:paraId="3C0555C2" w14:textId="77777777" w:rsidR="00BA5002" w:rsidRDefault="00000000">
      <w:pPr>
        <w:pStyle w:val="Heading1"/>
      </w:pPr>
      <w:r>
        <w:t>4. Solo 401(k) / One-Participant 401(k)</w:t>
      </w:r>
    </w:p>
    <w:p w14:paraId="33B7D423" w14:textId="77777777" w:rsidR="00BA5002" w:rsidRDefault="00000000">
      <w:r>
        <w:t>Best for: A business owner with no common-law employees, or the owner and spouse, who wants the contribution flexibility of a 401(k) without the employee-plan administration of a larger plan.</w:t>
      </w:r>
    </w:p>
    <w:p w14:paraId="2E520255" w14:textId="77777777" w:rsidR="00BA5002" w:rsidRDefault="00000000">
      <w:pPr>
        <w:pStyle w:val="Heading2"/>
      </w:pPr>
      <w:r>
        <w:t>2026 contribution structure</w:t>
      </w:r>
    </w:p>
    <w:p w14:paraId="1B303286" w14:textId="77777777" w:rsidR="00BA5002" w:rsidRDefault="00000000">
      <w:pPr>
        <w:numPr>
          <w:ilvl w:val="0"/>
          <w:numId w:val="1"/>
        </w:numPr>
      </w:pPr>
      <w:r>
        <w:t>Employee elective deferral: up to $24,500, limited by compensation and coordinated with the participant's elective deferrals to other plans.</w:t>
      </w:r>
    </w:p>
    <w:p w14:paraId="230F08A3" w14:textId="77777777" w:rsidR="00BA5002" w:rsidRDefault="00000000">
      <w:pPr>
        <w:numPr>
          <w:ilvl w:val="0"/>
          <w:numId w:val="1"/>
        </w:numPr>
      </w:pPr>
      <w:r>
        <w:t>Employer contribution: optional; for an S corporation, generally up to 25% of eligible W-2 compensation, subject to plan and tax limits.</w:t>
      </w:r>
    </w:p>
    <w:p w14:paraId="12CB1369" w14:textId="77777777" w:rsidR="00BA5002" w:rsidRDefault="00000000">
      <w:pPr>
        <w:numPr>
          <w:ilvl w:val="0"/>
          <w:numId w:val="1"/>
        </w:numPr>
      </w:pPr>
      <w:r>
        <w:t>Combined annual-additions limit: generally the lesser of 100% of compensation or $72,000 for 2026, before permitted catch-up contributions.</w:t>
      </w:r>
    </w:p>
    <w:p w14:paraId="13B44D7B" w14:textId="77777777" w:rsidR="00BA5002" w:rsidRDefault="00000000">
      <w:pPr>
        <w:numPr>
          <w:ilvl w:val="0"/>
          <w:numId w:val="1"/>
        </w:numPr>
      </w:pPr>
      <w:r>
        <w:t>Age-50+ catch-up: $8,000; ages 60-63: $11,250 for 2026, if permitted.</w:t>
      </w:r>
    </w:p>
    <w:p w14:paraId="070D3337" w14:textId="77777777" w:rsidR="00BA5002" w:rsidRDefault="00000000">
      <w:pPr>
        <w:pStyle w:val="Heading2"/>
      </w:pPr>
      <w:r>
        <w:t>Eligibility and filing</w:t>
      </w:r>
    </w:p>
    <w:p w14:paraId="20727C0E" w14:textId="77777777" w:rsidR="00BA5002" w:rsidRDefault="00000000">
      <w:pPr>
        <w:numPr>
          <w:ilvl w:val="0"/>
          <w:numId w:val="1"/>
        </w:numPr>
      </w:pPr>
      <w:r>
        <w:t>A one-participant plan covers a business owner with no employees, or the owner and spouse. Controlled-group/affiliated-service-group and employee eligibility rules can affect whether a business truly qualifies as owner-only.</w:t>
      </w:r>
    </w:p>
    <w:p w14:paraId="630DEBF7" w14:textId="77777777" w:rsidR="00BA5002" w:rsidRDefault="00000000">
      <w:pPr>
        <w:numPr>
          <w:ilvl w:val="0"/>
          <w:numId w:val="1"/>
        </w:numPr>
      </w:pPr>
      <w:r>
        <w:t>Long-term part-time employee rules can cause a 401(k) employee to become eligible for elective deferrals even if the employee never completes a traditional 1,000-hour year. Recheck eligibility every year.</w:t>
      </w:r>
    </w:p>
    <w:p w14:paraId="28225C7E" w14:textId="77777777" w:rsidR="00BA5002" w:rsidRDefault="00000000">
      <w:pPr>
        <w:numPr>
          <w:ilvl w:val="0"/>
          <w:numId w:val="1"/>
        </w:numPr>
      </w:pPr>
      <w:r>
        <w:lastRenderedPageBreak/>
        <w:t>Most one-participant plans with $250,000 or less in total plan assets at year-end are exempt from the annual Form 5500-EZ filing requirement. A final return/report is required when the plan terminates regardless of asset value.</w:t>
      </w:r>
    </w:p>
    <w:p w14:paraId="4943079E" w14:textId="77777777" w:rsidR="00BA5002" w:rsidRDefault="00000000">
      <w:pPr>
        <w:numPr>
          <w:ilvl w:val="0"/>
          <w:numId w:val="1"/>
        </w:numPr>
      </w:pPr>
      <w:r>
        <w:t>Roth deferrals and participant loans may be available if included in the plan document/provider offering.</w:t>
      </w:r>
    </w:p>
    <w:p w14:paraId="2B881AEE" w14:textId="77777777" w:rsidR="00BA5002" w:rsidRDefault="00000000">
      <w:pPr>
        <w:pStyle w:val="SourceNote"/>
      </w:pPr>
      <w:r>
        <w:t xml:space="preserve">Source: </w:t>
      </w:r>
      <w:hyperlink r:id="rId14">
        <w:r>
          <w:rPr>
            <w:color w:val="2B70E4"/>
            <w:sz w:val="18"/>
            <w:u w:val="single"/>
          </w:rPr>
          <w:t>IRS - One-Participant 401(k) Plans</w:t>
        </w:r>
      </w:hyperlink>
    </w:p>
    <w:p w14:paraId="1F7DF0D5" w14:textId="77777777" w:rsidR="00BA5002" w:rsidRDefault="00000000">
      <w:pPr>
        <w:pStyle w:val="Heading1"/>
      </w:pPr>
      <w:r>
        <w:t>Special Planning for S-Corporation Owners</w:t>
      </w:r>
    </w:p>
    <w:tbl>
      <w:tblPr>
        <w:tblStyle w:val="TableGrid"/>
        <w:tblW w:w="9360" w:type="dxa"/>
        <w:tblInd w:w="120" w:type="dxa"/>
        <w:tblLayout w:type="fixed"/>
        <w:tblLook w:val="04A0" w:firstRow="1" w:lastRow="0" w:firstColumn="1" w:lastColumn="0" w:noHBand="0" w:noVBand="1"/>
      </w:tblPr>
      <w:tblGrid>
        <w:gridCol w:w="9360"/>
      </w:tblGrid>
      <w:tr w:rsidR="00BA5002" w14:paraId="08C3544E" w14:textId="77777777">
        <w:tc>
          <w:tcPr>
            <w:tcW w:w="9360" w:type="dxa"/>
            <w:shd w:val="clear" w:color="auto" w:fill="EEF5FF"/>
            <w:tcMar>
              <w:top w:w="80" w:type="dxa"/>
              <w:left w:w="120" w:type="dxa"/>
              <w:bottom w:w="80" w:type="dxa"/>
              <w:right w:w="120" w:type="dxa"/>
            </w:tcMar>
            <w:vAlign w:val="center"/>
          </w:tcPr>
          <w:p w14:paraId="3D8CE316" w14:textId="77777777" w:rsidR="00BA5002" w:rsidRDefault="00000000">
            <w:pPr>
              <w:spacing w:after="60"/>
            </w:pPr>
            <w:r>
              <w:rPr>
                <w:b/>
                <w:color w:val="06327D"/>
              </w:rPr>
              <w:t>W-2 wages drive retirement-plan capacity</w:t>
            </w:r>
          </w:p>
          <w:p w14:paraId="60F09650" w14:textId="77777777" w:rsidR="00BA5002" w:rsidRDefault="00000000">
            <w:pPr>
              <w:spacing w:after="0" w:line="283" w:lineRule="auto"/>
            </w:pPr>
            <w:r>
              <w:rPr>
                <w:sz w:val="20"/>
              </w:rPr>
              <w:t>S-corporation distributions are not earned income for qualified retirement-plan contribution purposes. Employee deferrals must come from eligible compensation, and employer contributions for a shareholder-employee are generally calculated from eligible W-2 compensation. An artificially low wage can therefore reduce retirement-plan contribution capacity.</w:t>
            </w:r>
          </w:p>
        </w:tc>
      </w:tr>
    </w:tbl>
    <w:p w14:paraId="4885F4A0" w14:textId="77777777" w:rsidR="00BA5002" w:rsidRDefault="00BA5002">
      <w:pPr>
        <w:spacing w:after="20"/>
      </w:pPr>
    </w:p>
    <w:p w14:paraId="5606721E" w14:textId="77777777" w:rsidR="00BA5002" w:rsidRDefault="00000000">
      <w:pPr>
        <w:pStyle w:val="SourceNote"/>
      </w:pPr>
      <w:r>
        <w:t xml:space="preserve">Source: </w:t>
      </w:r>
      <w:hyperlink r:id="rId15">
        <w:r>
          <w:rPr>
            <w:color w:val="2B70E4"/>
            <w:sz w:val="18"/>
            <w:u w:val="single"/>
          </w:rPr>
          <w:t>IRS - S-corporation retirement-plan contribution FAQ</w:t>
        </w:r>
      </w:hyperlink>
    </w:p>
    <w:p w14:paraId="5054DA7D" w14:textId="77777777" w:rsidR="00BA5002" w:rsidRDefault="00000000">
      <w:pPr>
        <w:pStyle w:val="Heading2"/>
      </w:pPr>
      <w:r>
        <w:t>Do not increase salary in a vacuum</w:t>
      </w:r>
    </w:p>
    <w:p w14:paraId="624ED555" w14:textId="77777777" w:rsidR="00BA5002" w:rsidRDefault="00000000">
      <w:r>
        <w:t>A higher W-2 salary can create room for a larger employer contribution, but it can also increase payroll taxes and affect other tax calculations. Reasonable compensation should first be supportable under the facts. Then compare the incremental payroll-tax cost with the retirement-plan and income-tax benefit.</w:t>
      </w:r>
    </w:p>
    <w:tbl>
      <w:tblPr>
        <w:tblStyle w:val="TableGrid"/>
        <w:tblW w:w="9360" w:type="dxa"/>
        <w:tblInd w:w="120" w:type="dxa"/>
        <w:tblLayout w:type="fixed"/>
        <w:tblLook w:val="04A0" w:firstRow="1" w:lastRow="0" w:firstColumn="1" w:lastColumn="0" w:noHBand="0" w:noVBand="1"/>
      </w:tblPr>
      <w:tblGrid>
        <w:gridCol w:w="2450"/>
        <w:gridCol w:w="6910"/>
      </w:tblGrid>
      <w:tr w:rsidR="00BA5002" w14:paraId="732C05F8" w14:textId="77777777">
        <w:trPr>
          <w:tblHeader/>
        </w:trPr>
        <w:tc>
          <w:tcPr>
            <w:tcW w:w="2450" w:type="dxa"/>
            <w:shd w:val="clear" w:color="auto" w:fill="06327D"/>
            <w:tcMar>
              <w:top w:w="80" w:type="dxa"/>
              <w:left w:w="120" w:type="dxa"/>
              <w:bottom w:w="80" w:type="dxa"/>
              <w:right w:w="120" w:type="dxa"/>
            </w:tcMar>
            <w:vAlign w:val="center"/>
          </w:tcPr>
          <w:p w14:paraId="055B1B9D" w14:textId="77777777" w:rsidR="00BA5002" w:rsidRDefault="00000000">
            <w:pPr>
              <w:spacing w:after="0" w:line="252" w:lineRule="auto"/>
              <w:jc w:val="center"/>
            </w:pPr>
            <w:r>
              <w:rPr>
                <w:b/>
                <w:color w:val="FFFFFF"/>
                <w:sz w:val="18"/>
              </w:rPr>
              <w:t>Planning question</w:t>
            </w:r>
          </w:p>
        </w:tc>
        <w:tc>
          <w:tcPr>
            <w:tcW w:w="6910" w:type="dxa"/>
            <w:shd w:val="clear" w:color="auto" w:fill="06327D"/>
            <w:tcMar>
              <w:top w:w="80" w:type="dxa"/>
              <w:left w:w="120" w:type="dxa"/>
              <w:bottom w:w="80" w:type="dxa"/>
              <w:right w:w="120" w:type="dxa"/>
            </w:tcMar>
            <w:vAlign w:val="center"/>
          </w:tcPr>
          <w:p w14:paraId="133F0192" w14:textId="77777777" w:rsidR="00BA5002" w:rsidRDefault="00000000">
            <w:pPr>
              <w:spacing w:after="0" w:line="252" w:lineRule="auto"/>
              <w:jc w:val="center"/>
            </w:pPr>
            <w:r>
              <w:rPr>
                <w:b/>
                <w:color w:val="FFFFFF"/>
                <w:sz w:val="18"/>
              </w:rPr>
              <w:t>Why it matters</w:t>
            </w:r>
          </w:p>
        </w:tc>
      </w:tr>
      <w:tr w:rsidR="00BA5002" w14:paraId="2EE87A7B" w14:textId="77777777">
        <w:tc>
          <w:tcPr>
            <w:tcW w:w="2450" w:type="dxa"/>
            <w:tcMar>
              <w:top w:w="80" w:type="dxa"/>
              <w:left w:w="120" w:type="dxa"/>
              <w:bottom w:w="80" w:type="dxa"/>
              <w:right w:w="120" w:type="dxa"/>
            </w:tcMar>
            <w:vAlign w:val="center"/>
          </w:tcPr>
          <w:p w14:paraId="7AEDE351" w14:textId="77777777" w:rsidR="00BA5002" w:rsidRDefault="00000000">
            <w:pPr>
              <w:spacing w:after="0" w:line="259" w:lineRule="auto"/>
            </w:pPr>
            <w:r>
              <w:rPr>
                <w:sz w:val="18"/>
              </w:rPr>
              <w:t>What is reasonable compensation?</w:t>
            </w:r>
          </w:p>
        </w:tc>
        <w:tc>
          <w:tcPr>
            <w:tcW w:w="6910" w:type="dxa"/>
            <w:tcMar>
              <w:top w:w="80" w:type="dxa"/>
              <w:left w:w="120" w:type="dxa"/>
              <w:bottom w:w="80" w:type="dxa"/>
              <w:right w:w="120" w:type="dxa"/>
            </w:tcMar>
            <w:vAlign w:val="center"/>
          </w:tcPr>
          <w:p w14:paraId="13368DBE" w14:textId="77777777" w:rsidR="00BA5002" w:rsidRDefault="00000000">
            <w:pPr>
              <w:spacing w:after="0" w:line="259" w:lineRule="auto"/>
            </w:pPr>
            <w:r>
              <w:rPr>
                <w:sz w:val="18"/>
              </w:rPr>
              <w:t>The wage must be supportable for tax compliance; it also limits contribution capacity.</w:t>
            </w:r>
          </w:p>
        </w:tc>
      </w:tr>
      <w:tr w:rsidR="00BA5002" w14:paraId="13FAEFE1" w14:textId="77777777">
        <w:tc>
          <w:tcPr>
            <w:tcW w:w="2450" w:type="dxa"/>
            <w:shd w:val="clear" w:color="auto" w:fill="F7F9FC"/>
            <w:tcMar>
              <w:top w:w="80" w:type="dxa"/>
              <w:left w:w="120" w:type="dxa"/>
              <w:bottom w:w="80" w:type="dxa"/>
              <w:right w:w="120" w:type="dxa"/>
            </w:tcMar>
            <w:vAlign w:val="center"/>
          </w:tcPr>
          <w:p w14:paraId="27AF8CF6" w14:textId="77777777" w:rsidR="00BA5002" w:rsidRDefault="00000000">
            <w:pPr>
              <w:spacing w:after="0" w:line="259" w:lineRule="auto"/>
            </w:pPr>
            <w:r>
              <w:rPr>
                <w:sz w:val="18"/>
              </w:rPr>
              <w:t>How much can the owner comfortably save?</w:t>
            </w:r>
          </w:p>
        </w:tc>
        <w:tc>
          <w:tcPr>
            <w:tcW w:w="6910" w:type="dxa"/>
            <w:shd w:val="clear" w:color="auto" w:fill="F7F9FC"/>
            <w:tcMar>
              <w:top w:w="80" w:type="dxa"/>
              <w:left w:w="120" w:type="dxa"/>
              <w:bottom w:w="80" w:type="dxa"/>
              <w:right w:w="120" w:type="dxa"/>
            </w:tcMar>
            <w:vAlign w:val="center"/>
          </w:tcPr>
          <w:p w14:paraId="14BF8FC3" w14:textId="77777777" w:rsidR="00BA5002" w:rsidRDefault="00000000">
            <w:pPr>
              <w:spacing w:after="0" w:line="259" w:lineRule="auto"/>
            </w:pPr>
            <w:r>
              <w:rPr>
                <w:sz w:val="18"/>
              </w:rPr>
              <w:t>A plan should fit actual cash flow, not merely produce the largest theoretical deduction.</w:t>
            </w:r>
          </w:p>
        </w:tc>
      </w:tr>
      <w:tr w:rsidR="00BA5002" w14:paraId="6D2F1CFE" w14:textId="77777777">
        <w:tc>
          <w:tcPr>
            <w:tcW w:w="2450" w:type="dxa"/>
            <w:tcMar>
              <w:top w:w="80" w:type="dxa"/>
              <w:left w:w="120" w:type="dxa"/>
              <w:bottom w:w="80" w:type="dxa"/>
              <w:right w:w="120" w:type="dxa"/>
            </w:tcMar>
            <w:vAlign w:val="center"/>
          </w:tcPr>
          <w:p w14:paraId="1CD13B85" w14:textId="77777777" w:rsidR="00BA5002" w:rsidRDefault="00000000">
            <w:pPr>
              <w:spacing w:after="0" w:line="259" w:lineRule="auto"/>
            </w:pPr>
            <w:r>
              <w:rPr>
                <w:sz w:val="18"/>
              </w:rPr>
              <w:t>How much employer funding is acceptable for staff?</w:t>
            </w:r>
          </w:p>
        </w:tc>
        <w:tc>
          <w:tcPr>
            <w:tcW w:w="6910" w:type="dxa"/>
            <w:tcMar>
              <w:top w:w="80" w:type="dxa"/>
              <w:left w:w="120" w:type="dxa"/>
              <w:bottom w:w="80" w:type="dxa"/>
              <w:right w:w="120" w:type="dxa"/>
            </w:tcMar>
            <w:vAlign w:val="center"/>
          </w:tcPr>
          <w:p w14:paraId="21E51A4F" w14:textId="77777777" w:rsidR="00BA5002" w:rsidRDefault="00000000">
            <w:pPr>
              <w:spacing w:after="0" w:line="259" w:lineRule="auto"/>
            </w:pPr>
            <w:r>
              <w:rPr>
                <w:sz w:val="18"/>
              </w:rPr>
              <w:t>SEP and Safe Harbor formulas can create meaningful employee contribution costs.</w:t>
            </w:r>
          </w:p>
        </w:tc>
      </w:tr>
      <w:tr w:rsidR="00BA5002" w14:paraId="46C3894A" w14:textId="77777777">
        <w:tc>
          <w:tcPr>
            <w:tcW w:w="2450" w:type="dxa"/>
            <w:shd w:val="clear" w:color="auto" w:fill="F7F9FC"/>
            <w:tcMar>
              <w:top w:w="80" w:type="dxa"/>
              <w:left w:w="120" w:type="dxa"/>
              <w:bottom w:w="80" w:type="dxa"/>
              <w:right w:w="120" w:type="dxa"/>
            </w:tcMar>
            <w:vAlign w:val="center"/>
          </w:tcPr>
          <w:p w14:paraId="43782360" w14:textId="77777777" w:rsidR="00BA5002" w:rsidRDefault="00000000">
            <w:pPr>
              <w:spacing w:after="0" w:line="259" w:lineRule="auto"/>
            </w:pPr>
            <w:r>
              <w:rPr>
                <w:sz w:val="18"/>
              </w:rPr>
              <w:t>Traditional or Roth?</w:t>
            </w:r>
          </w:p>
        </w:tc>
        <w:tc>
          <w:tcPr>
            <w:tcW w:w="6910" w:type="dxa"/>
            <w:shd w:val="clear" w:color="auto" w:fill="F7F9FC"/>
            <w:tcMar>
              <w:top w:w="80" w:type="dxa"/>
              <w:left w:w="120" w:type="dxa"/>
              <w:bottom w:w="80" w:type="dxa"/>
              <w:right w:w="120" w:type="dxa"/>
            </w:tcMar>
            <w:vAlign w:val="center"/>
          </w:tcPr>
          <w:p w14:paraId="72F1F150" w14:textId="77777777" w:rsidR="00BA5002" w:rsidRDefault="00000000">
            <w:pPr>
              <w:spacing w:after="0" w:line="259" w:lineRule="auto"/>
            </w:pPr>
            <w:r>
              <w:rPr>
                <w:sz w:val="18"/>
              </w:rPr>
              <w:t>Current tax bracket, expected future tax rate, time horizon, liquidity, and diversification of tax buckets matter.</w:t>
            </w:r>
          </w:p>
        </w:tc>
      </w:tr>
      <w:tr w:rsidR="00BA5002" w14:paraId="53BCD013" w14:textId="77777777">
        <w:tc>
          <w:tcPr>
            <w:tcW w:w="2450" w:type="dxa"/>
            <w:tcMar>
              <w:top w:w="80" w:type="dxa"/>
              <w:left w:w="120" w:type="dxa"/>
              <w:bottom w:w="80" w:type="dxa"/>
              <w:right w:w="120" w:type="dxa"/>
            </w:tcMar>
            <w:vAlign w:val="center"/>
          </w:tcPr>
          <w:p w14:paraId="5676C634" w14:textId="77777777" w:rsidR="00BA5002" w:rsidRDefault="00000000">
            <w:pPr>
              <w:spacing w:after="0" w:line="259" w:lineRule="auto"/>
            </w:pPr>
            <w:r>
              <w:rPr>
                <w:sz w:val="18"/>
              </w:rPr>
              <w:t>Will hiring change soon?</w:t>
            </w:r>
          </w:p>
        </w:tc>
        <w:tc>
          <w:tcPr>
            <w:tcW w:w="6910" w:type="dxa"/>
            <w:tcMar>
              <w:top w:w="80" w:type="dxa"/>
              <w:left w:w="120" w:type="dxa"/>
              <w:bottom w:w="80" w:type="dxa"/>
              <w:right w:w="120" w:type="dxa"/>
            </w:tcMar>
            <w:vAlign w:val="center"/>
          </w:tcPr>
          <w:p w14:paraId="259EAF6E" w14:textId="77777777" w:rsidR="00BA5002" w:rsidRDefault="00000000">
            <w:pPr>
              <w:spacing w:after="0" w:line="259" w:lineRule="auto"/>
            </w:pPr>
            <w:r>
              <w:rPr>
                <w:sz w:val="18"/>
              </w:rPr>
              <w:t>A Solo 401(k) or SEP decision can look very different once employees become eligible.</w:t>
            </w:r>
          </w:p>
        </w:tc>
      </w:tr>
    </w:tbl>
    <w:p w14:paraId="0D873CD3" w14:textId="77777777" w:rsidR="00BA5002" w:rsidRDefault="00BA5002">
      <w:pPr>
        <w:spacing w:after="20"/>
      </w:pPr>
    </w:p>
    <w:p w14:paraId="18352EEA" w14:textId="77777777" w:rsidR="00BA5002" w:rsidRDefault="00000000">
      <w:pPr>
        <w:pStyle w:val="SourceNote"/>
      </w:pPr>
      <w:r>
        <w:t xml:space="preserve">Source: </w:t>
      </w:r>
      <w:hyperlink r:id="rId16">
        <w:r>
          <w:rPr>
            <w:color w:val="2B70E4"/>
            <w:sz w:val="18"/>
            <w:u w:val="single"/>
          </w:rPr>
          <w:t>IRS - S corporation compensation guidance</w:t>
        </w:r>
      </w:hyperlink>
    </w:p>
    <w:p w14:paraId="4B558CB1" w14:textId="77777777" w:rsidR="00BA5002" w:rsidRDefault="00000000">
      <w:pPr>
        <w:pStyle w:val="Heading1"/>
      </w:pPr>
      <w:r>
        <w:lastRenderedPageBreak/>
        <w:t>The CFP Lens: A Deduction Is Not the Whole Decision</w:t>
      </w:r>
    </w:p>
    <w:p w14:paraId="2C03394B" w14:textId="77777777" w:rsidR="00BA5002" w:rsidRDefault="00000000">
      <w:r>
        <w:t>The tax deduction is valuable, but retirement-plan design should also support the owner's broader financial plan.</w:t>
      </w:r>
    </w:p>
    <w:p w14:paraId="12B9C7AB" w14:textId="77777777" w:rsidR="00BA5002" w:rsidRDefault="00000000">
      <w:pPr>
        <w:numPr>
          <w:ilvl w:val="0"/>
          <w:numId w:val="1"/>
        </w:numPr>
      </w:pPr>
      <w:r>
        <w:t>Liquidity: Do not lock so much cash into retirement accounts that the business or household lacks an adequate reserve.</w:t>
      </w:r>
    </w:p>
    <w:p w14:paraId="7C2DA14A" w14:textId="77777777" w:rsidR="00BA5002" w:rsidRDefault="00000000">
      <w:pPr>
        <w:numPr>
          <w:ilvl w:val="0"/>
          <w:numId w:val="1"/>
        </w:numPr>
      </w:pPr>
      <w:r>
        <w:t>Tax diversification: Compare traditional pre-tax savings with Roth savings rather than assuming the largest current deduction is always best.</w:t>
      </w:r>
    </w:p>
    <w:p w14:paraId="7D91A098" w14:textId="77777777" w:rsidR="00BA5002" w:rsidRDefault="00000000">
      <w:pPr>
        <w:numPr>
          <w:ilvl w:val="0"/>
          <w:numId w:val="1"/>
        </w:numPr>
      </w:pPr>
      <w:r>
        <w:t>Investment menu and fees: Low administrative cost is not the same as low total cost. Review investment expenses, advisory fees, recordkeeping, and TPA charges.</w:t>
      </w:r>
    </w:p>
    <w:p w14:paraId="56CAEC37" w14:textId="77777777" w:rsidR="00BA5002" w:rsidRDefault="00000000">
      <w:pPr>
        <w:numPr>
          <w:ilvl w:val="0"/>
          <w:numId w:val="1"/>
        </w:numPr>
      </w:pPr>
      <w:r>
        <w:t>Business concentration: Owners often already have substantial net worth tied to their company. Retirement assets can help diversify away from the business.</w:t>
      </w:r>
    </w:p>
    <w:p w14:paraId="41D4E3B4" w14:textId="77777777" w:rsidR="00BA5002" w:rsidRDefault="00000000">
      <w:pPr>
        <w:numPr>
          <w:ilvl w:val="0"/>
          <w:numId w:val="1"/>
        </w:numPr>
      </w:pPr>
      <w:r>
        <w:t>Exit and retirement timing: The preferred contribution strategy can change as the owner approaches a sale, retirement, RMD years, or Medicare IRMAA-sensitive years.</w:t>
      </w:r>
    </w:p>
    <w:p w14:paraId="1F30558C" w14:textId="77777777" w:rsidR="00BA5002" w:rsidRDefault="00000000">
      <w:pPr>
        <w:pStyle w:val="Heading1"/>
      </w:pPr>
      <w:r>
        <w:t>Do Not Miss the Small-Employer Tax Credits</w:t>
      </w:r>
    </w:p>
    <w:p w14:paraId="1C4E9794" w14:textId="77777777" w:rsidR="00BA5002" w:rsidRDefault="00000000">
      <w:r>
        <w:t>SECURE 2.0 made the federal tax credits for establishing and funding certain small-employer retirement plans much more meaningful. These credits can materially offset the first years of plan cost.</w:t>
      </w:r>
    </w:p>
    <w:p w14:paraId="0E19D9B1" w14:textId="77777777" w:rsidR="00BA5002" w:rsidRDefault="00000000">
      <w:pPr>
        <w:pStyle w:val="Heading2"/>
      </w:pPr>
      <w:r>
        <w:t>Startup-cost credit</w:t>
      </w:r>
    </w:p>
    <w:p w14:paraId="10C11560" w14:textId="77777777" w:rsidR="00BA5002" w:rsidRDefault="00000000">
      <w:pPr>
        <w:numPr>
          <w:ilvl w:val="0"/>
          <w:numId w:val="1"/>
        </w:numPr>
      </w:pPr>
      <w:r>
        <w:t>An eligible employer may claim a credit for qualified costs of establishing/administering an eligible plan and educating employees.</w:t>
      </w:r>
    </w:p>
    <w:p w14:paraId="5A5DAE95" w14:textId="77777777" w:rsidR="00BA5002" w:rsidRDefault="00000000">
      <w:pPr>
        <w:numPr>
          <w:ilvl w:val="0"/>
          <w:numId w:val="1"/>
        </w:numPr>
      </w:pPr>
      <w:r>
        <w:t>For an eligible employer with 1-50 employees, the credit is generally 100% of qualified startup costs, subject to a formula and a maximum of $5,000 per year for up to three years.</w:t>
      </w:r>
    </w:p>
    <w:p w14:paraId="56FF787F" w14:textId="77777777" w:rsidR="00BA5002" w:rsidRDefault="00000000">
      <w:pPr>
        <w:numPr>
          <w:ilvl w:val="0"/>
          <w:numId w:val="1"/>
        </w:numPr>
      </w:pPr>
      <w:r>
        <w:t>For an eligible employer with 51-100 employees, the percentage is generally 50%, subject to the same statutory limit formula.</w:t>
      </w:r>
    </w:p>
    <w:p w14:paraId="21BE8F55" w14:textId="77777777" w:rsidR="00BA5002" w:rsidRDefault="00000000">
      <w:pPr>
        <w:pStyle w:val="Heading2"/>
      </w:pPr>
      <w:r>
        <w:t>Employer-contribution and auto-enrollment credits</w:t>
      </w:r>
    </w:p>
    <w:p w14:paraId="268D78A3" w14:textId="77777777" w:rsidR="00BA5002" w:rsidRDefault="00000000">
      <w:pPr>
        <w:numPr>
          <w:ilvl w:val="0"/>
          <w:numId w:val="1"/>
        </w:numPr>
      </w:pPr>
      <w:r>
        <w:t>Certain small employers can qualify for an additional credit tied to qualifying employer contributions, subject to employee-count, compensation, plan-year, and per-employee limitations.</w:t>
      </w:r>
    </w:p>
    <w:p w14:paraId="1C59C701" w14:textId="77777777" w:rsidR="00BA5002" w:rsidRDefault="00000000">
      <w:pPr>
        <w:numPr>
          <w:ilvl w:val="0"/>
          <w:numId w:val="1"/>
        </w:numPr>
      </w:pPr>
      <w:r>
        <w:t>An eligible employer adding a qualifying automatic-enrollment feature may be eligible for a separate $500 annual credit for three years.</w:t>
      </w:r>
    </w:p>
    <w:tbl>
      <w:tblPr>
        <w:tblStyle w:val="TableGrid"/>
        <w:tblW w:w="9360" w:type="dxa"/>
        <w:tblInd w:w="120" w:type="dxa"/>
        <w:tblLayout w:type="fixed"/>
        <w:tblLook w:val="04A0" w:firstRow="1" w:lastRow="0" w:firstColumn="1" w:lastColumn="0" w:noHBand="0" w:noVBand="1"/>
      </w:tblPr>
      <w:tblGrid>
        <w:gridCol w:w="9360"/>
      </w:tblGrid>
      <w:tr w:rsidR="00BA5002" w14:paraId="780AF5C8" w14:textId="77777777">
        <w:tc>
          <w:tcPr>
            <w:tcW w:w="9360" w:type="dxa"/>
            <w:shd w:val="clear" w:color="auto" w:fill="EEF5FF"/>
            <w:tcMar>
              <w:top w:w="80" w:type="dxa"/>
              <w:left w:w="120" w:type="dxa"/>
              <w:bottom w:w="80" w:type="dxa"/>
              <w:right w:w="120" w:type="dxa"/>
            </w:tcMar>
            <w:vAlign w:val="center"/>
          </w:tcPr>
          <w:p w14:paraId="3B343746" w14:textId="77777777" w:rsidR="00BA5002" w:rsidRDefault="00000000">
            <w:pPr>
              <w:spacing w:after="60"/>
            </w:pPr>
            <w:r>
              <w:rPr>
                <w:b/>
                <w:color w:val="06327D"/>
              </w:rPr>
              <w:lastRenderedPageBreak/>
              <w:t>Tax return action item</w:t>
            </w:r>
          </w:p>
          <w:p w14:paraId="5D393DF6" w14:textId="77777777" w:rsidR="00BA5002" w:rsidRDefault="00000000">
            <w:pPr>
              <w:spacing w:after="0" w:line="283" w:lineRule="auto"/>
            </w:pPr>
            <w:r>
              <w:rPr>
                <w:sz w:val="20"/>
              </w:rPr>
              <w:t>When a client starts or materially redesigns a retirement plan, ask for the plan adoption documents, provider/TPA invoices, eligible-employee census, employer contribution detail, and auto-enrollment information so Form 8881 credits can be evaluated. The same expense generally cannot both generate the startup credit and a deduction.</w:t>
            </w:r>
          </w:p>
        </w:tc>
      </w:tr>
    </w:tbl>
    <w:p w14:paraId="5783FDAE" w14:textId="77777777" w:rsidR="00BA5002" w:rsidRDefault="00BA5002">
      <w:pPr>
        <w:spacing w:after="20"/>
      </w:pPr>
    </w:p>
    <w:p w14:paraId="7DA7D825" w14:textId="77777777" w:rsidR="00BA5002" w:rsidRDefault="00000000">
      <w:pPr>
        <w:pStyle w:val="SourceNote"/>
      </w:pPr>
      <w:r>
        <w:t xml:space="preserve">Source: </w:t>
      </w:r>
      <w:hyperlink r:id="rId17">
        <w:r>
          <w:rPr>
            <w:color w:val="2B70E4"/>
            <w:sz w:val="18"/>
            <w:u w:val="single"/>
          </w:rPr>
          <w:t>IRS - Retirement plans startup costs tax credit</w:t>
        </w:r>
      </w:hyperlink>
    </w:p>
    <w:p w14:paraId="2B1BFEC6" w14:textId="77777777" w:rsidR="00BA5002" w:rsidRDefault="00000000">
      <w:pPr>
        <w:pStyle w:val="SourceNote"/>
      </w:pPr>
      <w:r>
        <w:t xml:space="preserve">Source: </w:t>
      </w:r>
      <w:hyperlink r:id="rId18">
        <w:r>
          <w:rPr>
            <w:color w:val="2B70E4"/>
            <w:sz w:val="18"/>
            <w:u w:val="single"/>
          </w:rPr>
          <w:t>IRS - Instructions for Form 8881</w:t>
        </w:r>
      </w:hyperlink>
    </w:p>
    <w:p w14:paraId="6C09CB2B" w14:textId="77777777" w:rsidR="00BA5002" w:rsidRDefault="00000000">
      <w:pPr>
        <w:pStyle w:val="Heading1"/>
      </w:pPr>
      <w:r>
        <w:t>Practical Selection Guide</w:t>
      </w:r>
    </w:p>
    <w:tbl>
      <w:tblPr>
        <w:tblStyle w:val="TableGrid"/>
        <w:tblW w:w="9360" w:type="dxa"/>
        <w:tblInd w:w="120" w:type="dxa"/>
        <w:tblLayout w:type="fixed"/>
        <w:tblLook w:val="04A0" w:firstRow="1" w:lastRow="0" w:firstColumn="1" w:lastColumn="0" w:noHBand="0" w:noVBand="1"/>
      </w:tblPr>
      <w:tblGrid>
        <w:gridCol w:w="3100"/>
        <w:gridCol w:w="6260"/>
      </w:tblGrid>
      <w:tr w:rsidR="00BA5002" w14:paraId="2E925C92" w14:textId="77777777">
        <w:trPr>
          <w:tblHeader/>
        </w:trPr>
        <w:tc>
          <w:tcPr>
            <w:tcW w:w="3100" w:type="dxa"/>
            <w:shd w:val="clear" w:color="auto" w:fill="06327D"/>
            <w:tcMar>
              <w:top w:w="80" w:type="dxa"/>
              <w:left w:w="120" w:type="dxa"/>
              <w:bottom w:w="80" w:type="dxa"/>
              <w:right w:w="120" w:type="dxa"/>
            </w:tcMar>
            <w:vAlign w:val="center"/>
          </w:tcPr>
          <w:p w14:paraId="4EC41746" w14:textId="77777777" w:rsidR="00BA5002" w:rsidRDefault="00000000">
            <w:pPr>
              <w:spacing w:after="0" w:line="252" w:lineRule="auto"/>
              <w:jc w:val="center"/>
            </w:pPr>
            <w:r>
              <w:rPr>
                <w:b/>
                <w:color w:val="FFFFFF"/>
                <w:sz w:val="18"/>
              </w:rPr>
              <w:t>If the client says...</w:t>
            </w:r>
          </w:p>
        </w:tc>
        <w:tc>
          <w:tcPr>
            <w:tcW w:w="6260" w:type="dxa"/>
            <w:shd w:val="clear" w:color="auto" w:fill="06327D"/>
            <w:tcMar>
              <w:top w:w="80" w:type="dxa"/>
              <w:left w:w="120" w:type="dxa"/>
              <w:bottom w:w="80" w:type="dxa"/>
              <w:right w:w="120" w:type="dxa"/>
            </w:tcMar>
            <w:vAlign w:val="center"/>
          </w:tcPr>
          <w:p w14:paraId="53BDAC93" w14:textId="77777777" w:rsidR="00BA5002" w:rsidRDefault="00000000">
            <w:pPr>
              <w:spacing w:after="0" w:line="252" w:lineRule="auto"/>
              <w:jc w:val="center"/>
            </w:pPr>
            <w:r>
              <w:rPr>
                <w:b/>
                <w:color w:val="FFFFFF"/>
                <w:sz w:val="18"/>
              </w:rPr>
              <w:t>Start by evaluating...</w:t>
            </w:r>
          </w:p>
        </w:tc>
      </w:tr>
      <w:tr w:rsidR="00BA5002" w14:paraId="3C4CABFD" w14:textId="77777777">
        <w:tc>
          <w:tcPr>
            <w:tcW w:w="3100" w:type="dxa"/>
            <w:tcMar>
              <w:top w:w="80" w:type="dxa"/>
              <w:left w:w="120" w:type="dxa"/>
              <w:bottom w:w="80" w:type="dxa"/>
              <w:right w:w="120" w:type="dxa"/>
            </w:tcMar>
            <w:vAlign w:val="center"/>
          </w:tcPr>
          <w:p w14:paraId="3FF6065C" w14:textId="77777777" w:rsidR="00BA5002" w:rsidRDefault="00000000">
            <w:pPr>
              <w:spacing w:after="0" w:line="259" w:lineRule="auto"/>
            </w:pPr>
            <w:r>
              <w:rPr>
                <w:sz w:val="18"/>
              </w:rPr>
              <w:t>"I want something simple and employees need to save through payroll."</w:t>
            </w:r>
          </w:p>
        </w:tc>
        <w:tc>
          <w:tcPr>
            <w:tcW w:w="6260" w:type="dxa"/>
            <w:tcMar>
              <w:top w:w="80" w:type="dxa"/>
              <w:left w:w="120" w:type="dxa"/>
              <w:bottom w:w="80" w:type="dxa"/>
              <w:right w:w="120" w:type="dxa"/>
            </w:tcMar>
            <w:vAlign w:val="center"/>
          </w:tcPr>
          <w:p w14:paraId="5C5ECF89" w14:textId="77777777" w:rsidR="00BA5002" w:rsidRDefault="00000000">
            <w:pPr>
              <w:spacing w:after="0" w:line="259" w:lineRule="auto"/>
            </w:pPr>
            <w:r>
              <w:rPr>
                <w:sz w:val="18"/>
              </w:rPr>
              <w:t>SIMPLE IRA</w:t>
            </w:r>
          </w:p>
        </w:tc>
      </w:tr>
      <w:tr w:rsidR="00BA5002" w14:paraId="295BC1E9" w14:textId="77777777">
        <w:tc>
          <w:tcPr>
            <w:tcW w:w="3100" w:type="dxa"/>
            <w:shd w:val="clear" w:color="auto" w:fill="F7F9FC"/>
            <w:tcMar>
              <w:top w:w="80" w:type="dxa"/>
              <w:left w:w="120" w:type="dxa"/>
              <w:bottom w:w="80" w:type="dxa"/>
              <w:right w:w="120" w:type="dxa"/>
            </w:tcMar>
            <w:vAlign w:val="center"/>
          </w:tcPr>
          <w:p w14:paraId="646ECDFE" w14:textId="77777777" w:rsidR="00BA5002" w:rsidRDefault="00000000">
            <w:pPr>
              <w:spacing w:after="0" w:line="259" w:lineRule="auto"/>
            </w:pPr>
            <w:r>
              <w:rPr>
                <w:sz w:val="18"/>
              </w:rPr>
              <w:t>"I want maximum flexibility to contribute or skip the employer contribution each year."</w:t>
            </w:r>
          </w:p>
        </w:tc>
        <w:tc>
          <w:tcPr>
            <w:tcW w:w="6260" w:type="dxa"/>
            <w:shd w:val="clear" w:color="auto" w:fill="F7F9FC"/>
            <w:tcMar>
              <w:top w:w="80" w:type="dxa"/>
              <w:left w:w="120" w:type="dxa"/>
              <w:bottom w:w="80" w:type="dxa"/>
              <w:right w:w="120" w:type="dxa"/>
            </w:tcMar>
            <w:vAlign w:val="center"/>
          </w:tcPr>
          <w:p w14:paraId="09E17540" w14:textId="77777777" w:rsidR="00BA5002" w:rsidRDefault="00000000">
            <w:pPr>
              <w:spacing w:after="0" w:line="259" w:lineRule="auto"/>
            </w:pPr>
            <w:r>
              <w:rPr>
                <w:sz w:val="18"/>
              </w:rPr>
              <w:t>SEP IRA, especially with few/no employees</w:t>
            </w:r>
          </w:p>
        </w:tc>
      </w:tr>
      <w:tr w:rsidR="00BA5002" w14:paraId="4E627BAC" w14:textId="77777777">
        <w:tc>
          <w:tcPr>
            <w:tcW w:w="3100" w:type="dxa"/>
            <w:tcMar>
              <w:top w:w="80" w:type="dxa"/>
              <w:left w:w="120" w:type="dxa"/>
              <w:bottom w:w="80" w:type="dxa"/>
              <w:right w:w="120" w:type="dxa"/>
            </w:tcMar>
            <w:vAlign w:val="center"/>
          </w:tcPr>
          <w:p w14:paraId="402AE12F" w14:textId="77777777" w:rsidR="00BA5002" w:rsidRDefault="00000000">
            <w:pPr>
              <w:spacing w:after="0" w:line="259" w:lineRule="auto"/>
            </w:pPr>
            <w:r>
              <w:rPr>
                <w:sz w:val="18"/>
              </w:rPr>
              <w:t>"I have no employees and want high contribution flexibility."</w:t>
            </w:r>
          </w:p>
        </w:tc>
        <w:tc>
          <w:tcPr>
            <w:tcW w:w="6260" w:type="dxa"/>
            <w:tcMar>
              <w:top w:w="80" w:type="dxa"/>
              <w:left w:w="120" w:type="dxa"/>
              <w:bottom w:w="80" w:type="dxa"/>
              <w:right w:w="120" w:type="dxa"/>
            </w:tcMar>
            <w:vAlign w:val="center"/>
          </w:tcPr>
          <w:p w14:paraId="480DA43C" w14:textId="77777777" w:rsidR="00BA5002" w:rsidRDefault="00000000">
            <w:pPr>
              <w:spacing w:after="0" w:line="259" w:lineRule="auto"/>
            </w:pPr>
            <w:r>
              <w:rPr>
                <w:sz w:val="18"/>
              </w:rPr>
              <w:t>Solo 401(k)</w:t>
            </w:r>
          </w:p>
        </w:tc>
      </w:tr>
      <w:tr w:rsidR="00BA5002" w14:paraId="5F54B92D" w14:textId="77777777">
        <w:tc>
          <w:tcPr>
            <w:tcW w:w="3100" w:type="dxa"/>
            <w:shd w:val="clear" w:color="auto" w:fill="F7F9FC"/>
            <w:tcMar>
              <w:top w:w="80" w:type="dxa"/>
              <w:left w:w="120" w:type="dxa"/>
              <w:bottom w:w="80" w:type="dxa"/>
              <w:right w:w="120" w:type="dxa"/>
            </w:tcMar>
            <w:vAlign w:val="center"/>
          </w:tcPr>
          <w:p w14:paraId="332F4236" w14:textId="77777777" w:rsidR="00BA5002" w:rsidRDefault="00000000">
            <w:pPr>
              <w:spacing w:after="0" w:line="259" w:lineRule="auto"/>
            </w:pPr>
            <w:r>
              <w:rPr>
                <w:sz w:val="18"/>
              </w:rPr>
              <w:t>"I have employees and want to maximize owner savings."</w:t>
            </w:r>
          </w:p>
        </w:tc>
        <w:tc>
          <w:tcPr>
            <w:tcW w:w="6260" w:type="dxa"/>
            <w:shd w:val="clear" w:color="auto" w:fill="F7F9FC"/>
            <w:tcMar>
              <w:top w:w="80" w:type="dxa"/>
              <w:left w:w="120" w:type="dxa"/>
              <w:bottom w:w="80" w:type="dxa"/>
              <w:right w:w="120" w:type="dxa"/>
            </w:tcMar>
            <w:vAlign w:val="center"/>
          </w:tcPr>
          <w:p w14:paraId="370BEB75" w14:textId="77777777" w:rsidR="00BA5002" w:rsidRDefault="00000000">
            <w:pPr>
              <w:spacing w:after="0" w:line="259" w:lineRule="auto"/>
            </w:pPr>
            <w:r>
              <w:rPr>
                <w:sz w:val="18"/>
              </w:rPr>
              <w:t>Safe Harbor 401(k), potentially with profit sharing</w:t>
            </w:r>
          </w:p>
        </w:tc>
      </w:tr>
      <w:tr w:rsidR="00BA5002" w14:paraId="7DEB9C37" w14:textId="77777777">
        <w:tc>
          <w:tcPr>
            <w:tcW w:w="3100" w:type="dxa"/>
            <w:tcMar>
              <w:top w:w="80" w:type="dxa"/>
              <w:left w:w="120" w:type="dxa"/>
              <w:bottom w:w="80" w:type="dxa"/>
              <w:right w:w="120" w:type="dxa"/>
            </w:tcMar>
            <w:vAlign w:val="center"/>
          </w:tcPr>
          <w:p w14:paraId="5050CCBD" w14:textId="77777777" w:rsidR="00BA5002" w:rsidRDefault="00000000">
            <w:pPr>
              <w:spacing w:after="0" w:line="259" w:lineRule="auto"/>
            </w:pPr>
            <w:r>
              <w:rPr>
                <w:sz w:val="18"/>
              </w:rPr>
              <w:t>"I do not want a mandatory employer contribution."</w:t>
            </w:r>
          </w:p>
        </w:tc>
        <w:tc>
          <w:tcPr>
            <w:tcW w:w="6260" w:type="dxa"/>
            <w:tcMar>
              <w:top w:w="80" w:type="dxa"/>
              <w:left w:w="120" w:type="dxa"/>
              <w:bottom w:w="80" w:type="dxa"/>
              <w:right w:w="120" w:type="dxa"/>
            </w:tcMar>
            <w:vAlign w:val="center"/>
          </w:tcPr>
          <w:p w14:paraId="46CB3CE3" w14:textId="77777777" w:rsidR="00BA5002" w:rsidRDefault="00000000">
            <w:pPr>
              <w:spacing w:after="0" w:line="259" w:lineRule="auto"/>
            </w:pPr>
            <w:r>
              <w:rPr>
                <w:sz w:val="18"/>
              </w:rPr>
              <w:t>Traditional 401(k) may deserve analysis, understanding nondiscrimination testing risk</w:t>
            </w:r>
          </w:p>
        </w:tc>
      </w:tr>
      <w:tr w:rsidR="00BA5002" w14:paraId="031958C0" w14:textId="77777777">
        <w:tc>
          <w:tcPr>
            <w:tcW w:w="3100" w:type="dxa"/>
            <w:shd w:val="clear" w:color="auto" w:fill="F7F9FC"/>
            <w:tcMar>
              <w:top w:w="80" w:type="dxa"/>
              <w:left w:w="120" w:type="dxa"/>
              <w:bottom w:w="80" w:type="dxa"/>
              <w:right w:w="120" w:type="dxa"/>
            </w:tcMar>
            <w:vAlign w:val="center"/>
          </w:tcPr>
          <w:p w14:paraId="52D4DC52" w14:textId="77777777" w:rsidR="00BA5002" w:rsidRDefault="00000000">
            <w:pPr>
              <w:spacing w:after="0" w:line="259" w:lineRule="auto"/>
            </w:pPr>
            <w:r>
              <w:rPr>
                <w:sz w:val="18"/>
              </w:rPr>
              <w:t>"The 401(k) setup cost worries me."</w:t>
            </w:r>
          </w:p>
        </w:tc>
        <w:tc>
          <w:tcPr>
            <w:tcW w:w="6260" w:type="dxa"/>
            <w:shd w:val="clear" w:color="auto" w:fill="F7F9FC"/>
            <w:tcMar>
              <w:top w:w="80" w:type="dxa"/>
              <w:left w:w="120" w:type="dxa"/>
              <w:bottom w:w="80" w:type="dxa"/>
              <w:right w:w="120" w:type="dxa"/>
            </w:tcMar>
            <w:vAlign w:val="center"/>
          </w:tcPr>
          <w:p w14:paraId="4B1516D2" w14:textId="77777777" w:rsidR="00BA5002" w:rsidRDefault="00000000">
            <w:pPr>
              <w:spacing w:after="0" w:line="259" w:lineRule="auto"/>
            </w:pPr>
            <w:r>
              <w:rPr>
                <w:sz w:val="18"/>
              </w:rPr>
              <w:t>Model SECURE 2.0 startup/contribution/auto-enrollment credits before rejecting the plan</w:t>
            </w:r>
          </w:p>
        </w:tc>
      </w:tr>
    </w:tbl>
    <w:p w14:paraId="7E6E64C9" w14:textId="77777777" w:rsidR="00BA5002" w:rsidRDefault="00BA5002">
      <w:pPr>
        <w:spacing w:after="20"/>
      </w:pPr>
    </w:p>
    <w:p w14:paraId="6C1D6536" w14:textId="77777777" w:rsidR="00BA5002" w:rsidRDefault="00000000">
      <w:pPr>
        <w:pStyle w:val="Heading2"/>
      </w:pPr>
      <w:r>
        <w:t>Before establishing a plan</w:t>
      </w:r>
    </w:p>
    <w:p w14:paraId="3EC0B2A4" w14:textId="77777777" w:rsidR="00BA5002" w:rsidRDefault="00000000">
      <w:pPr>
        <w:numPr>
          <w:ilvl w:val="0"/>
          <w:numId w:val="1"/>
        </w:numPr>
      </w:pPr>
      <w:r>
        <w:t>Confirm ownership and related businesses for controlled-group or affiliated-service-group issues.</w:t>
      </w:r>
    </w:p>
    <w:p w14:paraId="01921852" w14:textId="77777777" w:rsidR="00BA5002" w:rsidRDefault="00000000">
      <w:pPr>
        <w:numPr>
          <w:ilvl w:val="0"/>
          <w:numId w:val="1"/>
        </w:numPr>
      </w:pPr>
      <w:r>
        <w:t>Prepare an employee census: age, compensation, hire date, hours/service, and ownership/family relationships as relevant.</w:t>
      </w:r>
    </w:p>
    <w:p w14:paraId="5CBBB3FD" w14:textId="77777777" w:rsidR="00BA5002" w:rsidRDefault="00000000">
      <w:pPr>
        <w:numPr>
          <w:ilvl w:val="0"/>
          <w:numId w:val="1"/>
        </w:numPr>
      </w:pPr>
      <w:r>
        <w:t>Model owner and employee contributions under at least two plan designs.</w:t>
      </w:r>
    </w:p>
    <w:p w14:paraId="27F4E594" w14:textId="77777777" w:rsidR="00BA5002" w:rsidRDefault="00000000">
      <w:pPr>
        <w:numPr>
          <w:ilvl w:val="0"/>
          <w:numId w:val="1"/>
        </w:numPr>
      </w:pPr>
      <w:r>
        <w:t>Confirm the provider supports desired features such as Roth, loans, profit sharing, automatic enrollment, and payroll integration.</w:t>
      </w:r>
    </w:p>
    <w:p w14:paraId="79181696" w14:textId="77777777" w:rsidR="00BA5002" w:rsidRDefault="00000000">
      <w:pPr>
        <w:numPr>
          <w:ilvl w:val="0"/>
          <w:numId w:val="1"/>
        </w:numPr>
      </w:pPr>
      <w:r>
        <w:t>Review establishment, notice, election, deposit, and funding deadlines with the TPA/provider before year-end planning.</w:t>
      </w:r>
    </w:p>
    <w:p w14:paraId="2C275EB2" w14:textId="77777777" w:rsidR="00BA5002" w:rsidRDefault="00000000">
      <w:pPr>
        <w:pStyle w:val="Heading1"/>
      </w:pPr>
      <w:r>
        <w:lastRenderedPageBreak/>
        <w:t>Primary Sources and 2026 Reference Links</w:t>
      </w:r>
    </w:p>
    <w:p w14:paraId="7D68A335" w14:textId="77777777" w:rsidR="00BA5002" w:rsidRDefault="00000000">
      <w:pPr>
        <w:spacing w:after="100"/>
      </w:pPr>
      <w:hyperlink r:id="rId19">
        <w:r>
          <w:rPr>
            <w:color w:val="2B70E4"/>
            <w:sz w:val="18"/>
            <w:u w:val="single"/>
          </w:rPr>
          <w:t>IRS 2026 retirement-plan limits</w:t>
        </w:r>
      </w:hyperlink>
    </w:p>
    <w:p w14:paraId="324A3293" w14:textId="77777777" w:rsidR="00BA5002" w:rsidRDefault="00000000">
      <w:pPr>
        <w:spacing w:after="100"/>
      </w:pPr>
      <w:hyperlink r:id="rId20">
        <w:r>
          <w:rPr>
            <w:color w:val="2B70E4"/>
            <w:sz w:val="18"/>
            <w:u w:val="single"/>
          </w:rPr>
          <w:t>IRS Publication 560 - Retirement Plans for Small Business</w:t>
        </w:r>
      </w:hyperlink>
    </w:p>
    <w:p w14:paraId="6382F0DD" w14:textId="77777777" w:rsidR="00BA5002" w:rsidRDefault="00000000">
      <w:pPr>
        <w:spacing w:after="100"/>
      </w:pPr>
      <w:hyperlink r:id="rId21">
        <w:r>
          <w:rPr>
            <w:color w:val="2B70E4"/>
            <w:sz w:val="18"/>
            <w:u w:val="single"/>
          </w:rPr>
          <w:t>IRS SIMPLE IRA plan guidance</w:t>
        </w:r>
      </w:hyperlink>
    </w:p>
    <w:p w14:paraId="315F48B8" w14:textId="77777777" w:rsidR="00BA5002" w:rsidRDefault="00000000">
      <w:pPr>
        <w:spacing w:after="100"/>
      </w:pPr>
      <w:hyperlink r:id="rId22">
        <w:r>
          <w:rPr>
            <w:color w:val="2B70E4"/>
            <w:sz w:val="18"/>
            <w:u w:val="single"/>
          </w:rPr>
          <w:t>IRS SECURE 2.0 Roth SEP/SIMPLE reporting guidance</w:t>
        </w:r>
      </w:hyperlink>
    </w:p>
    <w:p w14:paraId="2F758D0B" w14:textId="77777777" w:rsidR="00BA5002" w:rsidRDefault="00000000">
      <w:pPr>
        <w:spacing w:after="100"/>
      </w:pPr>
      <w:hyperlink r:id="rId23">
        <w:r>
          <w:rPr>
            <w:color w:val="2B70E4"/>
            <w:sz w:val="18"/>
            <w:u w:val="single"/>
          </w:rPr>
          <w:t>IRS Operating a 401(k) plan</w:t>
        </w:r>
      </w:hyperlink>
    </w:p>
    <w:p w14:paraId="4BB09C70" w14:textId="77777777" w:rsidR="00BA5002" w:rsidRDefault="00000000">
      <w:pPr>
        <w:spacing w:after="100"/>
      </w:pPr>
      <w:hyperlink r:id="rId24">
        <w:r>
          <w:rPr>
            <w:color w:val="2B70E4"/>
            <w:sz w:val="18"/>
            <w:u w:val="single"/>
          </w:rPr>
          <w:t>IRS One-Participant 401(k) Plans</w:t>
        </w:r>
      </w:hyperlink>
    </w:p>
    <w:p w14:paraId="516E4C6E" w14:textId="77777777" w:rsidR="00BA5002" w:rsidRDefault="00000000">
      <w:pPr>
        <w:spacing w:after="100"/>
      </w:pPr>
      <w:hyperlink r:id="rId25">
        <w:r>
          <w:rPr>
            <w:color w:val="2B70E4"/>
            <w:sz w:val="18"/>
            <w:u w:val="single"/>
          </w:rPr>
          <w:t>IRS S-corporation retirement-plan FAQ</w:t>
        </w:r>
      </w:hyperlink>
    </w:p>
    <w:p w14:paraId="0F76E657" w14:textId="77777777" w:rsidR="00BA5002" w:rsidRDefault="00000000">
      <w:pPr>
        <w:spacing w:after="100"/>
      </w:pPr>
      <w:hyperlink r:id="rId26">
        <w:r>
          <w:rPr>
            <w:color w:val="2B70E4"/>
            <w:sz w:val="18"/>
            <w:u w:val="single"/>
          </w:rPr>
          <w:t>IRS Retirement plans startup costs tax credit</w:t>
        </w:r>
      </w:hyperlink>
    </w:p>
    <w:p w14:paraId="5F6F4AEE" w14:textId="77777777" w:rsidR="00BA5002" w:rsidRDefault="00000000">
      <w:pPr>
        <w:spacing w:after="100"/>
      </w:pPr>
      <w:hyperlink r:id="rId27">
        <w:r>
          <w:rPr>
            <w:color w:val="2B70E4"/>
            <w:sz w:val="18"/>
            <w:u w:val="single"/>
          </w:rPr>
          <w:t>IRS Form 8881 instructions</w:t>
        </w:r>
      </w:hyperlink>
    </w:p>
    <w:p w14:paraId="4B9A768F" w14:textId="77777777" w:rsidR="00BA5002" w:rsidRDefault="00000000">
      <w:pPr>
        <w:spacing w:after="160"/>
      </w:pPr>
      <w:r>
        <w:rPr>
          <w:i/>
          <w:color w:val="5B6573"/>
          <w:sz w:val="17"/>
        </w:rPr>
        <w:t>Prepared using federal guidance available as of August 7, 2026. Dollar limits are indexed and generally change annually. State tax treatment and plan-provider implementation may differ.</w:t>
      </w:r>
    </w:p>
    <w:p w14:paraId="7FC32D94" w14:textId="77777777" w:rsidR="00BA5002" w:rsidRDefault="00000000">
      <w:pPr>
        <w:spacing w:after="0"/>
      </w:pPr>
      <w:r>
        <w:rPr>
          <w:i/>
          <w:color w:val="5B6573"/>
          <w:sz w:val="17"/>
        </w:rPr>
        <w:t>Educational disclaimer: This guide provides general information and is not individualized tax, legal, ERISA, investment, or financial-planning advice. Retirement-plan eligibility, contribution limits, deductions, credits, testing, deadlines, and reporting depend on the employer's facts and governing plan documents. Consult the appropriate professional advisers before acting.</w:t>
      </w:r>
    </w:p>
    <w:sectPr w:rsidR="00BA5002" w:rsidSect="00034616">
      <w:headerReference w:type="even" r:id="rId28"/>
      <w:headerReference w:type="default" r:id="rId29"/>
      <w:footerReference w:type="even" r:id="rId30"/>
      <w:footerReference w:type="default" r:id="rId31"/>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8622A" w14:textId="77777777" w:rsidR="00A900B1" w:rsidRDefault="00A900B1">
      <w:pPr>
        <w:spacing w:after="0" w:line="240" w:lineRule="auto"/>
      </w:pPr>
      <w:r>
        <w:separator/>
      </w:r>
    </w:p>
  </w:endnote>
  <w:endnote w:type="continuationSeparator" w:id="0">
    <w:p w14:paraId="7515B25F" w14:textId="77777777" w:rsidR="00A900B1" w:rsidRDefault="00A900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8B33E" w14:textId="77777777" w:rsidR="00BA5002" w:rsidRDefault="00000000">
    <w:pPr>
      <w:pStyle w:val="Footer"/>
      <w:jc w:val="center"/>
    </w:pPr>
    <w:r>
      <w:fldChar w:fldCharType="begin"/>
    </w:r>
    <w:r>
      <w:instrText>PAGE</w:instrText>
    </w:r>
    <w:r>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C1AF9" w14:textId="77777777" w:rsidR="00BA5002" w:rsidRDefault="00000000">
    <w:pPr>
      <w:pStyle w:val="Footer"/>
      <w:jc w:val="center"/>
    </w:pPr>
    <w:r>
      <w:fldChar w:fldCharType="begin"/>
    </w:r>
    <w:r>
      <w:instrText>PAGE</w:instrText>
    </w:r>
    <w:r>
      <w:fldChar w:fldCharType="separate"/>
    </w:r>
    <w:r w:rsidR="00B312D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516E6" w14:textId="77777777" w:rsidR="00A900B1" w:rsidRDefault="00A900B1">
      <w:pPr>
        <w:spacing w:after="0" w:line="240" w:lineRule="auto"/>
      </w:pPr>
      <w:r>
        <w:separator/>
      </w:r>
    </w:p>
  </w:footnote>
  <w:footnote w:type="continuationSeparator" w:id="0">
    <w:p w14:paraId="281E0AFA" w14:textId="77777777" w:rsidR="00A900B1" w:rsidRDefault="00A900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229D9" w14:textId="77777777" w:rsidR="00BA5002" w:rsidRDefault="00BA5002">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F2957" w14:textId="77777777" w:rsidR="00BA5002" w:rsidRDefault="00BA500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58A7316"/>
    <w:multiLevelType w:val="singleLevel"/>
    <w:tmpl w:val="D92626DC"/>
    <w:lvl w:ilvl="0">
      <w:start w:val="1"/>
      <w:numFmt w:val="bullet"/>
      <w:pStyle w:val="ListBullet"/>
      <w:lvlText w:val="•"/>
      <w:lvlJc w:val="left"/>
      <w:pPr>
        <w:tabs>
          <w:tab w:val="num" w:pos="540"/>
        </w:tabs>
        <w:spacing w:after="80" w:line="300" w:lineRule="auto"/>
        <w:ind w:left="540" w:hanging="270"/>
      </w:pPr>
    </w:lvl>
  </w:abstractNum>
  <w:num w:numId="1" w16cid:durableId="8636336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917C3"/>
    <w:rsid w:val="00A900B1"/>
    <w:rsid w:val="00AA1D8D"/>
    <w:rsid w:val="00B312D5"/>
    <w:rsid w:val="00B47730"/>
    <w:rsid w:val="00BA5002"/>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ABD249"/>
  <w14:defaultImageDpi w14:val="300"/>
  <w15:docId w15:val="{1E7B052A-09E5-4FE3-AF8C-77215204F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00" w:lineRule="auto"/>
    </w:pPr>
    <w:rPr>
      <w:rFonts w:ascii="Calibri" w:hAnsi="Calibri"/>
      <w:color w:val="1F2937"/>
    </w:rPr>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b/>
      <w:bCs/>
      <w:color w:val="06327D"/>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b/>
      <w:bCs/>
      <w:color w:val="2B70E4"/>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b/>
      <w:bCs/>
      <w:color w:val="06327D"/>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360"/>
      </w:tabs>
      <w:contextualSpacing/>
    </w:pPr>
  </w:style>
  <w:style w:type="paragraph" w:styleId="ListBullet3">
    <w:name w:val="List Bullet 3"/>
    <w:basedOn w:val="Normal"/>
    <w:uiPriority w:val="99"/>
    <w:unhideWhenUsed/>
    <w:rsid w:val="00326F90"/>
    <w:pPr>
      <w:tabs>
        <w:tab w:val="num" w:pos="360"/>
      </w:tabs>
      <w:contextualSpacing/>
    </w:pPr>
  </w:style>
  <w:style w:type="paragraph" w:styleId="ListNumber">
    <w:name w:val="List Number"/>
    <w:basedOn w:val="Normal"/>
    <w:uiPriority w:val="99"/>
    <w:unhideWhenUsed/>
    <w:rsid w:val="00326F90"/>
    <w:pPr>
      <w:tabs>
        <w:tab w:val="num" w:pos="360"/>
      </w:tabs>
      <w:contextualSpacing/>
    </w:pPr>
  </w:style>
  <w:style w:type="paragraph" w:styleId="ListNumber2">
    <w:name w:val="List Number 2"/>
    <w:basedOn w:val="Normal"/>
    <w:uiPriority w:val="99"/>
    <w:unhideWhenUsed/>
    <w:rsid w:val="0029639D"/>
    <w:pPr>
      <w:tabs>
        <w:tab w:val="num" w:pos="360"/>
      </w:tabs>
      <w:contextualSpacing/>
    </w:pPr>
  </w:style>
  <w:style w:type="paragraph" w:styleId="ListNumber3">
    <w:name w:val="List Number 3"/>
    <w:basedOn w:val="Normal"/>
    <w:uiPriority w:val="99"/>
    <w:unhideWhenUsed/>
    <w:rsid w:val="0029639D"/>
    <w:pPr>
      <w:tabs>
        <w:tab w:val="num" w:pos="360"/>
      </w:tabs>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80" w:line="264" w:lineRule="auto"/>
    </w:pPr>
    <w:rPr>
      <w:rFonts w:ascii="Calibri" w:hAnsi="Calibri"/>
      <w:color w:val="5B6573"/>
      <w:sz w:val="17"/>
    </w:rPr>
  </w:style>
  <w:style w:type="paragraph" w:customStyle="1" w:styleId="SourceNote">
    <w:name w:val="Source Note"/>
    <w:pPr>
      <w:spacing w:after="80" w:line="264" w:lineRule="auto"/>
    </w:pPr>
    <w:rPr>
      <w:rFonts w:ascii="Calibri" w:hAnsi="Calibri"/>
      <w:i/>
      <w:color w:val="5B6573"/>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rs.gov/retirement-plans/notice-requirement-for-a-safe-harbor-401k-or-401m-plan" TargetMode="External"/><Relationship Id="rId18" Type="http://schemas.openxmlformats.org/officeDocument/2006/relationships/hyperlink" Target="https://www.irs.gov/instructions/i8881" TargetMode="External"/><Relationship Id="rId26" Type="http://schemas.openxmlformats.org/officeDocument/2006/relationships/hyperlink" Target="https://www.irs.gov/retirement-plans/retirement-plans-startup-costs-tax-credit" TargetMode="External"/><Relationship Id="rId3" Type="http://schemas.openxmlformats.org/officeDocument/2006/relationships/styles" Target="styles.xml"/><Relationship Id="rId21" Type="http://schemas.openxmlformats.org/officeDocument/2006/relationships/hyperlink" Target="https://www.irs.gov/retirement-plans/plan-sponsor/simple-ira-plan" TargetMode="External"/><Relationship Id="rId7" Type="http://schemas.openxmlformats.org/officeDocument/2006/relationships/endnotes" Target="endnotes.xml"/><Relationship Id="rId12" Type="http://schemas.openxmlformats.org/officeDocument/2006/relationships/hyperlink" Target="https://www.irs.gov/retirement-plans/operating-a-401k-plan" TargetMode="External"/><Relationship Id="rId17" Type="http://schemas.openxmlformats.org/officeDocument/2006/relationships/hyperlink" Target="https://www.irs.gov/retirement-plans/retirement-plans-startup-costs-tax-credit" TargetMode="External"/><Relationship Id="rId25" Type="http://schemas.openxmlformats.org/officeDocument/2006/relationships/hyperlink" Target="https://www.irs.gov/retirement-plans/retirement-plan-faqs-regarding-contributions-s-corporation"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irs.gov/businesses/small-businesses-self-employed/s-corporation-compensation-and-medical-insurance-issues" TargetMode="External"/><Relationship Id="rId20" Type="http://schemas.openxmlformats.org/officeDocument/2006/relationships/hyperlink" Target="https://www.irs.gov/publications/p560"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rs.gov/publications/p560" TargetMode="External"/><Relationship Id="rId24" Type="http://schemas.openxmlformats.org/officeDocument/2006/relationships/hyperlink" Target="https://www.irs.gov/retirement-plans/one-participant-401k-plans"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irs.gov/retirement-plans/retirement-plan-faqs-regarding-contributions-s-corporation" TargetMode="External"/><Relationship Id="rId23" Type="http://schemas.openxmlformats.org/officeDocument/2006/relationships/hyperlink" Target="https://www.irs.gov/retirement-plans/operating-a-401k-plan" TargetMode="External"/><Relationship Id="rId28" Type="http://schemas.openxmlformats.org/officeDocument/2006/relationships/header" Target="header1.xml"/><Relationship Id="rId10" Type="http://schemas.openxmlformats.org/officeDocument/2006/relationships/hyperlink" Target="https://www.irs.gov/retirement-plans/plan-sponsor/simple-ira-plan" TargetMode="External"/><Relationship Id="rId19" Type="http://schemas.openxmlformats.org/officeDocument/2006/relationships/hyperlink" Target="https://www.irs.gov/newsroom/401k-limit-increases-to-24500-for-2026-ira-limit-increases-to-7500"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irs.gov/newsroom/secure-2-point-0-act-impacts-how-businesses-complete-forms-w-2" TargetMode="External"/><Relationship Id="rId14" Type="http://schemas.openxmlformats.org/officeDocument/2006/relationships/hyperlink" Target="https://www.irs.gov/retirement-plans/one-participant-401k-plans" TargetMode="External"/><Relationship Id="rId22" Type="http://schemas.openxmlformats.org/officeDocument/2006/relationships/hyperlink" Target="https://www.irs.gov/newsroom/secure-2-point-0-act-impacts-how-businesses-complete-forms-w-2" TargetMode="External"/><Relationship Id="rId27" Type="http://schemas.openxmlformats.org/officeDocument/2006/relationships/hyperlink" Target="https://www.irs.gov/instructions/i8881" TargetMode="External"/><Relationship Id="rId30" Type="http://schemas.openxmlformats.org/officeDocument/2006/relationships/footer" Target="footer1.xml"/><Relationship Id="rId8" Type="http://schemas.openxmlformats.org/officeDocument/2006/relationships/hyperlink" Target="https://www.irs.gov/newsroom/401k-limit-increases-to-24500-for-2026-ira-limit-increases-to-75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2843</Words>
  <Characters>16208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19013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Small Business Retirement Plan Client Guide</dc:title>
  <dc:subject>Client education guide comparing SIMPLE IRA, SEP IRA, Safe Harbor 401(k), and Solo 401(k) plans</dc:subject>
  <dc:creator>Donna Edge, CPA</dc:creator>
  <cp:keywords/>
  <dc:description>generated by python-docx</dc:description>
  <cp:lastModifiedBy>donna edge</cp:lastModifiedBy>
  <cp:revision>2</cp:revision>
  <dcterms:created xsi:type="dcterms:W3CDTF">2013-12-23T23:15:00Z</dcterms:created>
  <dcterms:modified xsi:type="dcterms:W3CDTF">2026-08-07T22:55:00Z</dcterms:modified>
  <cp:category/>
</cp:coreProperties>
</file>