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55242" w14:textId="7D9A47D1" w:rsidR="00205CDF" w:rsidRDefault="00205CDF" w:rsidP="00205CDF">
      <w:pPr>
        <w:spacing w:before="100" w:beforeAutospacing="1" w:after="100" w:afterAutospacing="1" w:line="240" w:lineRule="auto"/>
        <w:jc w:val="center"/>
        <w:rPr>
          <w:rFonts w:ascii="Times New Roman" w:eastAsia="Times New Roman" w:hAnsi="Times New Roman" w:cs="Times New Roman"/>
          <w:kern w:val="0"/>
          <w:sz w:val="28"/>
          <w:szCs w:val="28"/>
          <w14:ligatures w14:val="none"/>
        </w:rPr>
      </w:pPr>
      <w:r w:rsidRPr="00205CDF">
        <w:rPr>
          <w:rFonts w:ascii="Times New Roman" w:eastAsia="Times New Roman" w:hAnsi="Times New Roman" w:cs="Times New Roman"/>
          <w:kern w:val="0"/>
          <w:sz w:val="28"/>
          <w:szCs w:val="28"/>
          <w14:ligatures w14:val="none"/>
        </w:rPr>
        <w:t>Quick Reference Guide for Small Business Retirement Plans</w:t>
      </w:r>
    </w:p>
    <w:p w14:paraId="6D2C707A" w14:textId="77777777" w:rsidR="00205CDF" w:rsidRPr="00205CDF" w:rsidRDefault="00205CDF" w:rsidP="00205CDF">
      <w:pPr>
        <w:spacing w:before="100" w:beforeAutospacing="1" w:after="100" w:afterAutospacing="1" w:line="240" w:lineRule="auto"/>
        <w:jc w:val="center"/>
        <w:rPr>
          <w:rFonts w:ascii="Times New Roman" w:eastAsia="Times New Roman" w:hAnsi="Times New Roman" w:cs="Times New Roman"/>
          <w:kern w:val="0"/>
          <w:sz w:val="28"/>
          <w:szCs w:val="28"/>
          <w14:ligatures w14:val="none"/>
        </w:rPr>
      </w:pPr>
    </w:p>
    <w:p w14:paraId="0451B048" w14:textId="77777777" w:rsidR="00205CDF" w:rsidRPr="00205CDF" w:rsidRDefault="00205CDF" w:rsidP="00205CD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05CDF">
        <w:rPr>
          <w:rFonts w:ascii="Times New Roman" w:eastAsia="Times New Roman" w:hAnsi="Times New Roman" w:cs="Times New Roman"/>
          <w:b/>
          <w:bCs/>
          <w:kern w:val="0"/>
          <w:sz w:val="27"/>
          <w:szCs w:val="27"/>
          <w14:ligatures w14:val="none"/>
        </w:rPr>
        <w:t>2026 Small Business Retirement Plans — Quick Reference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8"/>
        <w:gridCol w:w="1567"/>
        <w:gridCol w:w="1942"/>
        <w:gridCol w:w="2198"/>
        <w:gridCol w:w="1895"/>
      </w:tblGrid>
      <w:tr w:rsidR="00205CDF" w:rsidRPr="00205CDF" w14:paraId="482A1BDC" w14:textId="77777777" w:rsidTr="00456810">
        <w:trPr>
          <w:tblHeader/>
          <w:tblCellSpacing w:w="15" w:type="dxa"/>
        </w:trPr>
        <w:tc>
          <w:tcPr>
            <w:tcW w:w="0" w:type="auto"/>
            <w:vAlign w:val="center"/>
            <w:hideMark/>
          </w:tcPr>
          <w:p w14:paraId="4CE468D6"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p>
        </w:tc>
        <w:tc>
          <w:tcPr>
            <w:tcW w:w="0" w:type="auto"/>
            <w:vAlign w:val="center"/>
            <w:hideMark/>
          </w:tcPr>
          <w:p w14:paraId="7196B9CC" w14:textId="77777777" w:rsidR="00205CDF" w:rsidRPr="00205CDF" w:rsidRDefault="00205CDF" w:rsidP="00205CDF">
            <w:pPr>
              <w:spacing w:after="0" w:line="240" w:lineRule="auto"/>
              <w:jc w:val="center"/>
              <w:rPr>
                <w:rFonts w:ascii="Times New Roman" w:eastAsia="Times New Roman" w:hAnsi="Times New Roman" w:cs="Times New Roman"/>
                <w:b/>
                <w:bCs/>
                <w:kern w:val="0"/>
                <w14:ligatures w14:val="none"/>
              </w:rPr>
            </w:pPr>
            <w:r w:rsidRPr="00205CDF">
              <w:rPr>
                <w:rFonts w:ascii="Times New Roman" w:eastAsia="Times New Roman" w:hAnsi="Times New Roman" w:cs="Times New Roman"/>
                <w:b/>
                <w:bCs/>
                <w:kern w:val="0"/>
                <w14:ligatures w14:val="none"/>
              </w:rPr>
              <w:t>SIMPLE IRA</w:t>
            </w:r>
          </w:p>
        </w:tc>
        <w:tc>
          <w:tcPr>
            <w:tcW w:w="0" w:type="auto"/>
            <w:vAlign w:val="center"/>
            <w:hideMark/>
          </w:tcPr>
          <w:p w14:paraId="3E62C211" w14:textId="77777777" w:rsidR="00205CDF" w:rsidRPr="00205CDF" w:rsidRDefault="00205CDF" w:rsidP="00205CDF">
            <w:pPr>
              <w:spacing w:after="0" w:line="240" w:lineRule="auto"/>
              <w:jc w:val="center"/>
              <w:rPr>
                <w:rFonts w:ascii="Times New Roman" w:eastAsia="Times New Roman" w:hAnsi="Times New Roman" w:cs="Times New Roman"/>
                <w:b/>
                <w:bCs/>
                <w:kern w:val="0"/>
                <w14:ligatures w14:val="none"/>
              </w:rPr>
            </w:pPr>
            <w:r w:rsidRPr="00205CDF">
              <w:rPr>
                <w:rFonts w:ascii="Times New Roman" w:eastAsia="Times New Roman" w:hAnsi="Times New Roman" w:cs="Times New Roman"/>
                <w:b/>
                <w:bCs/>
                <w:kern w:val="0"/>
                <w14:ligatures w14:val="none"/>
              </w:rPr>
              <w:t>SEP IRA</w:t>
            </w:r>
          </w:p>
        </w:tc>
        <w:tc>
          <w:tcPr>
            <w:tcW w:w="0" w:type="auto"/>
            <w:vAlign w:val="center"/>
            <w:hideMark/>
          </w:tcPr>
          <w:p w14:paraId="6DBBE2DC" w14:textId="77777777" w:rsidR="00205CDF" w:rsidRPr="00205CDF" w:rsidRDefault="00205CDF" w:rsidP="00205CDF">
            <w:pPr>
              <w:spacing w:after="0" w:line="240" w:lineRule="auto"/>
              <w:jc w:val="center"/>
              <w:rPr>
                <w:rFonts w:ascii="Times New Roman" w:eastAsia="Times New Roman" w:hAnsi="Times New Roman" w:cs="Times New Roman"/>
                <w:b/>
                <w:bCs/>
                <w:kern w:val="0"/>
                <w14:ligatures w14:val="none"/>
              </w:rPr>
            </w:pPr>
            <w:r w:rsidRPr="00205CDF">
              <w:rPr>
                <w:rFonts w:ascii="Times New Roman" w:eastAsia="Times New Roman" w:hAnsi="Times New Roman" w:cs="Times New Roman"/>
                <w:b/>
                <w:bCs/>
                <w:kern w:val="0"/>
                <w14:ligatures w14:val="none"/>
              </w:rPr>
              <w:t>Safe Harbor 401(k)</w:t>
            </w:r>
          </w:p>
        </w:tc>
        <w:tc>
          <w:tcPr>
            <w:tcW w:w="0" w:type="auto"/>
            <w:vAlign w:val="center"/>
            <w:hideMark/>
          </w:tcPr>
          <w:p w14:paraId="5BFB0636" w14:textId="77777777" w:rsidR="00205CDF" w:rsidRPr="00205CDF" w:rsidRDefault="00205CDF" w:rsidP="00205CDF">
            <w:pPr>
              <w:spacing w:after="0" w:line="240" w:lineRule="auto"/>
              <w:jc w:val="center"/>
              <w:rPr>
                <w:rFonts w:ascii="Times New Roman" w:eastAsia="Times New Roman" w:hAnsi="Times New Roman" w:cs="Times New Roman"/>
                <w:b/>
                <w:bCs/>
                <w:kern w:val="0"/>
                <w14:ligatures w14:val="none"/>
              </w:rPr>
            </w:pPr>
            <w:r w:rsidRPr="00205CDF">
              <w:rPr>
                <w:rFonts w:ascii="Times New Roman" w:eastAsia="Times New Roman" w:hAnsi="Times New Roman" w:cs="Times New Roman"/>
                <w:b/>
                <w:bCs/>
                <w:kern w:val="0"/>
                <w14:ligatures w14:val="none"/>
              </w:rPr>
              <w:t>Solo 401(k)</w:t>
            </w:r>
          </w:p>
        </w:tc>
      </w:tr>
      <w:tr w:rsidR="00205CDF" w:rsidRPr="00205CDF" w14:paraId="71670320" w14:textId="77777777" w:rsidTr="00456810">
        <w:trPr>
          <w:tblCellSpacing w:w="15" w:type="dxa"/>
        </w:trPr>
        <w:tc>
          <w:tcPr>
            <w:tcW w:w="0" w:type="auto"/>
            <w:vAlign w:val="center"/>
            <w:hideMark/>
          </w:tcPr>
          <w:p w14:paraId="127BA363"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Best for</w:t>
            </w:r>
          </w:p>
        </w:tc>
        <w:tc>
          <w:tcPr>
            <w:tcW w:w="0" w:type="auto"/>
            <w:vAlign w:val="center"/>
            <w:hideMark/>
          </w:tcPr>
          <w:p w14:paraId="2C37C5FD"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Small businesses wanting simplicity</w:t>
            </w:r>
          </w:p>
        </w:tc>
        <w:tc>
          <w:tcPr>
            <w:tcW w:w="0" w:type="auto"/>
            <w:vAlign w:val="center"/>
            <w:hideMark/>
          </w:tcPr>
          <w:p w14:paraId="72B33726"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Businesses wanting flexible employer contributions</w:t>
            </w:r>
          </w:p>
        </w:tc>
        <w:tc>
          <w:tcPr>
            <w:tcW w:w="0" w:type="auto"/>
            <w:vAlign w:val="center"/>
            <w:hideMark/>
          </w:tcPr>
          <w:p w14:paraId="6057AE81"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Businesses wanting higher owner contributions while covering employees</w:t>
            </w:r>
          </w:p>
        </w:tc>
        <w:tc>
          <w:tcPr>
            <w:tcW w:w="0" w:type="auto"/>
            <w:vAlign w:val="center"/>
            <w:hideMark/>
          </w:tcPr>
          <w:p w14:paraId="1ECE74E4"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Owner-only businesses</w:t>
            </w:r>
          </w:p>
        </w:tc>
      </w:tr>
      <w:tr w:rsidR="00205CDF" w:rsidRPr="00205CDF" w14:paraId="1BCCBAEF" w14:textId="77777777" w:rsidTr="00456810">
        <w:trPr>
          <w:tblCellSpacing w:w="15" w:type="dxa"/>
        </w:trPr>
        <w:tc>
          <w:tcPr>
            <w:tcW w:w="0" w:type="auto"/>
            <w:vAlign w:val="center"/>
            <w:hideMark/>
          </w:tcPr>
          <w:p w14:paraId="17EFDA97"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Employees contribute?</w:t>
            </w:r>
          </w:p>
        </w:tc>
        <w:tc>
          <w:tcPr>
            <w:tcW w:w="0" w:type="auto"/>
            <w:vAlign w:val="center"/>
            <w:hideMark/>
          </w:tcPr>
          <w:p w14:paraId="67A17EFC"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w:t>
            </w:r>
          </w:p>
        </w:tc>
        <w:tc>
          <w:tcPr>
            <w:tcW w:w="0" w:type="auto"/>
            <w:vAlign w:val="center"/>
            <w:hideMark/>
          </w:tcPr>
          <w:p w14:paraId="3991893A"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No</w:t>
            </w:r>
          </w:p>
        </w:tc>
        <w:tc>
          <w:tcPr>
            <w:tcW w:w="0" w:type="auto"/>
            <w:vAlign w:val="center"/>
            <w:hideMark/>
          </w:tcPr>
          <w:p w14:paraId="1F4A3D54"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w:t>
            </w:r>
          </w:p>
        </w:tc>
        <w:tc>
          <w:tcPr>
            <w:tcW w:w="0" w:type="auto"/>
            <w:vAlign w:val="center"/>
            <w:hideMark/>
          </w:tcPr>
          <w:p w14:paraId="7E1F8F63"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w:t>
            </w:r>
          </w:p>
        </w:tc>
      </w:tr>
      <w:tr w:rsidR="00205CDF" w:rsidRPr="00205CDF" w14:paraId="6AE2ACE5" w14:textId="77777777" w:rsidTr="00456810">
        <w:trPr>
          <w:tblCellSpacing w:w="15" w:type="dxa"/>
        </w:trPr>
        <w:tc>
          <w:tcPr>
            <w:tcW w:w="0" w:type="auto"/>
            <w:vAlign w:val="center"/>
            <w:hideMark/>
          </w:tcPr>
          <w:p w14:paraId="182C20F1"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2026 employee limit</w:t>
            </w:r>
          </w:p>
        </w:tc>
        <w:tc>
          <w:tcPr>
            <w:tcW w:w="0" w:type="auto"/>
            <w:vAlign w:val="center"/>
            <w:hideMark/>
          </w:tcPr>
          <w:p w14:paraId="6FF88747"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$17,000*</w:t>
            </w:r>
          </w:p>
        </w:tc>
        <w:tc>
          <w:tcPr>
            <w:tcW w:w="0" w:type="auto"/>
            <w:vAlign w:val="center"/>
            <w:hideMark/>
          </w:tcPr>
          <w:p w14:paraId="2C6AA4CE"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N/A</w:t>
            </w:r>
          </w:p>
        </w:tc>
        <w:tc>
          <w:tcPr>
            <w:tcW w:w="0" w:type="auto"/>
            <w:vAlign w:val="center"/>
            <w:hideMark/>
          </w:tcPr>
          <w:p w14:paraId="12414FFA"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$24,500</w:t>
            </w:r>
          </w:p>
        </w:tc>
        <w:tc>
          <w:tcPr>
            <w:tcW w:w="0" w:type="auto"/>
            <w:vAlign w:val="center"/>
            <w:hideMark/>
          </w:tcPr>
          <w:p w14:paraId="6EA5D4D4"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$24,500</w:t>
            </w:r>
          </w:p>
        </w:tc>
      </w:tr>
      <w:tr w:rsidR="00205CDF" w:rsidRPr="00205CDF" w14:paraId="1BF18E9C" w14:textId="77777777" w:rsidTr="00456810">
        <w:trPr>
          <w:tblCellSpacing w:w="15" w:type="dxa"/>
        </w:trPr>
        <w:tc>
          <w:tcPr>
            <w:tcW w:w="0" w:type="auto"/>
            <w:vAlign w:val="center"/>
            <w:hideMark/>
          </w:tcPr>
          <w:p w14:paraId="150FABFB"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Employer contribution</w:t>
            </w:r>
          </w:p>
        </w:tc>
        <w:tc>
          <w:tcPr>
            <w:tcW w:w="0" w:type="auto"/>
            <w:vAlign w:val="center"/>
            <w:hideMark/>
          </w:tcPr>
          <w:p w14:paraId="1545671F"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Required</w:t>
            </w:r>
          </w:p>
        </w:tc>
        <w:tc>
          <w:tcPr>
            <w:tcW w:w="0" w:type="auto"/>
            <w:vAlign w:val="center"/>
            <w:hideMark/>
          </w:tcPr>
          <w:p w14:paraId="2291C6D0"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Optional</w:t>
            </w:r>
          </w:p>
        </w:tc>
        <w:tc>
          <w:tcPr>
            <w:tcW w:w="0" w:type="auto"/>
            <w:vAlign w:val="center"/>
            <w:hideMark/>
          </w:tcPr>
          <w:p w14:paraId="4D84D607"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Generally required</w:t>
            </w:r>
          </w:p>
        </w:tc>
        <w:tc>
          <w:tcPr>
            <w:tcW w:w="0" w:type="auto"/>
            <w:vAlign w:val="center"/>
            <w:hideMark/>
          </w:tcPr>
          <w:p w14:paraId="7C13BAC8"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Optional</w:t>
            </w:r>
          </w:p>
        </w:tc>
      </w:tr>
      <w:tr w:rsidR="00205CDF" w:rsidRPr="00205CDF" w14:paraId="6E01E219" w14:textId="77777777" w:rsidTr="00456810">
        <w:trPr>
          <w:tblCellSpacing w:w="15" w:type="dxa"/>
        </w:trPr>
        <w:tc>
          <w:tcPr>
            <w:tcW w:w="0" w:type="auto"/>
            <w:vAlign w:val="center"/>
            <w:hideMark/>
          </w:tcPr>
          <w:p w14:paraId="1CF8A534"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Employer contribution basics</w:t>
            </w:r>
          </w:p>
        </w:tc>
        <w:tc>
          <w:tcPr>
            <w:tcW w:w="0" w:type="auto"/>
            <w:vAlign w:val="center"/>
            <w:hideMark/>
          </w:tcPr>
          <w:p w14:paraId="09E68E04"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3% match OR 2% nonelective</w:t>
            </w:r>
          </w:p>
        </w:tc>
        <w:tc>
          <w:tcPr>
            <w:tcW w:w="0" w:type="auto"/>
            <w:vAlign w:val="center"/>
            <w:hideMark/>
          </w:tcPr>
          <w:p w14:paraId="6CE2E5EC"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Up to 25% of eligible compensation</w:t>
            </w:r>
          </w:p>
        </w:tc>
        <w:tc>
          <w:tcPr>
            <w:tcW w:w="0" w:type="auto"/>
            <w:vAlign w:val="center"/>
            <w:hideMark/>
          </w:tcPr>
          <w:p w14:paraId="579B90F5"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Commonly 3% nonelective OR qualifying match</w:t>
            </w:r>
          </w:p>
        </w:tc>
        <w:tc>
          <w:tcPr>
            <w:tcW w:w="0" w:type="auto"/>
            <w:vAlign w:val="center"/>
            <w:hideMark/>
          </w:tcPr>
          <w:p w14:paraId="0614FB85"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Up to 25% of W-2 compensation for an S Corp</w:t>
            </w:r>
          </w:p>
        </w:tc>
      </w:tr>
      <w:tr w:rsidR="00205CDF" w:rsidRPr="00205CDF" w14:paraId="377976FD" w14:textId="77777777" w:rsidTr="00456810">
        <w:trPr>
          <w:tblCellSpacing w:w="15" w:type="dxa"/>
        </w:trPr>
        <w:tc>
          <w:tcPr>
            <w:tcW w:w="0" w:type="auto"/>
            <w:vAlign w:val="center"/>
            <w:hideMark/>
          </w:tcPr>
          <w:p w14:paraId="594BCF8B"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Catch-up age 50+</w:t>
            </w:r>
          </w:p>
        </w:tc>
        <w:tc>
          <w:tcPr>
            <w:tcW w:w="0" w:type="auto"/>
            <w:vAlign w:val="center"/>
            <w:hideMark/>
          </w:tcPr>
          <w:p w14:paraId="4C65E814"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$4,000*</w:t>
            </w:r>
          </w:p>
        </w:tc>
        <w:tc>
          <w:tcPr>
            <w:tcW w:w="0" w:type="auto"/>
            <w:vAlign w:val="center"/>
            <w:hideMark/>
          </w:tcPr>
          <w:p w14:paraId="7C852645"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N/A</w:t>
            </w:r>
          </w:p>
        </w:tc>
        <w:tc>
          <w:tcPr>
            <w:tcW w:w="0" w:type="auto"/>
            <w:vAlign w:val="center"/>
            <w:hideMark/>
          </w:tcPr>
          <w:p w14:paraId="1B1A318F"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$8,000</w:t>
            </w:r>
          </w:p>
        </w:tc>
        <w:tc>
          <w:tcPr>
            <w:tcW w:w="0" w:type="auto"/>
            <w:vAlign w:val="center"/>
            <w:hideMark/>
          </w:tcPr>
          <w:p w14:paraId="56EC049A"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$8,000</w:t>
            </w:r>
          </w:p>
        </w:tc>
      </w:tr>
      <w:tr w:rsidR="00205CDF" w:rsidRPr="00205CDF" w14:paraId="3F7E5096" w14:textId="77777777" w:rsidTr="00456810">
        <w:trPr>
          <w:tblCellSpacing w:w="15" w:type="dxa"/>
        </w:trPr>
        <w:tc>
          <w:tcPr>
            <w:tcW w:w="0" w:type="auto"/>
            <w:vAlign w:val="center"/>
            <w:hideMark/>
          </w:tcPr>
          <w:p w14:paraId="49D6A918"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Special catch-up age 60–63</w:t>
            </w:r>
          </w:p>
        </w:tc>
        <w:tc>
          <w:tcPr>
            <w:tcW w:w="0" w:type="auto"/>
            <w:vAlign w:val="center"/>
            <w:hideMark/>
          </w:tcPr>
          <w:p w14:paraId="4B21C7BF"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$5,250</w:t>
            </w:r>
          </w:p>
        </w:tc>
        <w:tc>
          <w:tcPr>
            <w:tcW w:w="0" w:type="auto"/>
            <w:vAlign w:val="center"/>
            <w:hideMark/>
          </w:tcPr>
          <w:p w14:paraId="69F8D5E8"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N/A</w:t>
            </w:r>
          </w:p>
        </w:tc>
        <w:tc>
          <w:tcPr>
            <w:tcW w:w="0" w:type="auto"/>
            <w:vAlign w:val="center"/>
            <w:hideMark/>
          </w:tcPr>
          <w:p w14:paraId="0A33183A"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$11,250</w:t>
            </w:r>
          </w:p>
        </w:tc>
        <w:tc>
          <w:tcPr>
            <w:tcW w:w="0" w:type="auto"/>
            <w:vAlign w:val="center"/>
            <w:hideMark/>
          </w:tcPr>
          <w:p w14:paraId="65350E9C"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$11,250</w:t>
            </w:r>
          </w:p>
        </w:tc>
      </w:tr>
      <w:tr w:rsidR="00205CDF" w:rsidRPr="00205CDF" w14:paraId="3C0781D0" w14:textId="77777777" w:rsidTr="00456810">
        <w:trPr>
          <w:tblCellSpacing w:w="15" w:type="dxa"/>
        </w:trPr>
        <w:tc>
          <w:tcPr>
            <w:tcW w:w="0" w:type="auto"/>
            <w:vAlign w:val="center"/>
            <w:hideMark/>
          </w:tcPr>
          <w:p w14:paraId="6BE66321"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Roth option</w:t>
            </w:r>
          </w:p>
        </w:tc>
        <w:tc>
          <w:tcPr>
            <w:tcW w:w="0" w:type="auto"/>
            <w:vAlign w:val="center"/>
            <w:hideMark/>
          </w:tcPr>
          <w:p w14:paraId="0075E4A0"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 if available</w:t>
            </w:r>
          </w:p>
        </w:tc>
        <w:tc>
          <w:tcPr>
            <w:tcW w:w="0" w:type="auto"/>
            <w:vAlign w:val="center"/>
            <w:hideMark/>
          </w:tcPr>
          <w:p w14:paraId="45D07683"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 if available</w:t>
            </w:r>
          </w:p>
        </w:tc>
        <w:tc>
          <w:tcPr>
            <w:tcW w:w="0" w:type="auto"/>
            <w:vAlign w:val="center"/>
            <w:hideMark/>
          </w:tcPr>
          <w:p w14:paraId="695F55C2"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w:t>
            </w:r>
          </w:p>
        </w:tc>
        <w:tc>
          <w:tcPr>
            <w:tcW w:w="0" w:type="auto"/>
            <w:vAlign w:val="center"/>
            <w:hideMark/>
          </w:tcPr>
          <w:p w14:paraId="0969D470"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Yes</w:t>
            </w:r>
          </w:p>
        </w:tc>
      </w:tr>
      <w:tr w:rsidR="00205CDF" w:rsidRPr="00205CDF" w14:paraId="1ED80387" w14:textId="77777777" w:rsidTr="00456810">
        <w:trPr>
          <w:tblCellSpacing w:w="15" w:type="dxa"/>
        </w:trPr>
        <w:tc>
          <w:tcPr>
            <w:tcW w:w="0" w:type="auto"/>
            <w:vAlign w:val="center"/>
            <w:hideMark/>
          </w:tcPr>
          <w:p w14:paraId="070BDA17"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Loans allowed?</w:t>
            </w:r>
          </w:p>
        </w:tc>
        <w:tc>
          <w:tcPr>
            <w:tcW w:w="0" w:type="auto"/>
            <w:vAlign w:val="center"/>
            <w:hideMark/>
          </w:tcPr>
          <w:p w14:paraId="6CBA4971"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No</w:t>
            </w:r>
          </w:p>
        </w:tc>
        <w:tc>
          <w:tcPr>
            <w:tcW w:w="0" w:type="auto"/>
            <w:vAlign w:val="center"/>
            <w:hideMark/>
          </w:tcPr>
          <w:p w14:paraId="41A070E2"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No</w:t>
            </w:r>
          </w:p>
        </w:tc>
        <w:tc>
          <w:tcPr>
            <w:tcW w:w="0" w:type="auto"/>
            <w:vAlign w:val="center"/>
            <w:hideMark/>
          </w:tcPr>
          <w:p w14:paraId="43175941"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May be</w:t>
            </w:r>
          </w:p>
        </w:tc>
        <w:tc>
          <w:tcPr>
            <w:tcW w:w="0" w:type="auto"/>
            <w:vAlign w:val="center"/>
            <w:hideMark/>
          </w:tcPr>
          <w:p w14:paraId="71C7F391"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May be</w:t>
            </w:r>
          </w:p>
        </w:tc>
      </w:tr>
      <w:tr w:rsidR="00205CDF" w:rsidRPr="00205CDF" w14:paraId="5285D906" w14:textId="77777777" w:rsidTr="00456810">
        <w:trPr>
          <w:tblCellSpacing w:w="15" w:type="dxa"/>
        </w:trPr>
        <w:tc>
          <w:tcPr>
            <w:tcW w:w="0" w:type="auto"/>
            <w:vAlign w:val="center"/>
            <w:hideMark/>
          </w:tcPr>
          <w:p w14:paraId="600C23A3"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Administration</w:t>
            </w:r>
          </w:p>
        </w:tc>
        <w:tc>
          <w:tcPr>
            <w:tcW w:w="0" w:type="auto"/>
            <w:vAlign w:val="center"/>
            <w:hideMark/>
          </w:tcPr>
          <w:p w14:paraId="4CC01D00"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Low</w:t>
            </w:r>
          </w:p>
        </w:tc>
        <w:tc>
          <w:tcPr>
            <w:tcW w:w="0" w:type="auto"/>
            <w:vAlign w:val="center"/>
            <w:hideMark/>
          </w:tcPr>
          <w:p w14:paraId="01255B5A"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Low</w:t>
            </w:r>
          </w:p>
        </w:tc>
        <w:tc>
          <w:tcPr>
            <w:tcW w:w="0" w:type="auto"/>
            <w:vAlign w:val="center"/>
            <w:hideMark/>
          </w:tcPr>
          <w:p w14:paraId="112E30B7"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Higher</w:t>
            </w:r>
          </w:p>
        </w:tc>
        <w:tc>
          <w:tcPr>
            <w:tcW w:w="0" w:type="auto"/>
            <w:vAlign w:val="center"/>
            <w:hideMark/>
          </w:tcPr>
          <w:p w14:paraId="340F859E"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Low–Moderate</w:t>
            </w:r>
          </w:p>
        </w:tc>
      </w:tr>
      <w:tr w:rsidR="00205CDF" w:rsidRPr="00205CDF" w14:paraId="6C3B4D45" w14:textId="77777777" w:rsidTr="00456810">
        <w:trPr>
          <w:tblCellSpacing w:w="15" w:type="dxa"/>
        </w:trPr>
        <w:tc>
          <w:tcPr>
            <w:tcW w:w="0" w:type="auto"/>
            <w:vAlign w:val="center"/>
            <w:hideMark/>
          </w:tcPr>
          <w:p w14:paraId="73E39C79"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Best feature</w:t>
            </w:r>
          </w:p>
        </w:tc>
        <w:tc>
          <w:tcPr>
            <w:tcW w:w="0" w:type="auto"/>
            <w:vAlign w:val="center"/>
            <w:hideMark/>
          </w:tcPr>
          <w:p w14:paraId="7DF6B5A8"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Simple &amp; inexpensive</w:t>
            </w:r>
          </w:p>
        </w:tc>
        <w:tc>
          <w:tcPr>
            <w:tcW w:w="0" w:type="auto"/>
            <w:vAlign w:val="center"/>
            <w:hideMark/>
          </w:tcPr>
          <w:p w14:paraId="7CA3D6DA"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Maximum flexibility</w:t>
            </w:r>
          </w:p>
        </w:tc>
        <w:tc>
          <w:tcPr>
            <w:tcW w:w="0" w:type="auto"/>
            <w:vAlign w:val="center"/>
            <w:hideMark/>
          </w:tcPr>
          <w:p w14:paraId="34766DE5"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Strong owner benefit + employee plan</w:t>
            </w:r>
          </w:p>
        </w:tc>
        <w:tc>
          <w:tcPr>
            <w:tcW w:w="0" w:type="auto"/>
            <w:vAlign w:val="center"/>
            <w:hideMark/>
          </w:tcPr>
          <w:p w14:paraId="3E62B80B" w14:textId="77777777" w:rsidR="00205CDF" w:rsidRPr="00205CDF" w:rsidRDefault="00205CDF" w:rsidP="00205CDF">
            <w:pPr>
              <w:spacing w:after="0"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High contribution potential with no employees</w:t>
            </w:r>
          </w:p>
        </w:tc>
      </w:tr>
    </w:tbl>
    <w:p w14:paraId="3A1030A6" w14:textId="77777777"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 xml:space="preserve">* Certain SIMPLE plans qualify for </w:t>
      </w:r>
      <w:proofErr w:type="gramStart"/>
      <w:r w:rsidRPr="00205CDF">
        <w:rPr>
          <w:rFonts w:ascii="Times New Roman" w:eastAsia="Times New Roman" w:hAnsi="Times New Roman" w:cs="Times New Roman"/>
          <w:kern w:val="0"/>
          <w14:ligatures w14:val="none"/>
        </w:rPr>
        <w:t>higher 2026</w:t>
      </w:r>
      <w:proofErr w:type="gramEnd"/>
      <w:r w:rsidRPr="00205CDF">
        <w:rPr>
          <w:rFonts w:ascii="Times New Roman" w:eastAsia="Times New Roman" w:hAnsi="Times New Roman" w:cs="Times New Roman"/>
          <w:kern w:val="0"/>
          <w14:ligatures w14:val="none"/>
        </w:rPr>
        <w:t xml:space="preserve"> contribution limits.</w:t>
      </w:r>
    </w:p>
    <w:p w14:paraId="1A272F64" w14:textId="77777777" w:rsidR="00205CDF" w:rsidRPr="00205CDF" w:rsidRDefault="00205CDF" w:rsidP="00205CD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05CDF">
        <w:rPr>
          <w:rFonts w:ascii="Times New Roman" w:eastAsia="Times New Roman" w:hAnsi="Times New Roman" w:cs="Times New Roman"/>
          <w:b/>
          <w:bCs/>
          <w:kern w:val="0"/>
          <w:sz w:val="27"/>
          <w:szCs w:val="27"/>
          <w14:ligatures w14:val="none"/>
        </w:rPr>
        <w:t>The easiest way to think about it</w:t>
      </w:r>
    </w:p>
    <w:p w14:paraId="6C51D60F" w14:textId="77777777"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b/>
          <w:bCs/>
          <w:kern w:val="0"/>
          <w14:ligatures w14:val="none"/>
        </w:rPr>
        <w:t>SIMPLE IRA — “Keep it simple.”</w:t>
      </w:r>
      <w:r w:rsidRPr="00205CDF">
        <w:rPr>
          <w:rFonts w:ascii="Times New Roman" w:eastAsia="Times New Roman" w:hAnsi="Times New Roman" w:cs="Times New Roman"/>
          <w:kern w:val="0"/>
          <w14:ligatures w14:val="none"/>
        </w:rPr>
        <w:br/>
        <w:t>A good choice for a small employer who wants employees to be able to save for retirement without the expense and administration of a 401(k). The tradeoff: the employer is required to contribute.</w:t>
      </w:r>
    </w:p>
    <w:p w14:paraId="1A8DE946" w14:textId="77777777"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b/>
          <w:bCs/>
          <w:kern w:val="0"/>
          <w14:ligatures w14:val="none"/>
        </w:rPr>
        <w:lastRenderedPageBreak/>
        <w:t>SEP IRA — “I want flexibility.”</w:t>
      </w:r>
      <w:r w:rsidRPr="00205CDF">
        <w:rPr>
          <w:rFonts w:ascii="Times New Roman" w:eastAsia="Times New Roman" w:hAnsi="Times New Roman" w:cs="Times New Roman"/>
          <w:kern w:val="0"/>
          <w14:ligatures w14:val="none"/>
        </w:rPr>
        <w:br/>
        <w:t>The employer controls whether contributions are made each year. Great for businesses with few or no employees, but potentially expensive if there are eligible employees because generally the same contribution percentage must be provided for them.</w:t>
      </w:r>
    </w:p>
    <w:p w14:paraId="513AE497" w14:textId="77777777"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b/>
          <w:bCs/>
          <w:kern w:val="0"/>
          <w14:ligatures w14:val="none"/>
        </w:rPr>
        <w:t>Safe Harbor 401(k) — “I want to maximize retirement savings.”</w:t>
      </w:r>
      <w:r w:rsidRPr="00205CDF">
        <w:rPr>
          <w:rFonts w:ascii="Times New Roman" w:eastAsia="Times New Roman" w:hAnsi="Times New Roman" w:cs="Times New Roman"/>
          <w:kern w:val="0"/>
          <w14:ligatures w14:val="none"/>
        </w:rPr>
        <w:br/>
        <w:t xml:space="preserve">Often attractive when the owner wants to contribute substantially while also providing a retirement benefit to employees. More expensive and administratively </w:t>
      </w:r>
      <w:proofErr w:type="gramStart"/>
      <w:r w:rsidRPr="00205CDF">
        <w:rPr>
          <w:rFonts w:ascii="Times New Roman" w:eastAsia="Times New Roman" w:hAnsi="Times New Roman" w:cs="Times New Roman"/>
          <w:kern w:val="0"/>
          <w14:ligatures w14:val="none"/>
        </w:rPr>
        <w:t>complex, but</w:t>
      </w:r>
      <w:proofErr w:type="gramEnd"/>
      <w:r w:rsidRPr="00205CDF">
        <w:rPr>
          <w:rFonts w:ascii="Times New Roman" w:eastAsia="Times New Roman" w:hAnsi="Times New Roman" w:cs="Times New Roman"/>
          <w:kern w:val="0"/>
          <w14:ligatures w14:val="none"/>
        </w:rPr>
        <w:t xml:space="preserve"> offers considerably more planning flexibility.</w:t>
      </w:r>
    </w:p>
    <w:p w14:paraId="5B605D9B" w14:textId="77777777"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b/>
          <w:bCs/>
          <w:kern w:val="0"/>
          <w14:ligatures w14:val="none"/>
        </w:rPr>
        <w:t>Solo 401(k) — “It’s just me (and possibly my spouse).”</w:t>
      </w:r>
      <w:r w:rsidRPr="00205CDF">
        <w:rPr>
          <w:rFonts w:ascii="Times New Roman" w:eastAsia="Times New Roman" w:hAnsi="Times New Roman" w:cs="Times New Roman"/>
          <w:kern w:val="0"/>
          <w14:ligatures w14:val="none"/>
        </w:rPr>
        <w:br/>
        <w:t>Often my favorite option for an owner-only S Corporation because the owner can contribute as both employee and employer, creating excellent contribution potential.</w:t>
      </w:r>
    </w:p>
    <w:p w14:paraId="1AF3DA9A" w14:textId="77777777" w:rsidR="00205CDF" w:rsidRPr="00205CDF" w:rsidRDefault="00205CDF" w:rsidP="00205CD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05CDF">
        <w:rPr>
          <w:rFonts w:ascii="Times New Roman" w:eastAsia="Times New Roman" w:hAnsi="Times New Roman" w:cs="Times New Roman"/>
          <w:b/>
          <w:bCs/>
          <w:kern w:val="0"/>
          <w:sz w:val="27"/>
          <w:szCs w:val="27"/>
          <w14:ligatures w14:val="none"/>
        </w:rPr>
        <w:t>Special note for S Corporation owners</w:t>
      </w:r>
    </w:p>
    <w:p w14:paraId="181610E0" w14:textId="77777777"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This is an important planning point:</w:t>
      </w:r>
    </w:p>
    <w:p w14:paraId="21922D6E" w14:textId="47EA379A" w:rsidR="00205CDF" w:rsidRPr="00205CDF" w:rsidRDefault="00205CDF" w:rsidP="00205CDF">
      <w:p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 xml:space="preserve">Retirement plan contributions are based on the shareholder-employee's </w:t>
      </w:r>
      <w:r w:rsidRPr="00205CDF">
        <w:rPr>
          <w:rFonts w:ascii="Times New Roman" w:eastAsia="Times New Roman" w:hAnsi="Times New Roman" w:cs="Times New Roman"/>
          <w:b/>
          <w:bCs/>
          <w:kern w:val="0"/>
          <w14:ligatures w14:val="none"/>
        </w:rPr>
        <w:t>W-2 compensation—not S Corporation distributions</w:t>
      </w:r>
      <w:r w:rsidRPr="00205CDF">
        <w:rPr>
          <w:rFonts w:ascii="Times New Roman" w:eastAsia="Times New Roman" w:hAnsi="Times New Roman" w:cs="Times New Roman"/>
          <w:kern w:val="0"/>
          <w14:ligatures w14:val="none"/>
        </w:rPr>
        <w:t>.</w:t>
      </w:r>
    </w:p>
    <w:p w14:paraId="25C98A2D" w14:textId="77777777" w:rsidR="00205CDF" w:rsidRPr="00205CDF" w:rsidRDefault="00205CDF" w:rsidP="00205CD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05CDF">
        <w:rPr>
          <w:rFonts w:ascii="Times New Roman" w:eastAsia="Times New Roman" w:hAnsi="Times New Roman" w:cs="Times New Roman"/>
          <w:b/>
          <w:bCs/>
          <w:kern w:val="0"/>
          <w:sz w:val="27"/>
          <w:szCs w:val="27"/>
          <w14:ligatures w14:val="none"/>
        </w:rPr>
        <w:t>A simple starting point</w:t>
      </w:r>
    </w:p>
    <w:p w14:paraId="4551DB93" w14:textId="77777777" w:rsidR="00205CDF" w:rsidRPr="00205CDF" w:rsidRDefault="00205CDF" w:rsidP="00205CD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 xml:space="preserve">“I want inexpensive and easy.” → </w:t>
      </w:r>
      <w:r w:rsidRPr="00205CDF">
        <w:rPr>
          <w:rFonts w:ascii="Times New Roman" w:eastAsia="Times New Roman" w:hAnsi="Times New Roman" w:cs="Times New Roman"/>
          <w:b/>
          <w:bCs/>
          <w:kern w:val="0"/>
          <w14:ligatures w14:val="none"/>
        </w:rPr>
        <w:t>SIMPLE IRA</w:t>
      </w:r>
    </w:p>
    <w:p w14:paraId="70617E07" w14:textId="77777777" w:rsidR="00205CDF" w:rsidRPr="00205CDF" w:rsidRDefault="00205CDF" w:rsidP="00205CD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 xml:space="preserve">“I want flexibility from year to year.” → </w:t>
      </w:r>
      <w:r w:rsidRPr="00205CDF">
        <w:rPr>
          <w:rFonts w:ascii="Times New Roman" w:eastAsia="Times New Roman" w:hAnsi="Times New Roman" w:cs="Times New Roman"/>
          <w:b/>
          <w:bCs/>
          <w:kern w:val="0"/>
          <w14:ligatures w14:val="none"/>
        </w:rPr>
        <w:t>SEP IRA</w:t>
      </w:r>
    </w:p>
    <w:p w14:paraId="672CB466" w14:textId="77777777" w:rsidR="00205CDF" w:rsidRPr="00205CDF" w:rsidRDefault="00205CDF" w:rsidP="00205CD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 xml:space="preserve">“I have employees and want to maximize my own contributions.” → </w:t>
      </w:r>
      <w:r w:rsidRPr="00205CDF">
        <w:rPr>
          <w:rFonts w:ascii="Times New Roman" w:eastAsia="Times New Roman" w:hAnsi="Times New Roman" w:cs="Times New Roman"/>
          <w:b/>
          <w:bCs/>
          <w:kern w:val="0"/>
          <w14:ligatures w14:val="none"/>
        </w:rPr>
        <w:t>Safe Harbor 401(k)</w:t>
      </w:r>
    </w:p>
    <w:p w14:paraId="39118F96" w14:textId="77777777" w:rsidR="00205CDF" w:rsidRPr="00205CDF" w:rsidRDefault="00205CDF" w:rsidP="00205CD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05CDF">
        <w:rPr>
          <w:rFonts w:ascii="Times New Roman" w:eastAsia="Times New Roman" w:hAnsi="Times New Roman" w:cs="Times New Roman"/>
          <w:kern w:val="0"/>
          <w14:ligatures w14:val="none"/>
        </w:rPr>
        <w:t xml:space="preserve">“I don't have employees and want to maximize contributions.” → </w:t>
      </w:r>
      <w:r w:rsidRPr="00205CDF">
        <w:rPr>
          <w:rFonts w:ascii="Times New Roman" w:eastAsia="Times New Roman" w:hAnsi="Times New Roman" w:cs="Times New Roman"/>
          <w:b/>
          <w:bCs/>
          <w:kern w:val="0"/>
          <w14:ligatures w14:val="none"/>
        </w:rPr>
        <w:t>Solo 401(k)</w:t>
      </w:r>
    </w:p>
    <w:p w14:paraId="7F0E4523" w14:textId="77777777" w:rsidR="00205CDF" w:rsidRDefault="00205CDF"/>
    <w:p w14:paraId="51C2BF07" w14:textId="0A447377" w:rsidR="00205CDF" w:rsidRDefault="00205CDF">
      <w:r w:rsidRPr="00205CDF">
        <w:t>Important: This guide is for general educational purposes. Retirement-plan rules are highly fact-specific, and plan documents and provider capabilities can differ. Consult your CPA/tax adviser, retirement-plan administrator/TPA, and financial adviser before establishing, changing, or funding a plan.</w:t>
      </w:r>
    </w:p>
    <w:p w14:paraId="29070E4C" w14:textId="353C7C39" w:rsidR="00161135" w:rsidRDefault="00161135">
      <w:r>
        <w:t>Current as of 8/7/2026</w:t>
      </w:r>
    </w:p>
    <w:sectPr w:rsidR="00161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C57D1"/>
    <w:multiLevelType w:val="multilevel"/>
    <w:tmpl w:val="8BF85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99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CDF"/>
    <w:rsid w:val="00161135"/>
    <w:rsid w:val="00205CDF"/>
    <w:rsid w:val="00456810"/>
    <w:rsid w:val="004917C3"/>
    <w:rsid w:val="00C04393"/>
    <w:rsid w:val="00C3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17BD"/>
  <w15:chartTrackingRefBased/>
  <w15:docId w15:val="{0F2059B2-7701-4A1F-BAA6-243FD3AD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C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C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C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C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C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C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C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C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C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C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C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C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C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CDF"/>
    <w:rPr>
      <w:rFonts w:eastAsiaTheme="majorEastAsia" w:cstheme="majorBidi"/>
      <w:color w:val="272727" w:themeColor="text1" w:themeTint="D8"/>
    </w:rPr>
  </w:style>
  <w:style w:type="paragraph" w:styleId="Title">
    <w:name w:val="Title"/>
    <w:basedOn w:val="Normal"/>
    <w:next w:val="Normal"/>
    <w:link w:val="TitleChar"/>
    <w:uiPriority w:val="10"/>
    <w:qFormat/>
    <w:rsid w:val="00205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CDF"/>
    <w:pPr>
      <w:spacing w:before="160"/>
      <w:jc w:val="center"/>
    </w:pPr>
    <w:rPr>
      <w:i/>
      <w:iCs/>
      <w:color w:val="404040" w:themeColor="text1" w:themeTint="BF"/>
    </w:rPr>
  </w:style>
  <w:style w:type="character" w:customStyle="1" w:styleId="QuoteChar">
    <w:name w:val="Quote Char"/>
    <w:basedOn w:val="DefaultParagraphFont"/>
    <w:link w:val="Quote"/>
    <w:uiPriority w:val="29"/>
    <w:rsid w:val="00205CDF"/>
    <w:rPr>
      <w:i/>
      <w:iCs/>
      <w:color w:val="404040" w:themeColor="text1" w:themeTint="BF"/>
    </w:rPr>
  </w:style>
  <w:style w:type="paragraph" w:styleId="ListParagraph">
    <w:name w:val="List Paragraph"/>
    <w:basedOn w:val="Normal"/>
    <w:uiPriority w:val="34"/>
    <w:qFormat/>
    <w:rsid w:val="00205CDF"/>
    <w:pPr>
      <w:ind w:left="720"/>
      <w:contextualSpacing/>
    </w:pPr>
  </w:style>
  <w:style w:type="character" w:styleId="IntenseEmphasis">
    <w:name w:val="Intense Emphasis"/>
    <w:basedOn w:val="DefaultParagraphFont"/>
    <w:uiPriority w:val="21"/>
    <w:qFormat/>
    <w:rsid w:val="00205CDF"/>
    <w:rPr>
      <w:i/>
      <w:iCs/>
      <w:color w:val="0F4761" w:themeColor="accent1" w:themeShade="BF"/>
    </w:rPr>
  </w:style>
  <w:style w:type="paragraph" w:styleId="IntenseQuote">
    <w:name w:val="Intense Quote"/>
    <w:basedOn w:val="Normal"/>
    <w:next w:val="Normal"/>
    <w:link w:val="IntenseQuoteChar"/>
    <w:uiPriority w:val="30"/>
    <w:qFormat/>
    <w:rsid w:val="00205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CDF"/>
    <w:rPr>
      <w:i/>
      <w:iCs/>
      <w:color w:val="0F4761" w:themeColor="accent1" w:themeShade="BF"/>
    </w:rPr>
  </w:style>
  <w:style w:type="character" w:styleId="IntenseReference">
    <w:name w:val="Intense Reference"/>
    <w:basedOn w:val="DefaultParagraphFont"/>
    <w:uiPriority w:val="32"/>
    <w:qFormat/>
    <w:rsid w:val="00205C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4</cp:revision>
  <dcterms:created xsi:type="dcterms:W3CDTF">2026-08-07T22:59:00Z</dcterms:created>
  <dcterms:modified xsi:type="dcterms:W3CDTF">2026-08-07T23:04:00Z</dcterms:modified>
</cp:coreProperties>
</file>