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8BD" w14:textId="77777777" w:rsidR="005A5F0E" w:rsidRDefault="00B55415">
      <w:pPr>
        <w:spacing w:after="82" w:line="259" w:lineRule="auto"/>
        <w:ind w:left="12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C44EC2D" w14:textId="6430B14F" w:rsidR="005A5F0E" w:rsidRDefault="00BD0FE6">
      <w:pPr>
        <w:spacing w:after="74" w:line="259" w:lineRule="auto"/>
        <w:ind w:left="12" w:firstLine="0"/>
      </w:pPr>
      <w:r>
        <w:rPr>
          <w:noProof/>
          <w:color w:val="0070C0"/>
          <w:sz w:val="36"/>
        </w:rPr>
        <w:drawing>
          <wp:inline distT="0" distB="0" distL="0" distR="0" wp14:anchorId="3B0F1571" wp14:editId="4CB6768D">
            <wp:extent cx="2019300" cy="2019300"/>
            <wp:effectExtent l="0" t="0" r="0" b="0"/>
            <wp:docPr id="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415">
        <w:t xml:space="preserve"> </w:t>
      </w:r>
    </w:p>
    <w:p w14:paraId="5B255B4E" w14:textId="77777777" w:rsidR="005A5F0E" w:rsidRDefault="00B55415">
      <w:pPr>
        <w:spacing w:after="74" w:line="259" w:lineRule="auto"/>
        <w:ind w:left="12" w:firstLine="0"/>
      </w:pPr>
      <w:r>
        <w:t xml:space="preserve"> </w:t>
      </w:r>
    </w:p>
    <w:p w14:paraId="432C9AD3" w14:textId="77777777" w:rsidR="005A5F0E" w:rsidRDefault="00B55415">
      <w:pPr>
        <w:spacing w:after="76" w:line="259" w:lineRule="auto"/>
        <w:ind w:left="12" w:firstLine="0"/>
      </w:pPr>
      <w:r>
        <w:t xml:space="preserve"> </w:t>
      </w:r>
    </w:p>
    <w:p w14:paraId="213C622D" w14:textId="77777777" w:rsidR="005A5F0E" w:rsidRDefault="00B55415">
      <w:pPr>
        <w:spacing w:after="74" w:line="259" w:lineRule="auto"/>
        <w:ind w:left="12" w:firstLine="0"/>
      </w:pPr>
      <w:r>
        <w:t xml:space="preserve"> </w:t>
      </w:r>
    </w:p>
    <w:p w14:paraId="248F23CD" w14:textId="77777777" w:rsidR="005A5F0E" w:rsidRDefault="00B55415">
      <w:pPr>
        <w:spacing w:after="74" w:line="259" w:lineRule="auto"/>
        <w:ind w:left="12" w:firstLine="0"/>
      </w:pPr>
      <w:r>
        <w:t xml:space="preserve"> </w:t>
      </w:r>
    </w:p>
    <w:p w14:paraId="225D45F1" w14:textId="77777777" w:rsidR="005A5F0E" w:rsidRDefault="00B55415">
      <w:pPr>
        <w:spacing w:after="75" w:line="259" w:lineRule="auto"/>
        <w:ind w:left="12" w:firstLine="0"/>
      </w:pPr>
      <w:r>
        <w:t xml:space="preserve"> </w:t>
      </w:r>
    </w:p>
    <w:p w14:paraId="6F50F98D" w14:textId="77777777" w:rsidR="005A5F0E" w:rsidRDefault="00B55415">
      <w:pPr>
        <w:spacing w:after="76" w:line="259" w:lineRule="auto"/>
        <w:ind w:left="12" w:firstLine="0"/>
      </w:pPr>
      <w:r>
        <w:t xml:space="preserve"> </w:t>
      </w:r>
    </w:p>
    <w:p w14:paraId="10828F9C" w14:textId="77777777" w:rsidR="005A5F0E" w:rsidRDefault="00B55415">
      <w:pPr>
        <w:spacing w:after="247" w:line="259" w:lineRule="auto"/>
        <w:ind w:left="12" w:firstLine="0"/>
      </w:pPr>
      <w:r>
        <w:t xml:space="preserve"> </w:t>
      </w:r>
    </w:p>
    <w:p w14:paraId="7BCC1109" w14:textId="146889A1" w:rsidR="005A5F0E" w:rsidRDefault="00B55415">
      <w:pPr>
        <w:spacing w:after="0" w:line="259" w:lineRule="auto"/>
        <w:ind w:left="12" w:firstLine="0"/>
        <w:rPr>
          <w:color w:val="0070C0"/>
          <w:sz w:val="52"/>
          <w:szCs w:val="52"/>
        </w:rPr>
      </w:pPr>
      <w:r w:rsidRPr="00BD0FE6">
        <w:rPr>
          <w:color w:val="0070C0"/>
          <w:sz w:val="52"/>
          <w:szCs w:val="52"/>
        </w:rPr>
        <w:t xml:space="preserve">Medicines </w:t>
      </w:r>
      <w:r w:rsidR="00BD0FE6" w:rsidRPr="00BD0FE6">
        <w:rPr>
          <w:color w:val="0070C0"/>
          <w:sz w:val="52"/>
          <w:szCs w:val="52"/>
        </w:rPr>
        <w:t xml:space="preserve">Management </w:t>
      </w:r>
      <w:r w:rsidRPr="00BD0FE6">
        <w:rPr>
          <w:color w:val="0070C0"/>
          <w:sz w:val="52"/>
          <w:szCs w:val="52"/>
        </w:rPr>
        <w:t xml:space="preserve">Policy  </w:t>
      </w:r>
    </w:p>
    <w:p w14:paraId="229BDA31" w14:textId="2055BBAA" w:rsidR="00BD0FE6" w:rsidRPr="00BD0FE6" w:rsidRDefault="00BD0FE6">
      <w:pPr>
        <w:spacing w:after="0" w:line="259" w:lineRule="auto"/>
        <w:ind w:left="12" w:firstLine="0"/>
        <w:rPr>
          <w:sz w:val="36"/>
          <w:szCs w:val="36"/>
        </w:rPr>
      </w:pPr>
      <w:r>
        <w:rPr>
          <w:color w:val="0070C0"/>
          <w:sz w:val="36"/>
          <w:szCs w:val="36"/>
        </w:rPr>
        <w:t>Incorporating Cold Chain Management</w:t>
      </w:r>
    </w:p>
    <w:p w14:paraId="66C0729B" w14:textId="77777777" w:rsidR="00BD0FE6" w:rsidRDefault="00BD0FE6" w:rsidP="00BD0FE6">
      <w:pPr>
        <w:spacing w:after="74" w:line="259" w:lineRule="auto"/>
        <w:ind w:left="-5" w:right="10"/>
      </w:pPr>
      <w:r>
        <w:t xml:space="preserve">Version: 1 </w:t>
      </w:r>
    </w:p>
    <w:p w14:paraId="7FF99FDD" w14:textId="77777777" w:rsidR="00BD0FE6" w:rsidRDefault="00BD0FE6" w:rsidP="00BD0FE6">
      <w:pPr>
        <w:spacing w:after="74" w:line="259" w:lineRule="auto"/>
        <w:ind w:left="-5" w:right="10"/>
      </w:pPr>
    </w:p>
    <w:p w14:paraId="2676CF48" w14:textId="77777777" w:rsidR="00BD0FE6" w:rsidRDefault="00BD0FE6" w:rsidP="00BD0FE6">
      <w:pPr>
        <w:spacing w:after="74" w:line="259" w:lineRule="auto"/>
        <w:ind w:left="-5" w:right="10"/>
      </w:pPr>
    </w:p>
    <w:p w14:paraId="3861B685" w14:textId="77777777" w:rsidR="00BD0FE6" w:rsidRDefault="00BD0FE6" w:rsidP="00BD0FE6">
      <w:pPr>
        <w:spacing w:after="74" w:line="259" w:lineRule="auto"/>
        <w:ind w:left="-5" w:right="10"/>
      </w:pPr>
    </w:p>
    <w:p w14:paraId="03B635BF" w14:textId="77777777" w:rsidR="00BD0FE6" w:rsidRDefault="00BD0FE6" w:rsidP="00BD0FE6">
      <w:pPr>
        <w:spacing w:after="74" w:line="259" w:lineRule="auto"/>
        <w:ind w:left="-5" w:right="10"/>
      </w:pPr>
    </w:p>
    <w:p w14:paraId="12E6F57B" w14:textId="77777777" w:rsidR="00BD0FE6" w:rsidRDefault="00BD0FE6" w:rsidP="00BD0FE6">
      <w:pPr>
        <w:spacing w:after="74" w:line="259" w:lineRule="auto"/>
        <w:ind w:left="-5" w:right="10"/>
      </w:pPr>
    </w:p>
    <w:p w14:paraId="3B99E56F" w14:textId="77777777" w:rsidR="00BD0FE6" w:rsidRDefault="00BD0FE6" w:rsidP="00BD0FE6">
      <w:pPr>
        <w:spacing w:after="74" w:line="259" w:lineRule="auto"/>
        <w:ind w:left="-5" w:right="10"/>
      </w:pPr>
    </w:p>
    <w:p w14:paraId="36FAC982" w14:textId="77777777" w:rsidR="00BD0FE6" w:rsidRDefault="00BD0FE6" w:rsidP="00BD0FE6">
      <w:pPr>
        <w:spacing w:after="74" w:line="259" w:lineRule="auto"/>
        <w:ind w:left="-5" w:right="10"/>
      </w:pPr>
    </w:p>
    <w:p w14:paraId="4E115D96" w14:textId="77777777" w:rsidR="00BD0FE6" w:rsidRDefault="00BD0FE6" w:rsidP="00BD0FE6">
      <w:pPr>
        <w:spacing w:after="74" w:line="259" w:lineRule="auto"/>
        <w:ind w:left="-5" w:right="10"/>
      </w:pPr>
      <w:r>
        <w:t xml:space="preserve">Name of originator / author: </w:t>
      </w:r>
    </w:p>
    <w:p w14:paraId="0B4029C6" w14:textId="77777777" w:rsidR="00BD0FE6" w:rsidRPr="008C09FF" w:rsidRDefault="00BD0FE6" w:rsidP="00BD0FE6">
      <w:pPr>
        <w:spacing w:after="74" w:line="259" w:lineRule="auto"/>
        <w:ind w:left="-5" w:right="10"/>
      </w:pPr>
      <w:r>
        <w:t xml:space="preserve">Karen Hewinson </w:t>
      </w:r>
      <w:r w:rsidRPr="008C09FF">
        <w:rPr>
          <w:rFonts w:eastAsiaTheme="minorEastAsia" w:cs="Times New Roman"/>
          <w:noProof/>
          <w:color w:val="0F243E"/>
        </w:rPr>
        <w:t>MSc ACP (SHU), PG Dip SCPHN (ARU), PG Cert HCL (Open)</w:t>
      </w:r>
    </w:p>
    <w:p w14:paraId="378F4215" w14:textId="77777777" w:rsidR="00BD0FE6" w:rsidRDefault="00BD0FE6" w:rsidP="00BD0FE6">
      <w:pPr>
        <w:spacing w:after="74" w:line="259" w:lineRule="auto"/>
        <w:ind w:left="-5" w:right="10"/>
      </w:pPr>
    </w:p>
    <w:p w14:paraId="0DE6FF77" w14:textId="77777777" w:rsidR="00BD0FE6" w:rsidRDefault="00BD0FE6" w:rsidP="00BD0FE6">
      <w:pPr>
        <w:spacing w:after="74" w:line="259" w:lineRule="auto"/>
        <w:ind w:left="-5" w:right="10"/>
      </w:pPr>
      <w:r>
        <w:t xml:space="preserve">Date issued: September 2023 </w:t>
      </w:r>
    </w:p>
    <w:p w14:paraId="71E337EB" w14:textId="77777777" w:rsidR="00BD0FE6" w:rsidRDefault="00BD0FE6" w:rsidP="00BD0FE6">
      <w:pPr>
        <w:spacing w:after="74" w:line="259" w:lineRule="auto"/>
        <w:ind w:left="-5" w:right="10"/>
      </w:pPr>
      <w:r>
        <w:t xml:space="preserve">Review date: September 2024 </w:t>
      </w:r>
    </w:p>
    <w:p w14:paraId="34E51B59" w14:textId="77777777" w:rsidR="00BD0FE6" w:rsidRDefault="00BD0FE6" w:rsidP="00BD0FE6">
      <w:pPr>
        <w:spacing w:after="57" w:line="259" w:lineRule="auto"/>
        <w:ind w:left="-5" w:right="10"/>
      </w:pPr>
      <w:r>
        <w:t>Available on website</w:t>
      </w:r>
    </w:p>
    <w:p w14:paraId="0E6FD4C0" w14:textId="77777777" w:rsidR="005A5F0E" w:rsidRDefault="00B55415">
      <w:pPr>
        <w:spacing w:after="67" w:line="259" w:lineRule="auto"/>
        <w:ind w:left="148" w:firstLine="0"/>
        <w:jc w:val="center"/>
      </w:pPr>
      <w:r>
        <w:rPr>
          <w:b/>
          <w:sz w:val="22"/>
        </w:rPr>
        <w:t xml:space="preserve"> </w:t>
      </w:r>
    </w:p>
    <w:p w14:paraId="73419054" w14:textId="77777777" w:rsidR="005A5F0E" w:rsidRDefault="00B55415">
      <w:pPr>
        <w:spacing w:after="69" w:line="259" w:lineRule="auto"/>
        <w:ind w:left="148" w:firstLine="0"/>
        <w:jc w:val="center"/>
      </w:pPr>
      <w:r>
        <w:rPr>
          <w:b/>
          <w:sz w:val="22"/>
        </w:rPr>
        <w:t xml:space="preserve"> </w:t>
      </w:r>
    </w:p>
    <w:p w14:paraId="354AEAC4" w14:textId="77777777" w:rsidR="005A5F0E" w:rsidRDefault="00B55415">
      <w:pPr>
        <w:spacing w:after="67" w:line="259" w:lineRule="auto"/>
        <w:ind w:left="148" w:firstLine="0"/>
        <w:jc w:val="center"/>
      </w:pPr>
      <w:r>
        <w:rPr>
          <w:b/>
          <w:sz w:val="22"/>
        </w:rPr>
        <w:lastRenderedPageBreak/>
        <w:t xml:space="preserve"> </w:t>
      </w:r>
    </w:p>
    <w:p w14:paraId="161D2B9C" w14:textId="77777777" w:rsidR="005A5F0E" w:rsidRDefault="00B55415">
      <w:pPr>
        <w:spacing w:after="67" w:line="259" w:lineRule="auto"/>
        <w:ind w:left="148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97"/>
        <w:gridCol w:w="2592"/>
        <w:gridCol w:w="1737"/>
        <w:gridCol w:w="1390"/>
        <w:gridCol w:w="2468"/>
      </w:tblGrid>
      <w:tr w:rsidR="00BD0FE6" w14:paraId="698819AA" w14:textId="77777777" w:rsidTr="005F69AB">
        <w:tc>
          <w:tcPr>
            <w:tcW w:w="1032" w:type="dxa"/>
          </w:tcPr>
          <w:p w14:paraId="5740BF89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Version </w:t>
            </w:r>
          </w:p>
        </w:tc>
        <w:tc>
          <w:tcPr>
            <w:tcW w:w="2592" w:type="dxa"/>
          </w:tcPr>
          <w:p w14:paraId="6A00CD00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rPr>
                <w:b/>
              </w:rPr>
              <w:t xml:space="preserve">Section / </w:t>
            </w:r>
          </w:p>
          <w:p w14:paraId="3BC557DC" w14:textId="77777777" w:rsidR="00BD0FE6" w:rsidRDefault="00BD0FE6" w:rsidP="005F69AB">
            <w:pPr>
              <w:spacing w:after="74" w:line="259" w:lineRule="auto"/>
              <w:ind w:left="0" w:firstLine="0"/>
            </w:pPr>
            <w:r>
              <w:rPr>
                <w:b/>
              </w:rPr>
              <w:t xml:space="preserve">Paragraph / </w:t>
            </w:r>
          </w:p>
          <w:p w14:paraId="1CC86B1D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Appendix </w:t>
            </w:r>
          </w:p>
        </w:tc>
        <w:tc>
          <w:tcPr>
            <w:tcW w:w="1624" w:type="dxa"/>
          </w:tcPr>
          <w:p w14:paraId="4FC2095B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Version / Description of Amendments </w:t>
            </w:r>
          </w:p>
        </w:tc>
        <w:tc>
          <w:tcPr>
            <w:tcW w:w="1303" w:type="dxa"/>
          </w:tcPr>
          <w:p w14:paraId="61EDCF62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Date </w:t>
            </w:r>
          </w:p>
        </w:tc>
        <w:tc>
          <w:tcPr>
            <w:tcW w:w="2468" w:type="dxa"/>
          </w:tcPr>
          <w:p w14:paraId="7B39CEF2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rPr>
                <w:b/>
              </w:rPr>
              <w:t xml:space="preserve">Author / </w:t>
            </w:r>
          </w:p>
          <w:p w14:paraId="73C50CC7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Amended by </w:t>
            </w:r>
          </w:p>
        </w:tc>
      </w:tr>
      <w:tr w:rsidR="00BD0FE6" w14:paraId="1BBF5A9E" w14:textId="77777777" w:rsidTr="005F69AB">
        <w:tc>
          <w:tcPr>
            <w:tcW w:w="1032" w:type="dxa"/>
          </w:tcPr>
          <w:p w14:paraId="254D73D7" w14:textId="77777777" w:rsidR="00BD0FE6" w:rsidRDefault="00BD0FE6" w:rsidP="005F69AB">
            <w:pPr>
              <w:spacing w:after="218" w:line="259" w:lineRule="auto"/>
              <w:ind w:left="0" w:firstLine="0"/>
              <w:rPr>
                <w:b/>
              </w:rPr>
            </w:pPr>
            <w:r>
              <w:t xml:space="preserve">1 </w:t>
            </w:r>
          </w:p>
        </w:tc>
        <w:tc>
          <w:tcPr>
            <w:tcW w:w="2592" w:type="dxa"/>
          </w:tcPr>
          <w:p w14:paraId="2761B3DB" w14:textId="77777777" w:rsidR="00BD0FE6" w:rsidRDefault="00BD0FE6" w:rsidP="005F69AB">
            <w:pPr>
              <w:spacing w:after="76" w:line="259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  <w:tc>
          <w:tcPr>
            <w:tcW w:w="1624" w:type="dxa"/>
          </w:tcPr>
          <w:p w14:paraId="6A3DAD9A" w14:textId="77777777" w:rsidR="00BD0FE6" w:rsidRDefault="00BD0FE6" w:rsidP="005F69AB">
            <w:pPr>
              <w:spacing w:after="218" w:line="259" w:lineRule="auto"/>
              <w:ind w:left="0" w:firstLine="0"/>
              <w:rPr>
                <w:b/>
              </w:rPr>
            </w:pPr>
            <w:r>
              <w:t xml:space="preserve">New Policy </w:t>
            </w:r>
          </w:p>
        </w:tc>
        <w:tc>
          <w:tcPr>
            <w:tcW w:w="1303" w:type="dxa"/>
          </w:tcPr>
          <w:p w14:paraId="5B39CD01" w14:textId="77777777" w:rsidR="00BD0FE6" w:rsidRDefault="00BD0FE6" w:rsidP="005F69AB">
            <w:pPr>
              <w:spacing w:after="218" w:line="259" w:lineRule="auto"/>
              <w:ind w:left="0" w:firstLine="0"/>
              <w:rPr>
                <w:b/>
              </w:rPr>
            </w:pPr>
            <w:r>
              <w:t xml:space="preserve">September    2023 </w:t>
            </w:r>
          </w:p>
        </w:tc>
        <w:tc>
          <w:tcPr>
            <w:tcW w:w="2468" w:type="dxa"/>
          </w:tcPr>
          <w:p w14:paraId="537A73F5" w14:textId="77777777" w:rsidR="00BD0FE6" w:rsidRDefault="00BD0FE6" w:rsidP="005F69AB">
            <w:pPr>
              <w:spacing w:after="76" w:line="259" w:lineRule="auto"/>
              <w:ind w:left="0" w:firstLine="0"/>
              <w:rPr>
                <w:b/>
              </w:rPr>
            </w:pPr>
            <w:r>
              <w:t>Karen Hewinson</w:t>
            </w:r>
          </w:p>
        </w:tc>
      </w:tr>
      <w:tr w:rsidR="00BD0FE6" w14:paraId="6619E20D" w14:textId="77777777" w:rsidTr="005F69AB">
        <w:tc>
          <w:tcPr>
            <w:tcW w:w="1032" w:type="dxa"/>
          </w:tcPr>
          <w:p w14:paraId="1704265C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592" w:type="dxa"/>
          </w:tcPr>
          <w:p w14:paraId="15404B6D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</w:tcPr>
          <w:p w14:paraId="5E9A4A52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3" w:type="dxa"/>
          </w:tcPr>
          <w:p w14:paraId="60220EB1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8" w:type="dxa"/>
          </w:tcPr>
          <w:p w14:paraId="159A9384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</w:tr>
      <w:tr w:rsidR="00BD0FE6" w14:paraId="1011C438" w14:textId="77777777" w:rsidTr="005F69AB">
        <w:tc>
          <w:tcPr>
            <w:tcW w:w="1032" w:type="dxa"/>
          </w:tcPr>
          <w:p w14:paraId="0A020848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2592" w:type="dxa"/>
          </w:tcPr>
          <w:p w14:paraId="0B0479CB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</w:tcPr>
          <w:p w14:paraId="45C106BC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3" w:type="dxa"/>
          </w:tcPr>
          <w:p w14:paraId="192C37A9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8" w:type="dxa"/>
          </w:tcPr>
          <w:p w14:paraId="50600E4F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</w:tr>
      <w:tr w:rsidR="00BD0FE6" w14:paraId="650E46EF" w14:textId="77777777" w:rsidTr="005F69AB">
        <w:tc>
          <w:tcPr>
            <w:tcW w:w="1032" w:type="dxa"/>
          </w:tcPr>
          <w:p w14:paraId="14A151D1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2592" w:type="dxa"/>
          </w:tcPr>
          <w:p w14:paraId="0BCC7E9E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</w:tcPr>
          <w:p w14:paraId="3F223603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3" w:type="dxa"/>
          </w:tcPr>
          <w:p w14:paraId="1E7ED6ED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8" w:type="dxa"/>
          </w:tcPr>
          <w:p w14:paraId="030800AB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</w:tr>
      <w:tr w:rsidR="00BD0FE6" w14:paraId="3E1E3E92" w14:textId="77777777" w:rsidTr="005F69AB">
        <w:tc>
          <w:tcPr>
            <w:tcW w:w="1032" w:type="dxa"/>
          </w:tcPr>
          <w:p w14:paraId="6FC41C1C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2592" w:type="dxa"/>
          </w:tcPr>
          <w:p w14:paraId="5177547C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</w:tcPr>
          <w:p w14:paraId="69F0EBB1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3" w:type="dxa"/>
          </w:tcPr>
          <w:p w14:paraId="5A8ECC8D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8" w:type="dxa"/>
          </w:tcPr>
          <w:p w14:paraId="334A229A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</w:tr>
      <w:tr w:rsidR="00BD0FE6" w14:paraId="19D671C5" w14:textId="77777777" w:rsidTr="005F69AB">
        <w:tc>
          <w:tcPr>
            <w:tcW w:w="1032" w:type="dxa"/>
          </w:tcPr>
          <w:p w14:paraId="29532B9A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2592" w:type="dxa"/>
          </w:tcPr>
          <w:p w14:paraId="76BC6E23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4" w:type="dxa"/>
          </w:tcPr>
          <w:p w14:paraId="35DA2196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3" w:type="dxa"/>
          </w:tcPr>
          <w:p w14:paraId="0C474E7D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68" w:type="dxa"/>
          </w:tcPr>
          <w:p w14:paraId="269AC078" w14:textId="77777777" w:rsidR="00BD0FE6" w:rsidRDefault="00BD0FE6" w:rsidP="005F69AB">
            <w:pPr>
              <w:spacing w:after="76" w:line="259" w:lineRule="auto"/>
              <w:ind w:left="0" w:firstLine="0"/>
            </w:pPr>
            <w:r>
              <w:t xml:space="preserve"> </w:t>
            </w:r>
          </w:p>
        </w:tc>
      </w:tr>
      <w:tr w:rsidR="00BD0FE6" w14:paraId="47478690" w14:textId="77777777" w:rsidTr="005F69AB">
        <w:tc>
          <w:tcPr>
            <w:tcW w:w="1032" w:type="dxa"/>
          </w:tcPr>
          <w:p w14:paraId="52D7528E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>7</w:t>
            </w:r>
          </w:p>
        </w:tc>
        <w:tc>
          <w:tcPr>
            <w:tcW w:w="2592" w:type="dxa"/>
          </w:tcPr>
          <w:p w14:paraId="2986F012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  <w:tc>
          <w:tcPr>
            <w:tcW w:w="1624" w:type="dxa"/>
          </w:tcPr>
          <w:p w14:paraId="38B4BE41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1303" w:type="dxa"/>
          </w:tcPr>
          <w:p w14:paraId="08F383AE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2468" w:type="dxa"/>
          </w:tcPr>
          <w:p w14:paraId="010F694E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</w:tr>
      <w:tr w:rsidR="00BD0FE6" w14:paraId="1EBA9762" w14:textId="77777777" w:rsidTr="005F69AB">
        <w:tc>
          <w:tcPr>
            <w:tcW w:w="1032" w:type="dxa"/>
          </w:tcPr>
          <w:p w14:paraId="1E02291E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>8</w:t>
            </w:r>
          </w:p>
        </w:tc>
        <w:tc>
          <w:tcPr>
            <w:tcW w:w="2592" w:type="dxa"/>
          </w:tcPr>
          <w:p w14:paraId="53F02AEE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  <w:tc>
          <w:tcPr>
            <w:tcW w:w="1624" w:type="dxa"/>
          </w:tcPr>
          <w:p w14:paraId="3FABCDCB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1303" w:type="dxa"/>
          </w:tcPr>
          <w:p w14:paraId="3D02BCB6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2468" w:type="dxa"/>
          </w:tcPr>
          <w:p w14:paraId="2D0E7566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</w:tr>
      <w:tr w:rsidR="00BD0FE6" w14:paraId="2F451FF6" w14:textId="77777777" w:rsidTr="005F69AB">
        <w:tc>
          <w:tcPr>
            <w:tcW w:w="1032" w:type="dxa"/>
          </w:tcPr>
          <w:p w14:paraId="774E4F75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>9</w:t>
            </w:r>
          </w:p>
        </w:tc>
        <w:tc>
          <w:tcPr>
            <w:tcW w:w="2592" w:type="dxa"/>
          </w:tcPr>
          <w:p w14:paraId="124B38F0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  <w:tc>
          <w:tcPr>
            <w:tcW w:w="1624" w:type="dxa"/>
          </w:tcPr>
          <w:p w14:paraId="6AD4055C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1303" w:type="dxa"/>
          </w:tcPr>
          <w:p w14:paraId="62DE80C6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2468" w:type="dxa"/>
          </w:tcPr>
          <w:p w14:paraId="0CFF0A91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</w:tr>
      <w:tr w:rsidR="00BD0FE6" w14:paraId="510EACA5" w14:textId="77777777" w:rsidTr="005F69AB">
        <w:tc>
          <w:tcPr>
            <w:tcW w:w="1032" w:type="dxa"/>
          </w:tcPr>
          <w:p w14:paraId="09E7FE8E" w14:textId="77777777" w:rsidR="00BD0FE6" w:rsidRDefault="00BD0FE6" w:rsidP="005F69AB">
            <w:pPr>
              <w:spacing w:after="218" w:line="259" w:lineRule="auto"/>
              <w:ind w:left="0" w:firstLine="0"/>
            </w:pPr>
            <w:r>
              <w:t>10</w:t>
            </w:r>
          </w:p>
        </w:tc>
        <w:tc>
          <w:tcPr>
            <w:tcW w:w="2592" w:type="dxa"/>
          </w:tcPr>
          <w:p w14:paraId="241D4D6D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  <w:tc>
          <w:tcPr>
            <w:tcW w:w="1624" w:type="dxa"/>
          </w:tcPr>
          <w:p w14:paraId="13301F26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1303" w:type="dxa"/>
          </w:tcPr>
          <w:p w14:paraId="3827B266" w14:textId="77777777" w:rsidR="00BD0FE6" w:rsidRDefault="00BD0FE6" w:rsidP="005F69AB">
            <w:pPr>
              <w:spacing w:after="218" w:line="259" w:lineRule="auto"/>
              <w:ind w:left="0" w:firstLine="0"/>
            </w:pPr>
          </w:p>
        </w:tc>
        <w:tc>
          <w:tcPr>
            <w:tcW w:w="2468" w:type="dxa"/>
          </w:tcPr>
          <w:p w14:paraId="65F3B25E" w14:textId="77777777" w:rsidR="00BD0FE6" w:rsidRDefault="00BD0FE6" w:rsidP="005F69AB">
            <w:pPr>
              <w:spacing w:after="76" w:line="259" w:lineRule="auto"/>
              <w:ind w:left="0" w:firstLine="0"/>
            </w:pPr>
          </w:p>
        </w:tc>
      </w:tr>
    </w:tbl>
    <w:p w14:paraId="037966FC" w14:textId="018B0B69" w:rsidR="005A5F0E" w:rsidRDefault="00B55415">
      <w:pPr>
        <w:spacing w:after="0" w:line="259" w:lineRule="auto"/>
        <w:ind w:left="12" w:firstLine="0"/>
      </w:pPr>
      <w:r>
        <w:rPr>
          <w:b/>
        </w:rPr>
        <w:tab/>
      </w:r>
      <w:r>
        <w:rPr>
          <w:color w:val="FF0000"/>
        </w:rPr>
        <w:t xml:space="preserve"> </w:t>
      </w:r>
      <w:r>
        <w:br w:type="page"/>
      </w:r>
    </w:p>
    <w:p w14:paraId="3A29D1B8" w14:textId="77777777" w:rsidR="005A5F0E" w:rsidRDefault="00B55415">
      <w:pPr>
        <w:pStyle w:val="Heading2"/>
        <w:ind w:left="7"/>
      </w:pPr>
      <w:r>
        <w:lastRenderedPageBreak/>
        <w:t xml:space="preserve">1. Introduction &amp; Scope </w:t>
      </w:r>
    </w:p>
    <w:p w14:paraId="715F4081" w14:textId="77777777" w:rsidR="005A5F0E" w:rsidRDefault="00B55415">
      <w:pPr>
        <w:spacing w:after="276" w:line="259" w:lineRule="auto"/>
        <w:ind w:left="12" w:firstLine="0"/>
      </w:pPr>
      <w:r>
        <w:rPr>
          <w:color w:val="FF0000"/>
        </w:rPr>
        <w:t xml:space="preserve"> </w:t>
      </w:r>
    </w:p>
    <w:p w14:paraId="6354BE9F" w14:textId="5910D70F" w:rsidR="00BD0FE6" w:rsidRDefault="00BD0FE6" w:rsidP="00BC200A">
      <w:pPr>
        <w:pStyle w:val="NoSpacing"/>
      </w:pPr>
      <w:r>
        <w:t>The purpose of this document is to support the Safe and Secure handling of Medicines</w:t>
      </w:r>
      <w:r>
        <w:t xml:space="preserve"> including management of cold chain.</w:t>
      </w:r>
      <w:r>
        <w:t xml:space="preserve"> </w:t>
      </w:r>
      <w:r w:rsidR="00BC200A">
        <w:t>This policy related to Independent Prescribing as Patient Group Directives (PGD</w:t>
      </w:r>
      <w:proofErr w:type="gramStart"/>
      <w:r w:rsidR="00BC200A">
        <w:t>)</w:t>
      </w:r>
      <w:proofErr w:type="gramEnd"/>
      <w:r w:rsidR="00BC200A">
        <w:t xml:space="preserve"> or Patient Specific Directives (PSD) are not used within Skin Solutions Aesthetic Clinic Ltd.</w:t>
      </w:r>
    </w:p>
    <w:p w14:paraId="06D6326E" w14:textId="77777777" w:rsidR="00BD0FE6" w:rsidRDefault="00BD0FE6" w:rsidP="00BC200A">
      <w:pPr>
        <w:pStyle w:val="NoSpacing"/>
      </w:pPr>
    </w:p>
    <w:p w14:paraId="570E2F2A" w14:textId="0E986137" w:rsidR="005A5F0E" w:rsidRDefault="00B55415" w:rsidP="00BC200A">
      <w:pPr>
        <w:pStyle w:val="NoSpacing"/>
      </w:pPr>
      <w:r>
        <w:t>Th</w:t>
      </w:r>
      <w:r>
        <w:t xml:space="preserve">e policy is underpinned by key legislation, for example, the Medicines Act, the Misuse of Drugs Act and associated regulations, the </w:t>
      </w:r>
      <w:proofErr w:type="gramStart"/>
      <w:r>
        <w:t>Health</w:t>
      </w:r>
      <w:proofErr w:type="gramEnd"/>
      <w:r>
        <w:t xml:space="preserve"> and Safety at Work Act, the Control of Substances Hazardous to Health Regulations and the regulations relating to the</w:t>
      </w:r>
      <w:r>
        <w:t xml:space="preserve"> disposal of hazardous and other controlled wastes.  </w:t>
      </w:r>
    </w:p>
    <w:p w14:paraId="74AC4D7C" w14:textId="77777777" w:rsidR="00BC200A" w:rsidRDefault="00BC200A" w:rsidP="00BC200A">
      <w:pPr>
        <w:pStyle w:val="NoSpacing"/>
      </w:pPr>
    </w:p>
    <w:p w14:paraId="167F3DE7" w14:textId="424DE5C6" w:rsidR="005A5F0E" w:rsidRDefault="00B55415" w:rsidP="00BC200A">
      <w:pPr>
        <w:pStyle w:val="NoSpacing"/>
      </w:pPr>
      <w:r>
        <w:t>It is recognised that whilst individuals have a duty to ensure that medicines are handled safely and securely, the Organisation also has statutory responsibilities and a duty of care to staff and p</w:t>
      </w:r>
      <w:r>
        <w:t xml:space="preserve">atients. </w:t>
      </w:r>
      <w:r>
        <w:t xml:space="preserve"> </w:t>
      </w:r>
    </w:p>
    <w:p w14:paraId="6593243E" w14:textId="77777777" w:rsidR="00BC200A" w:rsidRDefault="00BC200A" w:rsidP="00BC200A">
      <w:pPr>
        <w:pStyle w:val="NoSpacing"/>
      </w:pPr>
    </w:p>
    <w:p w14:paraId="2DEBEF64" w14:textId="79CD7343" w:rsidR="005A5F0E" w:rsidRDefault="00B55415" w:rsidP="00BC200A">
      <w:pPr>
        <w:pStyle w:val="NoSpacing"/>
      </w:pPr>
      <w:r>
        <w:t>The term ‘medicines’ is used throughout the document as a generic term that c</w:t>
      </w:r>
      <w:r>
        <w:t xml:space="preserve">overs all products administered by mouth, applied to the body, or introduced into the </w:t>
      </w:r>
      <w:proofErr w:type="gramStart"/>
      <w:r>
        <w:t>body</w:t>
      </w:r>
      <w:proofErr w:type="gramEnd"/>
      <w:r>
        <w:t xml:space="preserve"> </w:t>
      </w:r>
    </w:p>
    <w:p w14:paraId="0396E4EF" w14:textId="77777777" w:rsidR="00BD0FE6" w:rsidRDefault="00BD0FE6" w:rsidP="00BD0FE6">
      <w:pPr>
        <w:spacing w:after="0" w:line="326" w:lineRule="auto"/>
        <w:ind w:left="7" w:right="14"/>
      </w:pPr>
    </w:p>
    <w:p w14:paraId="41D54EC9" w14:textId="73EE6A65" w:rsidR="005A5F0E" w:rsidRDefault="001A40CB">
      <w:pPr>
        <w:pStyle w:val="Heading2"/>
        <w:ind w:left="7"/>
      </w:pPr>
      <w:r>
        <w:t>2</w:t>
      </w:r>
      <w:r w:rsidR="00B55415">
        <w:t xml:space="preserve">. Initiation of treatment / Prescribing </w:t>
      </w:r>
    </w:p>
    <w:p w14:paraId="4939C833" w14:textId="77777777" w:rsidR="00BD0FE6" w:rsidRPr="00BD0FE6" w:rsidRDefault="00BD0FE6" w:rsidP="00BD0FE6"/>
    <w:p w14:paraId="2F3C51DB" w14:textId="604DF009" w:rsidR="005A5F0E" w:rsidRDefault="00B55415" w:rsidP="00BC200A">
      <w:pPr>
        <w:pStyle w:val="NoSpacing"/>
      </w:pPr>
      <w:r>
        <w:t>A patient’s treatment must be initiated through a formal process</w:t>
      </w:r>
      <w:r w:rsidR="00CF1F08">
        <w:t xml:space="preserve"> which includes a consultation.</w:t>
      </w:r>
    </w:p>
    <w:p w14:paraId="427D82B0" w14:textId="77777777" w:rsidR="00CF1F08" w:rsidRDefault="00CF1F08" w:rsidP="00BC200A">
      <w:pPr>
        <w:pStyle w:val="NoSpacing"/>
      </w:pPr>
    </w:p>
    <w:p w14:paraId="25151A19" w14:textId="4F7BE3B7" w:rsidR="00CF1F08" w:rsidRDefault="00CF1F08" w:rsidP="00BC200A">
      <w:pPr>
        <w:pStyle w:val="NoSpacing"/>
      </w:pPr>
      <w:r>
        <w:t xml:space="preserve">Other than adrenaline for use in </w:t>
      </w:r>
      <w:proofErr w:type="gramStart"/>
      <w:r>
        <w:t>an emergency situation</w:t>
      </w:r>
      <w:proofErr w:type="gramEnd"/>
      <w:r>
        <w:t xml:space="preserve"> and covered under the anaphylaxis policy, no stock of any prescription only medication is held on site to comply with legislation for nurses.  </w:t>
      </w:r>
    </w:p>
    <w:p w14:paraId="2EC706CA" w14:textId="77777777" w:rsidR="00CF1F08" w:rsidRDefault="00CF1F08" w:rsidP="00BC200A">
      <w:pPr>
        <w:pStyle w:val="NoSpacing"/>
      </w:pPr>
    </w:p>
    <w:p w14:paraId="03985A8E" w14:textId="768D4743" w:rsidR="00CF1F08" w:rsidRDefault="00CF1F08" w:rsidP="00BC200A">
      <w:pPr>
        <w:pStyle w:val="NoSpacing"/>
      </w:pPr>
      <w:r>
        <w:t xml:space="preserve">Prescription only medication (POM) </w:t>
      </w:r>
      <w:proofErr w:type="spellStart"/>
      <w:proofErr w:type="gramStart"/>
      <w:r>
        <w:t>eg</w:t>
      </w:r>
      <w:proofErr w:type="spellEnd"/>
      <w:proofErr w:type="gramEnd"/>
      <w:r>
        <w:t xml:space="preserve"> botulinum toxin is held on site in a lockable metal cabinet complying to BS </w:t>
      </w:r>
      <w:r w:rsidR="001A40CB">
        <w:t>2881</w:t>
      </w:r>
      <w:r>
        <w:t xml:space="preserve"> or within a lockable fridge, after completing a face-to-face consultation and is for use only on the patient noted on the medication label.  Prescribing of POM is completed by e-prescribing through a registered and regulated pharmacist.  A copy of the prescription is available and auditable on the prescriber’s pharmacy account.</w:t>
      </w:r>
    </w:p>
    <w:p w14:paraId="7B162BF5" w14:textId="77777777" w:rsidR="00CF1F08" w:rsidRDefault="00CF1F08" w:rsidP="00BC200A">
      <w:pPr>
        <w:pStyle w:val="NoSpacing"/>
      </w:pPr>
    </w:p>
    <w:p w14:paraId="4C5381E8" w14:textId="0E8097D5" w:rsidR="005A5F0E" w:rsidRDefault="00CF1F08" w:rsidP="00BC200A">
      <w:pPr>
        <w:pStyle w:val="NoSpacing"/>
      </w:pPr>
      <w:r>
        <w:t>G</w:t>
      </w:r>
      <w:r w:rsidR="00B55415">
        <w:t xml:space="preserve">ood practice principles in relation to prescribing (in line with current BNF guidance) </w:t>
      </w:r>
      <w:r>
        <w:t>should</w:t>
      </w:r>
      <w:r w:rsidR="00B55415">
        <w:t xml:space="preserve"> be followed</w:t>
      </w:r>
      <w:r>
        <w:t xml:space="preserve"> </w:t>
      </w:r>
      <w:proofErr w:type="spellStart"/>
      <w:r>
        <w:t>eg</w:t>
      </w:r>
      <w:proofErr w:type="spellEnd"/>
      <w:r w:rsidR="00B55415">
        <w:t xml:space="preserve">: </w:t>
      </w:r>
    </w:p>
    <w:p w14:paraId="125826E8" w14:textId="77777777" w:rsidR="00CF1F08" w:rsidRDefault="00B55415" w:rsidP="00BC200A">
      <w:pPr>
        <w:pStyle w:val="NoSpacing"/>
        <w:rPr>
          <w:i/>
        </w:rPr>
      </w:pPr>
      <w:r>
        <w:rPr>
          <w:i/>
        </w:rPr>
        <w:t xml:space="preserve">The strength or quantity </w:t>
      </w:r>
      <w:r>
        <w:rPr>
          <w:i/>
        </w:rPr>
        <w:t xml:space="preserve">should be stated by the prescriber. </w:t>
      </w:r>
    </w:p>
    <w:p w14:paraId="3AAB8E61" w14:textId="39CFD22C" w:rsidR="005A5F0E" w:rsidRDefault="00CF1F08" w:rsidP="00BC200A">
      <w:pPr>
        <w:pStyle w:val="NoSpacing"/>
      </w:pPr>
      <w:r>
        <w:rPr>
          <w:i/>
        </w:rPr>
        <w:t>The s</w:t>
      </w:r>
      <w:r w:rsidR="00B55415">
        <w:rPr>
          <w:i/>
        </w:rPr>
        <w:t xml:space="preserve">trength of liquid preparations should be clearly </w:t>
      </w:r>
      <w:proofErr w:type="gramStart"/>
      <w:r w:rsidR="00B55415">
        <w:rPr>
          <w:i/>
        </w:rPr>
        <w:t>stated</w:t>
      </w:r>
      <w:proofErr w:type="gramEnd"/>
      <w:r w:rsidR="00B55415">
        <w:rPr>
          <w:i/>
        </w:rPr>
        <w:t xml:space="preserve"> </w:t>
      </w:r>
    </w:p>
    <w:p w14:paraId="6A3D573E" w14:textId="77777777" w:rsidR="00CF1F08" w:rsidRDefault="00CF1F08" w:rsidP="00BC200A">
      <w:pPr>
        <w:pStyle w:val="NoSpacing"/>
        <w:rPr>
          <w:i/>
        </w:rPr>
      </w:pPr>
    </w:p>
    <w:p w14:paraId="4FD415AC" w14:textId="74BEAC16" w:rsidR="005A5F0E" w:rsidRDefault="00B55415" w:rsidP="00BC200A">
      <w:pPr>
        <w:pStyle w:val="NoSpacing"/>
      </w:pPr>
      <w:r>
        <w:rPr>
          <w:i/>
        </w:rPr>
        <w:t>The quantity to be supplied may be stated by indicating the number of days of tr</w:t>
      </w:r>
      <w:r>
        <w:rPr>
          <w:i/>
        </w:rPr>
        <w:t xml:space="preserve">eatment </w:t>
      </w:r>
      <w:proofErr w:type="gramStart"/>
      <w:r>
        <w:rPr>
          <w:i/>
        </w:rPr>
        <w:t>required</w:t>
      </w:r>
      <w:proofErr w:type="gramEnd"/>
      <w:r>
        <w:rPr>
          <w:i/>
        </w:rPr>
        <w:t xml:space="preserve"> </w:t>
      </w:r>
    </w:p>
    <w:p w14:paraId="21B2CA22" w14:textId="27E775CC" w:rsidR="005A5F0E" w:rsidRDefault="005A5F0E" w:rsidP="00BC200A">
      <w:pPr>
        <w:pStyle w:val="NoSpacing"/>
      </w:pPr>
    </w:p>
    <w:p w14:paraId="63014C8C" w14:textId="77777777" w:rsidR="005A5F0E" w:rsidRDefault="00B55415" w:rsidP="00BC200A">
      <w:pPr>
        <w:pStyle w:val="NoSpacing"/>
      </w:pPr>
      <w:r>
        <w:rPr>
          <w:i/>
        </w:rPr>
        <w:t xml:space="preserve">Due regard should be taken of any known allergies/hypersensitivity to </w:t>
      </w:r>
      <w:proofErr w:type="gramStart"/>
      <w:r>
        <w:rPr>
          <w:i/>
        </w:rPr>
        <w:t>medicines</w:t>
      </w:r>
      <w:proofErr w:type="gramEnd"/>
      <w:r>
        <w:rPr>
          <w:i/>
        </w:rPr>
        <w:t xml:space="preserve"> </w:t>
      </w:r>
    </w:p>
    <w:p w14:paraId="43E27AAA" w14:textId="77777777" w:rsidR="005A5F0E" w:rsidRDefault="00B55415" w:rsidP="00BC200A">
      <w:pPr>
        <w:pStyle w:val="NoSpacing"/>
      </w:pPr>
      <w:r>
        <w:rPr>
          <w:i/>
        </w:rPr>
        <w:t xml:space="preserve"> </w:t>
      </w:r>
    </w:p>
    <w:p w14:paraId="2EF533E0" w14:textId="067AA71D" w:rsidR="005A5F0E" w:rsidRDefault="00B55415" w:rsidP="00BC200A">
      <w:pPr>
        <w:pStyle w:val="NoSpacing"/>
      </w:pPr>
      <w:r>
        <w:lastRenderedPageBreak/>
        <w:t>For computer-issued prescriptions the recommendations of the Joint GP Information Technology Committee should also be noted. Reference s</w:t>
      </w:r>
      <w:r>
        <w:t xml:space="preserve">hould be made to page 5 of the BNF (BNF 78). </w:t>
      </w:r>
    </w:p>
    <w:p w14:paraId="46CC1CBD" w14:textId="77777777" w:rsidR="00654CA7" w:rsidRDefault="00654CA7" w:rsidP="00BC200A">
      <w:pPr>
        <w:pStyle w:val="NoSpacing"/>
      </w:pPr>
    </w:p>
    <w:p w14:paraId="6B484E44" w14:textId="1F775415" w:rsidR="005A5F0E" w:rsidRDefault="00B55415" w:rsidP="00BC200A">
      <w:pPr>
        <w:pStyle w:val="NoSpacing"/>
      </w:pPr>
      <w:r>
        <w:t xml:space="preserve">Supplementary / Independent prescribers must only prescribe within their scope of practice and </w:t>
      </w:r>
      <w:proofErr w:type="gramStart"/>
      <w:r>
        <w:t>competency</w:t>
      </w:r>
      <w:proofErr w:type="gramEnd"/>
      <w:r>
        <w:t xml:space="preserve"> </w:t>
      </w:r>
    </w:p>
    <w:p w14:paraId="442521D3" w14:textId="77777777" w:rsidR="00654CA7" w:rsidRDefault="00654CA7" w:rsidP="00BC200A">
      <w:pPr>
        <w:pStyle w:val="NoSpacing"/>
      </w:pPr>
    </w:p>
    <w:p w14:paraId="4FEF7FDD" w14:textId="366D1572" w:rsidR="005A5F0E" w:rsidRDefault="00B55415" w:rsidP="00BC200A">
      <w:pPr>
        <w:pStyle w:val="NoSpacing"/>
      </w:pPr>
      <w:r>
        <w:t>In line with national guidance, including that of the GMC,</w:t>
      </w:r>
      <w:r>
        <w:t xml:space="preserve"> where possible, you must not prescribe for yourself or those close to </w:t>
      </w:r>
      <w:proofErr w:type="gramStart"/>
      <w:r>
        <w:t>you</w:t>
      </w:r>
      <w:proofErr w:type="gramEnd"/>
      <w:r>
        <w:t xml:space="preserve"> </w:t>
      </w:r>
    </w:p>
    <w:p w14:paraId="10C293FA" w14:textId="77777777" w:rsidR="00654CA7" w:rsidRDefault="00654CA7" w:rsidP="00BC200A">
      <w:pPr>
        <w:pStyle w:val="NoSpacing"/>
      </w:pPr>
    </w:p>
    <w:p w14:paraId="32091030" w14:textId="05F86AF6" w:rsidR="005A5F0E" w:rsidRDefault="00B55415" w:rsidP="00BC200A">
      <w:pPr>
        <w:pStyle w:val="NoSpacing"/>
      </w:pPr>
      <w:r>
        <w:t xml:space="preserve">Independent prescribers are </w:t>
      </w:r>
      <w:r w:rsidR="00654CA7">
        <w:t>able</w:t>
      </w:r>
      <w:r>
        <w:t xml:space="preserve"> to issue private </w:t>
      </w:r>
      <w:r>
        <w:t xml:space="preserve">prescriptions </w:t>
      </w:r>
      <w:r w:rsidR="00654CA7">
        <w:t xml:space="preserve">providing there is </w:t>
      </w:r>
      <w:proofErr w:type="gramStart"/>
      <w:r w:rsidR="00654CA7">
        <w:t xml:space="preserve">a </w:t>
      </w:r>
      <w:r>
        <w:t xml:space="preserve"> clear</w:t>
      </w:r>
      <w:proofErr w:type="gramEnd"/>
      <w:r>
        <w:t xml:space="preserve"> audit trail. </w:t>
      </w:r>
    </w:p>
    <w:p w14:paraId="259E6B8C" w14:textId="77777777" w:rsidR="001A40CB" w:rsidRDefault="00B55415" w:rsidP="00BC200A">
      <w:pPr>
        <w:pStyle w:val="NoSpacing"/>
      </w:pPr>
      <w:r>
        <w:t xml:space="preserve"> </w:t>
      </w:r>
    </w:p>
    <w:p w14:paraId="50B914F6" w14:textId="43C85CE6" w:rsidR="005A5F0E" w:rsidRDefault="001A40CB" w:rsidP="001A40CB">
      <w:pPr>
        <w:spacing w:after="203" w:line="259" w:lineRule="auto"/>
        <w:ind w:left="12" w:firstLine="0"/>
      </w:pPr>
      <w:r w:rsidRPr="001A40CB">
        <w:rPr>
          <w:b/>
          <w:bCs/>
          <w:color w:val="0070C0"/>
          <w:sz w:val="32"/>
          <w:szCs w:val="32"/>
        </w:rPr>
        <w:t xml:space="preserve">3. </w:t>
      </w:r>
      <w:proofErr w:type="spellStart"/>
      <w:r w:rsidR="00654CA7" w:rsidRPr="001A40CB">
        <w:rPr>
          <w:b/>
          <w:color w:val="0070C0"/>
          <w:sz w:val="32"/>
        </w:rPr>
        <w:t>SSACLtd</w:t>
      </w:r>
      <w:proofErr w:type="spellEnd"/>
      <w:r w:rsidR="00654CA7" w:rsidRPr="001A40CB">
        <w:rPr>
          <w:b/>
          <w:color w:val="0070C0"/>
          <w:sz w:val="32"/>
        </w:rPr>
        <w:t xml:space="preserve"> </w:t>
      </w:r>
      <w:r w:rsidR="00B55415" w:rsidRPr="001A40CB">
        <w:rPr>
          <w:b/>
          <w:color w:val="0070C0"/>
          <w:sz w:val="32"/>
        </w:rPr>
        <w:t>prescribe</w:t>
      </w:r>
      <w:r w:rsidR="00654CA7" w:rsidRPr="001A40CB">
        <w:rPr>
          <w:b/>
          <w:color w:val="0070C0"/>
          <w:sz w:val="32"/>
        </w:rPr>
        <w:t>r</w:t>
      </w:r>
      <w:r w:rsidR="00B55415" w:rsidRPr="001A40CB">
        <w:rPr>
          <w:b/>
          <w:color w:val="0070C0"/>
          <w:sz w:val="32"/>
        </w:rPr>
        <w:t xml:space="preserve">  </w:t>
      </w:r>
    </w:p>
    <w:p w14:paraId="6766059F" w14:textId="77777777" w:rsidR="005A5F0E" w:rsidRDefault="00B55415">
      <w:pPr>
        <w:spacing w:after="76" w:line="259" w:lineRule="auto"/>
        <w:ind w:left="12" w:firstLine="0"/>
      </w:pPr>
      <w:r>
        <w:t xml:space="preserve"> </w:t>
      </w:r>
    </w:p>
    <w:p w14:paraId="2523694B" w14:textId="5CB8A449" w:rsidR="005A5F0E" w:rsidRDefault="00654CA7" w:rsidP="00654CA7">
      <w:pPr>
        <w:spacing w:after="84"/>
        <w:ind w:left="7" w:right="14"/>
      </w:pPr>
      <w:r>
        <w:t xml:space="preserve">The director is a </w:t>
      </w:r>
      <w:r>
        <w:t>Registered Healthcare Professional who ha</w:t>
      </w:r>
      <w:r>
        <w:t>s</w:t>
      </w:r>
      <w:r>
        <w:t xml:space="preserve"> successfully completed an appropriate nationally recognised prescribing course</w:t>
      </w:r>
      <w:r>
        <w:t xml:space="preserve"> and is </w:t>
      </w:r>
      <w:r>
        <w:t>registered with their professional body as a person qualified to prescribe</w:t>
      </w:r>
      <w:r>
        <w:t xml:space="preserve">    </w:t>
      </w:r>
      <w:proofErr w:type="gramStart"/>
      <w:r w:rsidR="00B55415">
        <w:t>The</w:t>
      </w:r>
      <w:proofErr w:type="gramEnd"/>
      <w:r w:rsidR="00B55415">
        <w:t xml:space="preserve"> prescribing of Prescription Only Medicines is </w:t>
      </w:r>
      <w:r w:rsidR="00B55415">
        <w:t xml:space="preserve">restricted by the Human Medicines </w:t>
      </w:r>
      <w:r w:rsidR="00B55415">
        <w:t>Regulations 2012 (and Controlled Drugs legislation), and the specific prescriber’s reg</w:t>
      </w:r>
      <w:r w:rsidR="00B55415">
        <w:t xml:space="preserve">ulatory and professional body. </w:t>
      </w:r>
    </w:p>
    <w:p w14:paraId="2666B525" w14:textId="77777777" w:rsidR="00654CA7" w:rsidRDefault="00654CA7">
      <w:pPr>
        <w:pStyle w:val="Heading2"/>
        <w:spacing w:after="85"/>
        <w:ind w:left="7"/>
      </w:pPr>
    </w:p>
    <w:p w14:paraId="4026D069" w14:textId="5F447E5D" w:rsidR="005A5F0E" w:rsidRDefault="001A40CB">
      <w:pPr>
        <w:pStyle w:val="Heading2"/>
        <w:spacing w:after="85"/>
        <w:ind w:left="7"/>
      </w:pPr>
      <w:r>
        <w:t>4</w:t>
      </w:r>
      <w:r w:rsidR="00B55415">
        <w:t xml:space="preserve">. Unlicensed/Off Label Medicines </w:t>
      </w:r>
    </w:p>
    <w:p w14:paraId="2C1625FC" w14:textId="6A475D12" w:rsidR="005A5F0E" w:rsidRDefault="00B55415" w:rsidP="00654CA7">
      <w:pPr>
        <w:ind w:left="-3" w:right="14" w:firstLine="0"/>
      </w:pPr>
      <w:r>
        <w:t>Unlicensed and off-label medicines (</w:t>
      </w:r>
      <w:proofErr w:type="gramStart"/>
      <w:r>
        <w:t>i.e.</w:t>
      </w:r>
      <w:proofErr w:type="gramEnd"/>
      <w:r>
        <w:t xml:space="preserve"> using a medicine outside of its approved use in the UK) may be prescribed</w:t>
      </w:r>
      <w:r>
        <w:t xml:space="preserve"> by medical prescribers; however </w:t>
      </w:r>
      <w:r w:rsidR="00654CA7">
        <w:t xml:space="preserve">licensed medication should be used in preference.  When using unlicensed medications, </w:t>
      </w:r>
      <w:r>
        <w:t xml:space="preserve">responsibility for the use of these </w:t>
      </w:r>
      <w:r>
        <w:t>rests with the prescriber, who remains professionally accountable for their judgement. The prescriber should inform the patient that the product does not have a marketing author</w:t>
      </w:r>
      <w:r>
        <w:t xml:space="preserve">isation. or is being outside of its approved use in the </w:t>
      </w:r>
      <w:proofErr w:type="gramStart"/>
      <w:r>
        <w:t>UK</w:t>
      </w:r>
      <w:proofErr w:type="gramEnd"/>
      <w:r>
        <w:t xml:space="preserve"> </w:t>
      </w:r>
    </w:p>
    <w:p w14:paraId="4839625C" w14:textId="77777777" w:rsidR="00654CA7" w:rsidRDefault="00654CA7">
      <w:pPr>
        <w:pStyle w:val="Heading2"/>
        <w:spacing w:after="120"/>
        <w:ind w:left="7"/>
      </w:pPr>
    </w:p>
    <w:p w14:paraId="7AE93E1A" w14:textId="4FFC923E" w:rsidR="005A5F0E" w:rsidRDefault="001A40CB">
      <w:pPr>
        <w:pStyle w:val="Heading2"/>
        <w:ind w:left="7"/>
      </w:pPr>
      <w:r>
        <w:t>5</w:t>
      </w:r>
      <w:r w:rsidR="00B55415">
        <w:t xml:space="preserve">. Dispensing     </w:t>
      </w:r>
    </w:p>
    <w:p w14:paraId="651534BE" w14:textId="6B92C997" w:rsidR="005A5F0E" w:rsidRDefault="00B55415" w:rsidP="00654CA7">
      <w:pPr>
        <w:spacing w:after="0"/>
        <w:ind w:left="12" w:right="14" w:firstLine="0"/>
      </w:pPr>
      <w:r>
        <w:t>Transferring medicines from one container to another (</w:t>
      </w:r>
      <w:proofErr w:type="gramStart"/>
      <w:r>
        <w:t>i.e.</w:t>
      </w:r>
      <w:proofErr w:type="gramEnd"/>
      <w:r>
        <w:t xml:space="preserve"> split boxes) denotes dispensing and </w:t>
      </w:r>
      <w:r w:rsidR="00654CA7">
        <w:t>requires</w:t>
      </w:r>
      <w:r>
        <w:t xml:space="preserve"> an agreed medical or pharmaceutical contractual framework </w:t>
      </w:r>
    </w:p>
    <w:p w14:paraId="79955641" w14:textId="6FCCE97D" w:rsidR="005A5F0E" w:rsidRDefault="001A40CB">
      <w:pPr>
        <w:pStyle w:val="Heading2"/>
        <w:ind w:left="7"/>
      </w:pPr>
      <w:r>
        <w:t>6</w:t>
      </w:r>
      <w:r w:rsidR="00B55415">
        <w:t xml:space="preserve">. Ordering and receipt   </w:t>
      </w:r>
    </w:p>
    <w:p w14:paraId="3AA6F1EF" w14:textId="77777777" w:rsidR="00654CA7" w:rsidRDefault="00654CA7">
      <w:pPr>
        <w:ind w:left="705" w:right="14" w:hanging="708"/>
        <w:rPr>
          <w:sz w:val="22"/>
        </w:rPr>
      </w:pPr>
    </w:p>
    <w:p w14:paraId="7A073C34" w14:textId="103D86E9" w:rsidR="00654CA7" w:rsidRPr="00654CA7" w:rsidRDefault="00654CA7" w:rsidP="001A40CB">
      <w:pPr>
        <w:ind w:left="-3" w:right="14" w:firstLine="0"/>
      </w:pPr>
      <w:r>
        <w:rPr>
          <w:sz w:val="22"/>
        </w:rPr>
        <w:t xml:space="preserve">The director of </w:t>
      </w:r>
      <w:proofErr w:type="spellStart"/>
      <w:r>
        <w:rPr>
          <w:sz w:val="22"/>
        </w:rPr>
        <w:t>SSACLtd</w:t>
      </w:r>
      <w:proofErr w:type="spellEnd"/>
      <w:r>
        <w:rPr>
          <w:sz w:val="22"/>
        </w:rPr>
        <w:t xml:space="preserve"> </w:t>
      </w:r>
      <w:r w:rsidR="001A40CB">
        <w:t xml:space="preserve">will </w:t>
      </w:r>
      <w:r w:rsidR="00B55415">
        <w:t xml:space="preserve">order </w:t>
      </w:r>
      <w:r>
        <w:t xml:space="preserve">POM for named patients </w:t>
      </w:r>
      <w:r w:rsidR="001A40CB">
        <w:t>(</w:t>
      </w:r>
      <w:r>
        <w:t xml:space="preserve">not </w:t>
      </w:r>
      <w:r w:rsidR="001A40CB">
        <w:t xml:space="preserve">for </w:t>
      </w:r>
      <w:r>
        <w:t>stock</w:t>
      </w:r>
      <w:r w:rsidR="001A40CB">
        <w:t>)</w:t>
      </w:r>
      <w:r>
        <w:t xml:space="preserve"> </w:t>
      </w:r>
      <w:r w:rsidR="001A40CB">
        <w:t xml:space="preserve">using e-prescribing from a </w:t>
      </w:r>
      <w:r w:rsidR="00B55415">
        <w:t>pharmacy</w:t>
      </w:r>
      <w:r w:rsidR="001A40CB">
        <w:t xml:space="preserve"> they have registered with</w:t>
      </w:r>
      <w:r w:rsidR="00B55415">
        <w:t xml:space="preserve">. </w:t>
      </w:r>
    </w:p>
    <w:p w14:paraId="5C4B0197" w14:textId="029D9586" w:rsidR="005A5F0E" w:rsidRDefault="005A5F0E">
      <w:pPr>
        <w:spacing w:after="0" w:line="259" w:lineRule="auto"/>
        <w:ind w:left="12" w:firstLine="0"/>
      </w:pPr>
    </w:p>
    <w:p w14:paraId="4F8BD678" w14:textId="77777777" w:rsidR="001A40CB" w:rsidRDefault="00B55415" w:rsidP="00654CA7">
      <w:pPr>
        <w:ind w:right="14"/>
      </w:pPr>
      <w:r>
        <w:t>On receipt</w:t>
      </w:r>
      <w:r>
        <w:t xml:space="preserve"> of the medicines, the supply </w:t>
      </w:r>
      <w:r>
        <w:t xml:space="preserve">should be </w:t>
      </w:r>
      <w:proofErr w:type="gramStart"/>
      <w:r>
        <w:t>checked</w:t>
      </w:r>
      <w:proofErr w:type="gramEnd"/>
      <w:r>
        <w:t xml:space="preserve"> </w:t>
      </w:r>
      <w:r>
        <w:t xml:space="preserve">and any discrepancies </w:t>
      </w:r>
      <w:r w:rsidR="001A40CB">
        <w:t>reported to the pharmacy</w:t>
      </w:r>
      <w:r>
        <w:t xml:space="preserve">. </w:t>
      </w:r>
    </w:p>
    <w:p w14:paraId="51FBD3FB" w14:textId="47F94A0B" w:rsidR="005A5F0E" w:rsidRDefault="001A40CB" w:rsidP="00654CA7">
      <w:pPr>
        <w:ind w:right="14"/>
      </w:pPr>
      <w:r>
        <w:lastRenderedPageBreak/>
        <w:t>Some p</w:t>
      </w:r>
      <w:r w:rsidR="00B55415">
        <w:t xml:space="preserve">roducts </w:t>
      </w:r>
      <w:r>
        <w:t>require</w:t>
      </w:r>
      <w:r w:rsidR="00B55415">
        <w:t xml:space="preserve"> additional quality checks to ensure, for example, that the storage requirements through the ‘cold chain’</w:t>
      </w:r>
      <w:r w:rsidR="00B55415">
        <w:t xml:space="preserve"> have been maintained. </w:t>
      </w:r>
    </w:p>
    <w:p w14:paraId="592CB17C" w14:textId="77777777" w:rsidR="001A40CB" w:rsidRDefault="001A40CB" w:rsidP="00654CA7">
      <w:pPr>
        <w:ind w:right="14"/>
      </w:pPr>
    </w:p>
    <w:p w14:paraId="32A8FA04" w14:textId="28124F59" w:rsidR="001A40CB" w:rsidRPr="001A40CB" w:rsidRDefault="001A40CB" w:rsidP="00654CA7">
      <w:pPr>
        <w:ind w:right="14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7. </w:t>
      </w:r>
      <w:r w:rsidRPr="001A40CB">
        <w:rPr>
          <w:b/>
          <w:bCs/>
          <w:color w:val="0070C0"/>
          <w:sz w:val="32"/>
          <w:szCs w:val="32"/>
        </w:rPr>
        <w:t>Controlled Drugs</w:t>
      </w:r>
    </w:p>
    <w:p w14:paraId="3EB3C310" w14:textId="5F2D4143" w:rsidR="001A40CB" w:rsidRDefault="001A40CB" w:rsidP="00654CA7">
      <w:pPr>
        <w:ind w:right="14"/>
      </w:pPr>
      <w:r>
        <w:t xml:space="preserve">No controlled drugs are used or prescribed within the </w:t>
      </w:r>
      <w:proofErr w:type="gramStart"/>
      <w:r>
        <w:t>clinic</w:t>
      </w:r>
      <w:proofErr w:type="gramEnd"/>
    </w:p>
    <w:p w14:paraId="49B839A6" w14:textId="7BD2A718" w:rsidR="005A5F0E" w:rsidRDefault="005A5F0E" w:rsidP="001A40CB">
      <w:pPr>
        <w:spacing w:after="0" w:line="259" w:lineRule="auto"/>
        <w:ind w:left="12" w:firstLine="0"/>
      </w:pPr>
    </w:p>
    <w:p w14:paraId="3B886C26" w14:textId="77777777" w:rsidR="005A5F0E" w:rsidRDefault="00B55415">
      <w:pPr>
        <w:spacing w:after="26" w:line="259" w:lineRule="auto"/>
        <w:ind w:left="12" w:firstLine="0"/>
      </w:pPr>
      <w:r>
        <w:rPr>
          <w:b/>
          <w:color w:val="0070C0"/>
          <w:sz w:val="32"/>
        </w:rPr>
        <w:t xml:space="preserve"> </w:t>
      </w:r>
    </w:p>
    <w:p w14:paraId="155F3DB1" w14:textId="57BF7919" w:rsidR="005A5F0E" w:rsidRDefault="001A40CB">
      <w:pPr>
        <w:pStyle w:val="Heading2"/>
        <w:ind w:left="7"/>
      </w:pPr>
      <w:r>
        <w:t>8</w:t>
      </w:r>
      <w:r w:rsidR="00B55415">
        <w:t xml:space="preserve">. Secure Handling of Prescription Stationery </w:t>
      </w:r>
    </w:p>
    <w:p w14:paraId="32B7BD46" w14:textId="344AEC37" w:rsidR="005A5F0E" w:rsidRDefault="001A40CB">
      <w:pPr>
        <w:spacing w:after="264"/>
        <w:ind w:left="705" w:right="14" w:hanging="708"/>
        <w:rPr>
          <w:szCs w:val="24"/>
        </w:rPr>
      </w:pPr>
      <w:r w:rsidRPr="001A40CB">
        <w:rPr>
          <w:szCs w:val="24"/>
        </w:rPr>
        <w:t>No prescription stationery is held on site.</w:t>
      </w:r>
      <w:r w:rsidR="00B55415" w:rsidRPr="001A40CB">
        <w:rPr>
          <w:szCs w:val="24"/>
        </w:rPr>
        <w:t xml:space="preserve"> </w:t>
      </w:r>
    </w:p>
    <w:p w14:paraId="13824B93" w14:textId="77777777" w:rsidR="005A5F0E" w:rsidRDefault="00B55415">
      <w:pPr>
        <w:spacing w:after="110" w:line="259" w:lineRule="auto"/>
        <w:ind w:left="12" w:firstLine="0"/>
      </w:pPr>
      <w:r>
        <w:t xml:space="preserve"> </w:t>
      </w:r>
    </w:p>
    <w:p w14:paraId="089A1442" w14:textId="7C61357A" w:rsidR="005A5F0E" w:rsidRDefault="001A40CB">
      <w:pPr>
        <w:pStyle w:val="Heading3"/>
        <w:ind w:left="7"/>
      </w:pPr>
      <w:r>
        <w:t xml:space="preserve">9. </w:t>
      </w:r>
      <w:r w:rsidR="00B55415">
        <w:t xml:space="preserve">Home visits </w:t>
      </w:r>
    </w:p>
    <w:p w14:paraId="785075BC" w14:textId="1C593B9B" w:rsidR="005A5F0E" w:rsidRDefault="001A40CB">
      <w:pPr>
        <w:spacing w:after="229"/>
        <w:ind w:left="849" w:right="14" w:hanging="852"/>
      </w:pPr>
      <w:r>
        <w:t xml:space="preserve">No home visits/prescriptions </w:t>
      </w:r>
    </w:p>
    <w:p w14:paraId="7799536F" w14:textId="77777777" w:rsidR="001A40CB" w:rsidRDefault="001A40CB">
      <w:pPr>
        <w:spacing w:after="229"/>
        <w:ind w:left="849" w:right="14" w:hanging="852"/>
      </w:pPr>
    </w:p>
    <w:p w14:paraId="6CBD89A4" w14:textId="69467720" w:rsidR="005A5F0E" w:rsidRDefault="001A40CB" w:rsidP="001A40CB">
      <w:pPr>
        <w:pStyle w:val="Heading2"/>
        <w:ind w:left="7"/>
      </w:pPr>
      <w:r>
        <w:t>10</w:t>
      </w:r>
      <w:r w:rsidR="00B55415">
        <w:t xml:space="preserve">. Storage of medicines </w:t>
      </w:r>
    </w:p>
    <w:p w14:paraId="3E565A81" w14:textId="77777777" w:rsidR="005A5F0E" w:rsidRDefault="00B55415">
      <w:pPr>
        <w:spacing w:after="0" w:line="259" w:lineRule="auto"/>
        <w:ind w:left="12" w:firstLine="0"/>
      </w:pPr>
      <w:r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ab/>
        <w:t xml:space="preserve"> </w:t>
      </w:r>
    </w:p>
    <w:p w14:paraId="1E973BE0" w14:textId="2CBC373D" w:rsidR="005A5F0E" w:rsidRDefault="001A40CB" w:rsidP="001A40CB">
      <w:pPr>
        <w:pStyle w:val="NoSpacing"/>
      </w:pPr>
      <w:proofErr w:type="spellStart"/>
      <w:r>
        <w:t>SSACLtd</w:t>
      </w:r>
      <w:proofErr w:type="spellEnd"/>
      <w:r w:rsidR="00B55415">
        <w:t xml:space="preserve"> will store medicines at a level of security appropriate to their proposed use </w:t>
      </w:r>
      <w:r>
        <w:t>in</w:t>
      </w:r>
      <w:r w:rsidR="00B55415">
        <w:t xml:space="preserve"> their original containers with Patient Information Leaflet so that they retain their batch number and expiry date. The packaging also protects the product from light </w:t>
      </w:r>
      <w:r w:rsidR="00E23B7F">
        <w:t xml:space="preserve">and </w:t>
      </w:r>
      <w:r w:rsidR="00E23B7F">
        <w:t>stor</w:t>
      </w:r>
      <w:r w:rsidR="00E23B7F">
        <w:t xml:space="preserve">age should be </w:t>
      </w:r>
      <w:r w:rsidR="00E23B7F">
        <w:t>according to manufacturers’ recommendations. Failure to do so can invalidate the expiry date and cause manufacturers to disclaim responsibility for any apparent failure of the medicine</w:t>
      </w:r>
      <w:r w:rsidR="00E23B7F">
        <w:t>,</w:t>
      </w:r>
      <w:r w:rsidR="00E23B7F">
        <w:t xml:space="preserve"> as the safety and efficacy of such medicines can be significantly compromised.</w:t>
      </w:r>
      <w:r w:rsidR="00B55415">
        <w:t xml:space="preserve"> </w:t>
      </w:r>
    </w:p>
    <w:p w14:paraId="39398322" w14:textId="77777777" w:rsidR="001A40CB" w:rsidRDefault="001A40CB" w:rsidP="001A40CB">
      <w:pPr>
        <w:pStyle w:val="NoSpacing"/>
      </w:pPr>
    </w:p>
    <w:p w14:paraId="2AE0B7C0" w14:textId="37F55705" w:rsidR="005A5F0E" w:rsidRDefault="00B55415">
      <w:pPr>
        <w:spacing w:after="0" w:line="250" w:lineRule="auto"/>
        <w:jc w:val="both"/>
      </w:pPr>
      <w:r>
        <w:t xml:space="preserve">All medicines, </w:t>
      </w:r>
      <w:proofErr w:type="gramStart"/>
      <w:r>
        <w:t>with the exception of</w:t>
      </w:r>
      <w:proofErr w:type="gramEnd"/>
      <w:r>
        <w:t xml:space="preserve"> medicines for </w:t>
      </w:r>
      <w:r>
        <w:t>emergency use and wound care products, must be stored in lockable cupboards, which comply with the current British Standards for Medicines Storage (BS 2881), at a temperature not exceeding 25</w:t>
      </w:r>
      <w:r>
        <w:rPr>
          <w:vertAlign w:val="superscript"/>
        </w:rPr>
        <w:t>o</w:t>
      </w:r>
      <w:r>
        <w:t xml:space="preserve">C. </w:t>
      </w:r>
    </w:p>
    <w:p w14:paraId="09F5FD25" w14:textId="77777777" w:rsidR="005A5F0E" w:rsidRDefault="00B55415">
      <w:pPr>
        <w:spacing w:after="15" w:line="259" w:lineRule="auto"/>
        <w:ind w:left="12" w:firstLine="0"/>
      </w:pPr>
      <w:r>
        <w:t xml:space="preserve"> </w:t>
      </w:r>
    </w:p>
    <w:p w14:paraId="3B0F98DD" w14:textId="548DB65F" w:rsidR="005A5F0E" w:rsidRDefault="00B55415" w:rsidP="00E23B7F">
      <w:pPr>
        <w:spacing w:after="0"/>
        <w:ind w:left="-3" w:right="14" w:firstLine="0"/>
      </w:pPr>
      <w:r>
        <w:t>Refrigerated medicines must be stored at 2-8ºC</w:t>
      </w:r>
      <w:r w:rsidR="00E23B7F">
        <w:t xml:space="preserve"> and f</w:t>
      </w:r>
      <w:r>
        <w:rPr>
          <w:b/>
        </w:rPr>
        <w:t xml:space="preserve">ridge monitoring </w:t>
      </w:r>
      <w:r w:rsidR="00E23B7F">
        <w:rPr>
          <w:b/>
        </w:rPr>
        <w:t>must</w:t>
      </w:r>
      <w:r>
        <w:rPr>
          <w:b/>
        </w:rPr>
        <w:t xml:space="preserve"> be completed</w:t>
      </w:r>
      <w:r w:rsidR="00E23B7F">
        <w:rPr>
          <w:b/>
        </w:rPr>
        <w:t xml:space="preserve"> recording both the current,</w:t>
      </w:r>
      <w:r>
        <w:rPr>
          <w:b/>
        </w:rPr>
        <w:t xml:space="preserve"> </w:t>
      </w:r>
      <w:proofErr w:type="gramStart"/>
      <w:r>
        <w:rPr>
          <w:b/>
        </w:rPr>
        <w:t>min</w:t>
      </w:r>
      <w:r w:rsidR="00E23B7F">
        <w:rPr>
          <w:b/>
        </w:rPr>
        <w:t>imum</w:t>
      </w:r>
      <w:proofErr w:type="gramEnd"/>
      <w:r w:rsidR="00E23B7F">
        <w:rPr>
          <w:b/>
        </w:rPr>
        <w:t xml:space="preserve"> and </w:t>
      </w:r>
      <w:r>
        <w:rPr>
          <w:b/>
        </w:rPr>
        <w:t>max</w:t>
      </w:r>
      <w:r w:rsidR="00E23B7F">
        <w:rPr>
          <w:b/>
        </w:rPr>
        <w:t>imum</w:t>
      </w:r>
      <w:r>
        <w:rPr>
          <w:b/>
        </w:rPr>
        <w:t xml:space="preserve"> temperature</w:t>
      </w:r>
      <w:r w:rsidR="00E23B7F">
        <w:rPr>
          <w:b/>
        </w:rPr>
        <w:t>s.  A</w:t>
      </w:r>
      <w:r>
        <w:rPr>
          <w:b/>
        </w:rPr>
        <w:t>ny deviation outside of normal range</w:t>
      </w:r>
      <w:r w:rsidR="00E23B7F">
        <w:rPr>
          <w:b/>
        </w:rPr>
        <w:t xml:space="preserve"> must be checked with the manufacturer before use.</w:t>
      </w:r>
      <w:r>
        <w:rPr>
          <w:b/>
        </w:rPr>
        <w:t xml:space="preserve"> </w:t>
      </w:r>
    </w:p>
    <w:p w14:paraId="606824F5" w14:textId="77777777" w:rsidR="005A5F0E" w:rsidRDefault="00B55415">
      <w:pPr>
        <w:spacing w:after="177" w:line="259" w:lineRule="auto"/>
        <w:ind w:left="12" w:firstLine="0"/>
      </w:pPr>
      <w:r>
        <w:rPr>
          <w:color w:val="FF0000"/>
        </w:rPr>
        <w:t xml:space="preserve"> </w:t>
      </w:r>
    </w:p>
    <w:p w14:paraId="5CC47E03" w14:textId="589F164C" w:rsidR="005A5F0E" w:rsidRDefault="00B55415" w:rsidP="00E23B7F">
      <w:pPr>
        <w:ind w:left="-3" w:right="14" w:firstLine="0"/>
      </w:pPr>
      <w:r>
        <w:t>Medicines that are for internal use (</w:t>
      </w:r>
      <w:proofErr w:type="gramStart"/>
      <w:r>
        <w:t>e.g.</w:t>
      </w:r>
      <w:proofErr w:type="gramEnd"/>
      <w:r>
        <w:t xml:space="preserve"> oral, injectables) and medicines for external use (medicated dressings, topicals) should be stored </w:t>
      </w:r>
      <w:r>
        <w:t>in different medicines cupboards or different parts of the cupboard, on label</w:t>
      </w:r>
      <w:r>
        <w:t>led shelves.</w:t>
      </w:r>
      <w:r>
        <w:rPr>
          <w:color w:val="FF0000"/>
        </w:rPr>
        <w:t xml:space="preserve"> </w:t>
      </w:r>
    </w:p>
    <w:p w14:paraId="79231ED7" w14:textId="324BB11D" w:rsidR="005A5F0E" w:rsidRDefault="00B55415" w:rsidP="00E23B7F">
      <w:pPr>
        <w:spacing w:after="0"/>
        <w:ind w:left="-3" w:right="14" w:firstLine="0"/>
      </w:pPr>
      <w:r>
        <w:t xml:space="preserve">Access to the cupboards </w:t>
      </w:r>
      <w:r w:rsidR="00E23B7F">
        <w:t>is</w:t>
      </w:r>
      <w:r>
        <w:t xml:space="preserve"> restricted to authorised staff </w:t>
      </w:r>
      <w:proofErr w:type="gramStart"/>
      <w:r>
        <w:t>only</w:t>
      </w:r>
      <w:proofErr w:type="gramEnd"/>
    </w:p>
    <w:p w14:paraId="53631192" w14:textId="77777777" w:rsidR="005A5F0E" w:rsidRDefault="00B55415">
      <w:pPr>
        <w:spacing w:after="77" w:line="259" w:lineRule="auto"/>
        <w:ind w:left="12" w:firstLine="0"/>
      </w:pPr>
      <w:r>
        <w:t xml:space="preserve"> </w:t>
      </w:r>
    </w:p>
    <w:p w14:paraId="0B4F21AC" w14:textId="5928D727" w:rsidR="005A5F0E" w:rsidRDefault="00B55415" w:rsidP="00E23B7F">
      <w:pPr>
        <w:ind w:left="-3" w:right="14" w:firstLine="0"/>
      </w:pPr>
      <w:r>
        <w:lastRenderedPageBreak/>
        <w:t xml:space="preserve">The location of </w:t>
      </w:r>
      <w:r w:rsidR="00E23B7F">
        <w:t xml:space="preserve">the </w:t>
      </w:r>
      <w:r>
        <w:t>medicine</w:t>
      </w:r>
      <w:r w:rsidR="00E23B7F">
        <w:t xml:space="preserve"> </w:t>
      </w:r>
      <w:r>
        <w:t xml:space="preserve">cupboards </w:t>
      </w:r>
      <w:r w:rsidR="00E23B7F">
        <w:t xml:space="preserve">is in a locked room in a locked building away from heat sources.  Also, there is a minimal supply of POM on site at any time, regular stock checks are </w:t>
      </w:r>
      <w:proofErr w:type="gramStart"/>
      <w:r w:rsidR="00E23B7F">
        <w:t>completed</w:t>
      </w:r>
      <w:proofErr w:type="gramEnd"/>
      <w:r w:rsidR="00E23B7F">
        <w:t xml:space="preserve"> and a monthly audit completed.  The ambient room temperature is </w:t>
      </w:r>
      <w:proofErr w:type="gramStart"/>
      <w:r w:rsidR="00E23B7F">
        <w:t>maintained</w:t>
      </w:r>
      <w:proofErr w:type="gramEnd"/>
      <w:r w:rsidR="00E23B7F">
        <w:t xml:space="preserve"> and patients are not left alone in the treatment room. </w:t>
      </w:r>
    </w:p>
    <w:p w14:paraId="1B3EFA62" w14:textId="71537790" w:rsidR="005A5F0E" w:rsidRDefault="005A5F0E">
      <w:pPr>
        <w:spacing w:after="0" w:line="259" w:lineRule="auto"/>
        <w:ind w:left="12" w:firstLine="0"/>
      </w:pPr>
    </w:p>
    <w:p w14:paraId="7660027F" w14:textId="5AB57F45" w:rsidR="00E23B7F" w:rsidRPr="00E23B7F" w:rsidRDefault="00E23B7F">
      <w:pPr>
        <w:spacing w:after="0" w:line="259" w:lineRule="auto"/>
        <w:ind w:left="12" w:firstLine="0"/>
        <w:rPr>
          <w:b/>
          <w:bCs/>
          <w:color w:val="0070C0"/>
          <w:sz w:val="32"/>
          <w:szCs w:val="32"/>
        </w:rPr>
      </w:pPr>
      <w:r w:rsidRPr="00E23B7F">
        <w:rPr>
          <w:b/>
          <w:bCs/>
          <w:color w:val="0070C0"/>
          <w:sz w:val="32"/>
          <w:szCs w:val="32"/>
        </w:rPr>
        <w:t>11. Emergency drug Kit</w:t>
      </w:r>
    </w:p>
    <w:p w14:paraId="5D306F3E" w14:textId="77777777" w:rsidR="00E23B7F" w:rsidRDefault="00E23B7F">
      <w:pPr>
        <w:spacing w:after="0" w:line="259" w:lineRule="auto"/>
        <w:ind w:left="12" w:firstLine="0"/>
      </w:pPr>
    </w:p>
    <w:p w14:paraId="5A183BD2" w14:textId="1FBFADA6" w:rsidR="005A5F0E" w:rsidRDefault="00B55415" w:rsidP="00E23B7F">
      <w:pPr>
        <w:spacing w:after="0"/>
        <w:ind w:left="-3" w:right="14" w:firstLine="0"/>
      </w:pPr>
      <w:r>
        <w:t xml:space="preserve">Once an emergency drug kit has been used it should be checked and missing items replaced as soon as possible. There </w:t>
      </w:r>
      <w:r w:rsidR="00E23B7F">
        <w:t>is</w:t>
      </w:r>
      <w:r>
        <w:t xml:space="preserve"> a system of checks </w:t>
      </w:r>
      <w:r>
        <w:t xml:space="preserve">in place for emergency kits that are assembled and stored ready for use, to ensure that they are </w:t>
      </w:r>
      <w:proofErr w:type="gramStart"/>
      <w:r>
        <w:t>complete</w:t>
      </w:r>
      <w:proofErr w:type="gramEnd"/>
      <w:r>
        <w:t xml:space="preserve"> and any medicine included is correct and within its expiry date. </w:t>
      </w:r>
    </w:p>
    <w:p w14:paraId="6EBBC64C" w14:textId="77777777" w:rsidR="005A5F0E" w:rsidRDefault="00B55415">
      <w:pPr>
        <w:spacing w:after="0" w:line="259" w:lineRule="auto"/>
        <w:ind w:left="12" w:firstLine="0"/>
      </w:pPr>
      <w:r>
        <w:t xml:space="preserve"> </w:t>
      </w:r>
    </w:p>
    <w:p w14:paraId="34B337BD" w14:textId="3B856A9C" w:rsidR="005A5F0E" w:rsidRDefault="00B55415">
      <w:pPr>
        <w:spacing w:after="191" w:line="250" w:lineRule="auto"/>
        <w:ind w:left="578" w:right="367" w:hanging="566"/>
        <w:jc w:val="both"/>
      </w:pPr>
      <w:r>
        <w:t xml:space="preserve">Regular expiry dates checks should be carried out for all </w:t>
      </w:r>
      <w:r w:rsidR="00E23B7F">
        <w:t xml:space="preserve">stock of </w:t>
      </w:r>
      <w:proofErr w:type="gramStart"/>
      <w:r w:rsidR="00E23B7F">
        <w:t>non POM</w:t>
      </w:r>
      <w:proofErr w:type="gramEnd"/>
      <w:r w:rsidR="00E23B7F">
        <w:t xml:space="preserve"> and stock checks completed and audited.</w:t>
      </w:r>
    </w:p>
    <w:p w14:paraId="695FE418" w14:textId="77777777" w:rsidR="00E23B7F" w:rsidRDefault="00E23B7F">
      <w:pPr>
        <w:pStyle w:val="Heading3"/>
        <w:spacing w:after="12"/>
        <w:ind w:left="7"/>
      </w:pPr>
    </w:p>
    <w:p w14:paraId="76BF854F" w14:textId="629781EA" w:rsidR="005A5F0E" w:rsidRDefault="00B55415">
      <w:pPr>
        <w:pStyle w:val="Heading3"/>
        <w:spacing w:after="12"/>
        <w:ind w:left="7"/>
      </w:pPr>
      <w:r>
        <w:t>1</w:t>
      </w:r>
      <w:r w:rsidR="00E23B7F">
        <w:t>2.</w:t>
      </w:r>
      <w:r>
        <w:t xml:space="preserve"> Ambient Room temperature monitoring  </w:t>
      </w:r>
    </w:p>
    <w:p w14:paraId="2C6A3218" w14:textId="77777777" w:rsidR="005A5F0E" w:rsidRDefault="00B55415">
      <w:pPr>
        <w:spacing w:after="0" w:line="259" w:lineRule="auto"/>
        <w:ind w:left="12" w:firstLine="0"/>
      </w:pPr>
      <w:r>
        <w:rPr>
          <w:b/>
          <w:color w:val="0070C0"/>
          <w:sz w:val="28"/>
        </w:rPr>
        <w:t xml:space="preserve"> </w:t>
      </w:r>
    </w:p>
    <w:p w14:paraId="0693EC54" w14:textId="519B2120" w:rsidR="005A5F0E" w:rsidRDefault="00B55415" w:rsidP="005029F3">
      <w:pPr>
        <w:spacing w:after="0"/>
        <w:ind w:left="-3" w:right="14" w:firstLine="0"/>
      </w:pPr>
      <w:r>
        <w:t>The ambient temperature of any room used to store medicines outside of a refrigerator</w:t>
      </w:r>
      <w:r>
        <w:t xml:space="preserve"> must be monitored and recorded at least once daily using a maximum/minimum thermometer. This should be documented on </w:t>
      </w:r>
      <w:r>
        <w:t>the temperature recording sheet daily</w:t>
      </w:r>
      <w:r w:rsidR="00E23B7F">
        <w:t xml:space="preserve">.  </w:t>
      </w:r>
      <w:r>
        <w:t>Where the ambient clinic room temperature is at risk of exceeding 25°C, action sho</w:t>
      </w:r>
      <w:r>
        <w:t xml:space="preserve">uld be </w:t>
      </w:r>
      <w:r>
        <w:t xml:space="preserve">taken locally to reduce this by </w:t>
      </w:r>
      <w:proofErr w:type="gramStart"/>
      <w:r>
        <w:t>e.g.</w:t>
      </w:r>
      <w:proofErr w:type="gramEnd"/>
      <w:r>
        <w:t xml:space="preserve"> removing any heat sources, or implementing a</w:t>
      </w:r>
      <w:r w:rsidR="005029F3">
        <w:t xml:space="preserve">n </w:t>
      </w:r>
      <w:r>
        <w:t xml:space="preserve">air-cooling device </w:t>
      </w:r>
    </w:p>
    <w:p w14:paraId="73DE186C" w14:textId="77777777" w:rsidR="005A5F0E" w:rsidRDefault="00B55415">
      <w:pPr>
        <w:spacing w:after="0" w:line="259" w:lineRule="auto"/>
        <w:ind w:left="12" w:firstLine="0"/>
      </w:pPr>
      <w:r>
        <w:t xml:space="preserve"> </w:t>
      </w:r>
    </w:p>
    <w:p w14:paraId="2A5BD322" w14:textId="639B03D8" w:rsidR="005A5F0E" w:rsidRDefault="00B55415">
      <w:pPr>
        <w:spacing w:after="0"/>
        <w:ind w:left="717" w:right="14" w:hanging="720"/>
      </w:pPr>
      <w:r>
        <w:t xml:space="preserve">A digital data logger </w:t>
      </w:r>
      <w:r w:rsidR="005029F3">
        <w:rPr>
          <w:bCs/>
        </w:rPr>
        <w:t>must</w:t>
      </w:r>
      <w:r>
        <w:t xml:space="preserve"> be implemented and will give additional evidence, and </w:t>
      </w:r>
      <w:proofErr w:type="gramStart"/>
      <w:r>
        <w:t>aid</w:t>
      </w:r>
      <w:proofErr w:type="gramEnd"/>
      <w:r>
        <w:t xml:space="preserve">  </w:t>
      </w:r>
    </w:p>
    <w:p w14:paraId="1FBF8869" w14:textId="16CD5854" w:rsidR="005A5F0E" w:rsidRDefault="00B55415" w:rsidP="005029F3">
      <w:pPr>
        <w:spacing w:after="0"/>
        <w:ind w:left="-3" w:right="14" w:firstLine="0"/>
      </w:pPr>
      <w:r>
        <w:t>tracking of probable causes of spikes in temperatures, especially whe</w:t>
      </w:r>
      <w:r>
        <w:t>n the area is not in use (</w:t>
      </w:r>
      <w:proofErr w:type="spellStart"/>
      <w:r>
        <w:t>e.</w:t>
      </w:r>
      <w:proofErr w:type="gramStart"/>
      <w:r>
        <w:t>g.weekends</w:t>
      </w:r>
      <w:proofErr w:type="spellEnd"/>
      <w:proofErr w:type="gramEnd"/>
      <w:r>
        <w:t xml:space="preserve">). This should be downloaded weekly (minimum frequency), and information stored locally. </w:t>
      </w:r>
    </w:p>
    <w:p w14:paraId="11E0DB72" w14:textId="12A460D2" w:rsidR="005029F3" w:rsidRDefault="005029F3" w:rsidP="005029F3">
      <w:pPr>
        <w:spacing w:after="0"/>
        <w:ind w:left="0" w:right="14" w:firstLine="0"/>
      </w:pPr>
    </w:p>
    <w:p w14:paraId="6FCCC1B5" w14:textId="5EC23D45" w:rsidR="005A5F0E" w:rsidRDefault="00B55415">
      <w:pPr>
        <w:spacing w:after="226"/>
        <w:ind w:left="742" w:right="14"/>
      </w:pPr>
      <w:r>
        <w:t>.</w:t>
      </w:r>
      <w:r>
        <w:t xml:space="preserve"> </w:t>
      </w:r>
    </w:p>
    <w:p w14:paraId="09878F10" w14:textId="7922F74C" w:rsidR="005A5F0E" w:rsidRDefault="00B55415" w:rsidP="005029F3">
      <w:pPr>
        <w:pStyle w:val="Heading3"/>
        <w:spacing w:after="179"/>
        <w:ind w:left="0" w:firstLine="0"/>
      </w:pPr>
      <w:r>
        <w:t>1</w:t>
      </w:r>
      <w:r w:rsidR="005029F3">
        <w:t>3.</w:t>
      </w:r>
      <w:r>
        <w:t xml:space="preserve"> Storage of refrigerated medicines </w:t>
      </w:r>
      <w:r w:rsidR="005029F3">
        <w:t>/ Cold chain</w:t>
      </w:r>
    </w:p>
    <w:p w14:paraId="36FC8DBA" w14:textId="77777777" w:rsidR="00B35D20" w:rsidRDefault="00B35D20" w:rsidP="00B35D20">
      <w:pPr>
        <w:pStyle w:val="Default"/>
        <w:rPr>
          <w:b/>
          <w:bCs/>
          <w:sz w:val="32"/>
          <w:szCs w:val="32"/>
        </w:rPr>
      </w:pPr>
    </w:p>
    <w:p w14:paraId="3FBF4DDF" w14:textId="3F623E4B" w:rsidR="00B35D20" w:rsidRPr="00753404" w:rsidRDefault="00B35D20" w:rsidP="00B35D20">
      <w:pPr>
        <w:pStyle w:val="Default"/>
      </w:pPr>
      <w:r w:rsidRPr="00753404">
        <w:rPr>
          <w:b/>
          <w:bCs/>
        </w:rPr>
        <w:t xml:space="preserve">Pharmaceutical fridges </w:t>
      </w:r>
    </w:p>
    <w:p w14:paraId="1125C68E" w14:textId="77777777" w:rsidR="00B35D20" w:rsidRPr="00753404" w:rsidRDefault="00B35D20" w:rsidP="00B35D20">
      <w:pPr>
        <w:rPr>
          <w:szCs w:val="24"/>
        </w:rPr>
      </w:pPr>
    </w:p>
    <w:p w14:paraId="426F7D6B" w14:textId="26BDAF95" w:rsidR="00BC200A" w:rsidRPr="00753404" w:rsidRDefault="00B35D20" w:rsidP="00B35D20">
      <w:pPr>
        <w:rPr>
          <w:szCs w:val="24"/>
        </w:rPr>
      </w:pPr>
      <w:r w:rsidRPr="00753404">
        <w:rPr>
          <w:szCs w:val="24"/>
        </w:rPr>
        <w:t xml:space="preserve">A </w:t>
      </w:r>
      <w:proofErr w:type="gramStart"/>
      <w:r w:rsidRPr="00753404">
        <w:rPr>
          <w:szCs w:val="24"/>
        </w:rPr>
        <w:t>pharmaceutical r</w:t>
      </w:r>
      <w:r w:rsidRPr="00753404">
        <w:rPr>
          <w:szCs w:val="24"/>
        </w:rPr>
        <w:t>efrigerators</w:t>
      </w:r>
      <w:proofErr w:type="gramEnd"/>
      <w:r w:rsidRPr="00753404">
        <w:rPr>
          <w:szCs w:val="24"/>
        </w:rPr>
        <w:t xml:space="preserve"> </w:t>
      </w:r>
      <w:r w:rsidRPr="00753404">
        <w:rPr>
          <w:szCs w:val="24"/>
        </w:rPr>
        <w:t>is</w:t>
      </w:r>
      <w:r w:rsidRPr="00753404">
        <w:rPr>
          <w:szCs w:val="24"/>
        </w:rPr>
        <w:t xml:space="preserve"> available</w:t>
      </w:r>
      <w:r w:rsidRPr="00753404">
        <w:rPr>
          <w:szCs w:val="24"/>
        </w:rPr>
        <w:t xml:space="preserve"> that is</w:t>
      </w:r>
      <w:r w:rsidRPr="00753404">
        <w:rPr>
          <w:szCs w:val="24"/>
        </w:rPr>
        <w:t xml:space="preserve"> specially designed for the storage of medicinal</w:t>
      </w:r>
      <w:r w:rsidRPr="00753404">
        <w:rPr>
          <w:szCs w:val="24"/>
        </w:rPr>
        <w:t xml:space="preserve"> / cosmetic</w:t>
      </w:r>
      <w:r w:rsidRPr="00753404">
        <w:rPr>
          <w:szCs w:val="24"/>
        </w:rPr>
        <w:t xml:space="preserve"> products only and their use is required for all products requiring storage between 2°C and 8°C.</w:t>
      </w:r>
    </w:p>
    <w:p w14:paraId="03DFE831" w14:textId="0A0CA5B6" w:rsidR="00B35D20" w:rsidRPr="00753404" w:rsidRDefault="00B35D20" w:rsidP="00B35D20">
      <w:pPr>
        <w:pStyle w:val="Default"/>
        <w:rPr>
          <w:color w:val="auto"/>
        </w:rPr>
      </w:pPr>
      <w:r w:rsidRPr="00753404">
        <w:t xml:space="preserve">The refrigerator </w:t>
      </w:r>
      <w:proofErr w:type="gramStart"/>
      <w:r w:rsidRPr="00753404">
        <w:t>is</w:t>
      </w:r>
      <w:r w:rsidRPr="00753404">
        <w:t xml:space="preserve"> be</w:t>
      </w:r>
      <w:proofErr w:type="gramEnd"/>
      <w:r w:rsidRPr="00753404">
        <w:t xml:space="preserve"> capable of maintaining the temperature of its contents between 2°C and 8°C with the minimum of intervention. Temperature monitoring should be by </w:t>
      </w:r>
      <w:r w:rsidRPr="00753404">
        <w:rPr>
          <w:color w:val="auto"/>
        </w:rPr>
        <w:t xml:space="preserve">electronic max/min thermometer, with an accuracy of + 0.5°C, which should where possible be readable from outside the refrigerator. The data logger should be placed </w:t>
      </w:r>
      <w:r w:rsidRPr="00753404">
        <w:rPr>
          <w:color w:val="auto"/>
        </w:rPr>
        <w:lastRenderedPageBreak/>
        <w:t xml:space="preserve">within the load to record the load rather than the air temperature, and the max/min temperatures should be recorded daily. </w:t>
      </w:r>
    </w:p>
    <w:p w14:paraId="115AD2C9" w14:textId="77777777" w:rsidR="00B35D20" w:rsidRPr="00753404" w:rsidRDefault="00B35D20" w:rsidP="00B35D20">
      <w:pPr>
        <w:pStyle w:val="Default"/>
        <w:rPr>
          <w:color w:val="auto"/>
        </w:rPr>
      </w:pPr>
    </w:p>
    <w:p w14:paraId="32E206E7" w14:textId="5DC9B7A9" w:rsidR="00B35D20" w:rsidRPr="00753404" w:rsidRDefault="00753404" w:rsidP="00B35D20">
      <w:pPr>
        <w:pStyle w:val="Default"/>
        <w:rPr>
          <w:color w:val="auto"/>
        </w:rPr>
      </w:pPr>
      <w:r w:rsidRPr="00753404">
        <w:t>Due to products only being help for specific patient use and not stock, it is unlikely that the fridge will reach capacity.  However,</w:t>
      </w:r>
    </w:p>
    <w:p w14:paraId="125C4B13" w14:textId="77777777" w:rsidR="00753404" w:rsidRPr="00753404" w:rsidRDefault="00753404" w:rsidP="00753404">
      <w:pPr>
        <w:pStyle w:val="Default"/>
      </w:pPr>
    </w:p>
    <w:p w14:paraId="79B8DD48" w14:textId="1F1BA51D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The refrigerator must be located inside a locked </w:t>
      </w:r>
      <w:proofErr w:type="gramStart"/>
      <w:r w:rsidRPr="00753404">
        <w:t>room</w:t>
      </w:r>
      <w:proofErr w:type="gramEnd"/>
      <w:r w:rsidRPr="00753404">
        <w:t xml:space="preserve"> </w:t>
      </w:r>
    </w:p>
    <w:p w14:paraId="6C2EB4FA" w14:textId="510F2A55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Open the fridge as infrequently as necessary. </w:t>
      </w:r>
    </w:p>
    <w:p w14:paraId="1882F101" w14:textId="25E9C07A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 The fridge must not be overfilled - allow space around the packaging for air to circulate. </w:t>
      </w:r>
    </w:p>
    <w:p w14:paraId="72647EE3" w14:textId="273B242B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The fridge must be maintained and regularly defrosted (if not self-defrosting) in line with the manufacturers’ guidelines. Ice should not be allowed to build up as this reduces </w:t>
      </w:r>
      <w:proofErr w:type="gramStart"/>
      <w:r w:rsidRPr="00753404">
        <w:t>effectiveness</w:t>
      </w:r>
      <w:proofErr w:type="gramEnd"/>
      <w:r w:rsidRPr="00753404">
        <w:t xml:space="preserve"> </w:t>
      </w:r>
    </w:p>
    <w:p w14:paraId="1464CE44" w14:textId="2068AD80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As a minimum the fridge should be serviced </w:t>
      </w:r>
      <w:proofErr w:type="gramStart"/>
      <w:r w:rsidRPr="00753404">
        <w:t>annually</w:t>
      </w:r>
      <w:proofErr w:type="gramEnd"/>
      <w:r w:rsidRPr="00753404">
        <w:t xml:space="preserve"> and the temperature gauge calibrated </w:t>
      </w:r>
    </w:p>
    <w:p w14:paraId="20D972A0" w14:textId="77777777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t xml:space="preserve"> Accidental interruption of the electricity supply must be prevented by using a hardwired socket. </w:t>
      </w:r>
    </w:p>
    <w:p w14:paraId="17EB48B2" w14:textId="7921CD9A" w:rsidR="00753404" w:rsidRPr="00753404" w:rsidRDefault="00753404" w:rsidP="00753404">
      <w:pPr>
        <w:pStyle w:val="Default"/>
        <w:numPr>
          <w:ilvl w:val="0"/>
          <w:numId w:val="43"/>
        </w:numPr>
        <w:spacing w:after="133"/>
      </w:pPr>
      <w:r w:rsidRPr="00753404">
        <w:rPr>
          <w:color w:val="auto"/>
        </w:rPr>
        <w:t xml:space="preserve">Medicines should be stored in their original containers so that they retain their batch number and expiry date. The packaging also protects the product from light. </w:t>
      </w:r>
    </w:p>
    <w:p w14:paraId="1C3427E5" w14:textId="77777777" w:rsidR="00753404" w:rsidRPr="00753404" w:rsidRDefault="00753404" w:rsidP="00753404">
      <w:pPr>
        <w:pStyle w:val="Default"/>
        <w:spacing w:after="133"/>
      </w:pPr>
    </w:p>
    <w:p w14:paraId="4FE52499" w14:textId="19A30471" w:rsidR="00753404" w:rsidRPr="00753404" w:rsidRDefault="00753404" w:rsidP="00753404">
      <w:pPr>
        <w:pStyle w:val="Default"/>
        <w:rPr>
          <w:color w:val="auto"/>
        </w:rPr>
      </w:pPr>
      <w:r w:rsidRPr="00753404">
        <w:t xml:space="preserve">Medicines that have </w:t>
      </w:r>
      <w:r>
        <w:t xml:space="preserve">experienced a </w:t>
      </w:r>
      <w:r w:rsidRPr="00753404">
        <w:t>cold chain</w:t>
      </w:r>
      <w:r>
        <w:t xml:space="preserve"> excursion</w:t>
      </w:r>
      <w:r w:rsidRPr="00753404">
        <w:t xml:space="preserve"> may remain stable for a limited</w:t>
      </w:r>
      <w:r w:rsidRPr="00753404">
        <w:t xml:space="preserve"> </w:t>
      </w:r>
      <w:r w:rsidRPr="00753404">
        <w:rPr>
          <w:color w:val="auto"/>
        </w:rPr>
        <w:t xml:space="preserve">period (or even until the manufacturer’s expiry date). A decision will need to be made on a case-by-case basis using information concerning the product, time out of the cold chain and the storage environment details </w:t>
      </w:r>
      <w:proofErr w:type="gramStart"/>
      <w:r w:rsidRPr="00753404">
        <w:rPr>
          <w:color w:val="auto"/>
        </w:rPr>
        <w:t>i.e.</w:t>
      </w:r>
      <w:proofErr w:type="gramEnd"/>
      <w:r w:rsidRPr="00753404">
        <w:rPr>
          <w:color w:val="auto"/>
        </w:rPr>
        <w:t xml:space="preserve"> temperature range. The above will vary depending on the medicine and therefore this information must be ascertained</w:t>
      </w:r>
      <w:r>
        <w:rPr>
          <w:color w:val="auto"/>
        </w:rPr>
        <w:t xml:space="preserve"> with the manufacturer or information leaflet</w:t>
      </w:r>
      <w:r w:rsidRPr="00753404">
        <w:rPr>
          <w:color w:val="auto"/>
        </w:rPr>
        <w:t xml:space="preserve"> before returning any medicines back into the refrigerator</w:t>
      </w:r>
      <w:r>
        <w:rPr>
          <w:color w:val="auto"/>
        </w:rPr>
        <w:t xml:space="preserve"> or discarding the medication.</w:t>
      </w:r>
    </w:p>
    <w:p w14:paraId="283C68BE" w14:textId="439BC2A5" w:rsidR="00753404" w:rsidRDefault="00753404" w:rsidP="00753404">
      <w:pPr>
        <w:pStyle w:val="Default"/>
        <w:spacing w:after="133"/>
      </w:pPr>
    </w:p>
    <w:p w14:paraId="65EE2CB7" w14:textId="4E583029" w:rsidR="005A5F0E" w:rsidRDefault="00B55415">
      <w:pPr>
        <w:pStyle w:val="Heading3"/>
        <w:ind w:left="7"/>
      </w:pPr>
      <w:r>
        <w:t>1</w:t>
      </w:r>
      <w:r w:rsidR="005029F3">
        <w:t xml:space="preserve">4. </w:t>
      </w:r>
      <w:r>
        <w:t xml:space="preserve"> Custody and safe keeping of keys </w:t>
      </w:r>
    </w:p>
    <w:p w14:paraId="283BB733" w14:textId="20AEB003" w:rsidR="005A5F0E" w:rsidRDefault="00B55415">
      <w:pPr>
        <w:spacing w:after="0"/>
        <w:ind w:left="7" w:right="14"/>
      </w:pPr>
      <w:r>
        <w:t xml:space="preserve">Keys will be kept securely in key cupboards with restricted </w:t>
      </w:r>
      <w:proofErr w:type="gramStart"/>
      <w:r>
        <w:t>access</w:t>
      </w:r>
      <w:proofErr w:type="gramEnd"/>
      <w:r>
        <w:t xml:space="preserve"> </w:t>
      </w:r>
    </w:p>
    <w:p w14:paraId="15EFF3AD" w14:textId="77777777" w:rsidR="005A5F0E" w:rsidRDefault="00B55415">
      <w:pPr>
        <w:spacing w:after="0" w:line="259" w:lineRule="auto"/>
        <w:ind w:left="12" w:firstLine="0"/>
      </w:pPr>
      <w:r>
        <w:t xml:space="preserve"> </w:t>
      </w:r>
    </w:p>
    <w:p w14:paraId="64F8373F" w14:textId="7BDEA172" w:rsidR="005A5F0E" w:rsidRDefault="00B55415">
      <w:pPr>
        <w:pStyle w:val="Heading2"/>
        <w:ind w:left="7"/>
      </w:pPr>
      <w:r>
        <w:t>1</w:t>
      </w:r>
      <w:r w:rsidR="00BC200A">
        <w:t>5</w:t>
      </w:r>
      <w:r>
        <w:t>. A</w:t>
      </w:r>
      <w:r>
        <w:t xml:space="preserve">dministration  </w:t>
      </w:r>
    </w:p>
    <w:p w14:paraId="216C6546" w14:textId="77777777" w:rsidR="005A5F0E" w:rsidRDefault="00B55415">
      <w:pPr>
        <w:spacing w:after="14" w:line="259" w:lineRule="auto"/>
        <w:ind w:left="12" w:firstLine="0"/>
      </w:pPr>
      <w:r>
        <w:t xml:space="preserve"> </w:t>
      </w:r>
    </w:p>
    <w:p w14:paraId="60EC3CB8" w14:textId="5523D925" w:rsidR="005A5F0E" w:rsidRDefault="00B55415" w:rsidP="005029F3">
      <w:pPr>
        <w:ind w:right="14"/>
      </w:pPr>
      <w:r>
        <w:t xml:space="preserve">No person should administer any medicine unless they are competent to do so and are acting within their sphere of professional practice. </w:t>
      </w:r>
    </w:p>
    <w:p w14:paraId="61E236E2" w14:textId="7F5BD450" w:rsidR="005A5F0E" w:rsidRDefault="00B55415" w:rsidP="005029F3">
      <w:pPr>
        <w:ind w:left="-3" w:right="14" w:firstLine="0"/>
      </w:pPr>
      <w:r>
        <w:t>Medication must be prepared for administration at the time it is</w:t>
      </w:r>
      <w:r>
        <w:t xml:space="preserve"> due to be given. Medication for multiple patients must not be prepared in advance. </w:t>
      </w:r>
    </w:p>
    <w:p w14:paraId="3A0A2333" w14:textId="4B7002D2" w:rsidR="005A5F0E" w:rsidRDefault="00B55415">
      <w:pPr>
        <w:spacing w:after="10"/>
        <w:ind w:left="7" w:right="14"/>
      </w:pPr>
      <w:r>
        <w:t xml:space="preserve">All aspects of patient consent should be </w:t>
      </w:r>
      <w:proofErr w:type="gramStart"/>
      <w:r>
        <w:t>considered</w:t>
      </w:r>
      <w:proofErr w:type="gramEnd"/>
      <w:r>
        <w:t xml:space="preserve"> </w:t>
      </w:r>
    </w:p>
    <w:p w14:paraId="202A50FA" w14:textId="76B3A75A" w:rsidR="005A5F0E" w:rsidRDefault="00B55415">
      <w:pPr>
        <w:spacing w:after="0" w:line="259" w:lineRule="auto"/>
        <w:ind w:left="0" w:firstLine="0"/>
      </w:pPr>
      <w:r>
        <w:t xml:space="preserve"> </w:t>
      </w:r>
    </w:p>
    <w:p w14:paraId="127150C7" w14:textId="1CE1DDD4" w:rsidR="005029F3" w:rsidRDefault="00B55415" w:rsidP="005029F3">
      <w:pPr>
        <w:ind w:left="-3" w:right="14" w:firstLine="0"/>
      </w:pPr>
      <w:r>
        <w:t xml:space="preserve">Any dose prepared for administration and subsequently not given should be destroyed. </w:t>
      </w:r>
    </w:p>
    <w:p w14:paraId="2034A07C" w14:textId="5017C6E9" w:rsidR="005A5F0E" w:rsidRDefault="00B55415">
      <w:pPr>
        <w:ind w:left="7" w:right="14"/>
      </w:pPr>
      <w:r>
        <w:t>M</w:t>
      </w:r>
      <w:r>
        <w:t>edicines shall not be returned to the container from which they were taken.</w:t>
      </w:r>
      <w:r>
        <w:t xml:space="preserve"> </w:t>
      </w:r>
    </w:p>
    <w:p w14:paraId="37EB1D3A" w14:textId="77777777" w:rsidR="005A5F0E" w:rsidRDefault="00B55415">
      <w:pPr>
        <w:spacing w:after="0" w:line="259" w:lineRule="auto"/>
        <w:ind w:left="437" w:firstLine="0"/>
      </w:pPr>
      <w:r>
        <w:lastRenderedPageBreak/>
        <w:t xml:space="preserve"> </w:t>
      </w:r>
    </w:p>
    <w:p w14:paraId="51CD1CC1" w14:textId="77777777" w:rsidR="005A5F0E" w:rsidRDefault="00B55415">
      <w:pPr>
        <w:spacing w:after="14" w:line="259" w:lineRule="auto"/>
        <w:ind w:left="437" w:firstLine="0"/>
      </w:pPr>
      <w:r>
        <w:rPr>
          <w:color w:val="0070C0"/>
        </w:rPr>
        <w:t xml:space="preserve"> </w:t>
      </w:r>
    </w:p>
    <w:p w14:paraId="44D4EB0F" w14:textId="0534A7D8" w:rsidR="005A5F0E" w:rsidRDefault="00B55415" w:rsidP="00BC200A">
      <w:pPr>
        <w:pStyle w:val="Heading3"/>
      </w:pPr>
      <w:r>
        <w:t>1</w:t>
      </w:r>
      <w:r w:rsidR="00BC200A">
        <w:t>6</w:t>
      </w:r>
      <w:r>
        <w:t xml:space="preserve"> </w:t>
      </w:r>
      <w:r>
        <w:t xml:space="preserve">Remote prescribing  </w:t>
      </w:r>
    </w:p>
    <w:p w14:paraId="374A7B36" w14:textId="5197A12C" w:rsidR="005A5F0E" w:rsidRDefault="00B55415" w:rsidP="005029F3">
      <w:pPr>
        <w:spacing w:after="228" w:line="250" w:lineRule="auto"/>
        <w:ind w:left="0" w:firstLine="0"/>
        <w:jc w:val="both"/>
      </w:pPr>
      <w:r>
        <w:t>Remote prescribing is described as prescribing by an independent prescriber who authorises administration of a medicine to a patient without face-to-face assessment which must not be at the expense of safe and effective care</w:t>
      </w:r>
      <w:r w:rsidR="00BC200A">
        <w:t xml:space="preserve"> and </w:t>
      </w:r>
      <w:r w:rsidR="00BC200A">
        <w:t xml:space="preserve">the prescriber must be </w:t>
      </w:r>
      <w:proofErr w:type="gramStart"/>
      <w:r w:rsidR="00BC200A">
        <w:t>satisfied</w:t>
      </w:r>
      <w:proofErr w:type="gramEnd"/>
      <w:r w:rsidR="00BC200A">
        <w:t xml:space="preserve"> they can make an adequate prescribing assessment; having adequate knowledge of the patient’s health,</w:t>
      </w:r>
      <w:r w:rsidR="00BC200A">
        <w:t xml:space="preserve"> </w:t>
      </w:r>
      <w:r w:rsidR="00BC200A">
        <w:t>and are satisfied that the medicines serve the patient’s needs</w:t>
      </w:r>
      <w:r>
        <w:t xml:space="preserve">. </w:t>
      </w:r>
      <w:r w:rsidR="005029F3">
        <w:t xml:space="preserve"> </w:t>
      </w:r>
    </w:p>
    <w:p w14:paraId="0DDAB572" w14:textId="74B09194" w:rsidR="005029F3" w:rsidRDefault="00B55415" w:rsidP="005029F3">
      <w:pPr>
        <w:spacing w:after="228" w:line="250" w:lineRule="auto"/>
        <w:ind w:left="0" w:firstLine="0"/>
        <w:jc w:val="both"/>
      </w:pPr>
      <w:r>
        <w:t>Remote consultations and prescribing provided online, over video-link or by phone can benefit patients, however, there are potential patient safety risks</w:t>
      </w:r>
      <w:r w:rsidR="005029F3">
        <w:t>.</w:t>
      </w:r>
      <w:r>
        <w:t xml:space="preserve"> </w:t>
      </w:r>
      <w:r>
        <w:t>Prescribers must be aware of these risks</w:t>
      </w:r>
      <w:r>
        <w:t xml:space="preserve"> and be clear about their responsibilities for protecting patients</w:t>
      </w:r>
      <w:r w:rsidR="005029F3">
        <w:t xml:space="preserve"> and i</w:t>
      </w:r>
      <w:r w:rsidR="005029F3">
        <w:t>n respect of aesthetic treatments such as botulinum toxin, it is a requirement that a face-to-face consultation is undertaken prior to prescribing this medication.</w:t>
      </w:r>
    </w:p>
    <w:p w14:paraId="61FFE21C" w14:textId="15895601" w:rsidR="005A5F0E" w:rsidRDefault="00BC200A" w:rsidP="00BC200A">
      <w:pPr>
        <w:pStyle w:val="Heading2"/>
      </w:pPr>
      <w:r>
        <w:t xml:space="preserve">17. </w:t>
      </w:r>
      <w:r w:rsidR="00B55415">
        <w:t xml:space="preserve">Use of Injectable medicines </w:t>
      </w:r>
      <w:r w:rsidR="00B55415">
        <w:rPr>
          <w:color w:val="FF0000"/>
        </w:rPr>
        <w:t xml:space="preserve"> </w:t>
      </w:r>
    </w:p>
    <w:p w14:paraId="30922603" w14:textId="77777777" w:rsidR="005A5F0E" w:rsidRDefault="00B55415">
      <w:pPr>
        <w:spacing w:after="14" w:line="259" w:lineRule="auto"/>
        <w:ind w:left="437" w:firstLine="0"/>
      </w:pPr>
      <w:r>
        <w:t xml:space="preserve"> </w:t>
      </w:r>
    </w:p>
    <w:p w14:paraId="49E19C3B" w14:textId="11B8CE91" w:rsidR="005A5F0E" w:rsidRDefault="00BC200A" w:rsidP="00BC200A">
      <w:pPr>
        <w:ind w:right="14"/>
      </w:pPr>
      <w:r>
        <w:t xml:space="preserve">Within </w:t>
      </w:r>
      <w:proofErr w:type="spellStart"/>
      <w:r>
        <w:t>SSACLtd</w:t>
      </w:r>
      <w:proofErr w:type="spellEnd"/>
      <w:r>
        <w:t xml:space="preserve">, some POM and other products used are </w:t>
      </w:r>
      <w:r w:rsidR="00B55415">
        <w:t>given by injection</w:t>
      </w:r>
      <w:r>
        <w:t xml:space="preserve">.  Some are already mixed but some require reconstituting and in this case a reconstitution or dilution agent </w:t>
      </w:r>
      <w:proofErr w:type="spellStart"/>
      <w:proofErr w:type="gramStart"/>
      <w:r>
        <w:t>eg</w:t>
      </w:r>
      <w:proofErr w:type="spellEnd"/>
      <w:proofErr w:type="gramEnd"/>
      <w:r>
        <w:t xml:space="preserve"> bacteriostat or normal saline will be used</w:t>
      </w:r>
    </w:p>
    <w:p w14:paraId="1AC7AF10" w14:textId="77777777" w:rsidR="00BC200A" w:rsidRDefault="00BC200A" w:rsidP="00BC200A">
      <w:pPr>
        <w:pStyle w:val="Heading2"/>
        <w:spacing w:after="85"/>
      </w:pPr>
    </w:p>
    <w:p w14:paraId="3F958F9F" w14:textId="7F207223" w:rsidR="005A5F0E" w:rsidRDefault="00B55415" w:rsidP="00BC200A">
      <w:pPr>
        <w:pStyle w:val="Heading2"/>
        <w:spacing w:after="85"/>
      </w:pPr>
      <w:r>
        <w:t xml:space="preserve">15. Return and Disposal of Unwanted Medicines </w:t>
      </w:r>
    </w:p>
    <w:p w14:paraId="4B1A0554" w14:textId="0C6653FA" w:rsidR="005A5F0E" w:rsidRDefault="00B55415" w:rsidP="00B35D20">
      <w:pPr>
        <w:ind w:right="14"/>
      </w:pPr>
      <w:r>
        <w:t>Medicines that are no longer to be administered to a pat</w:t>
      </w:r>
      <w:r>
        <w:t xml:space="preserve">ient, for whatever reason, should be returned to the relevant community pharmacy or dispensing doctor for disposal. </w:t>
      </w:r>
    </w:p>
    <w:p w14:paraId="404B555C" w14:textId="018818DF" w:rsidR="005A5F0E" w:rsidRDefault="00B55415" w:rsidP="00B35D20">
      <w:pPr>
        <w:ind w:right="14"/>
      </w:pPr>
      <w:r>
        <w:t xml:space="preserve">Medicines that have been issued directly to a patient should not be reused. </w:t>
      </w:r>
    </w:p>
    <w:p w14:paraId="25168F34" w14:textId="6C98EA94" w:rsidR="005A5F0E" w:rsidRDefault="00B55415" w:rsidP="00B35D20">
      <w:pPr>
        <w:ind w:right="14"/>
      </w:pPr>
      <w:r>
        <w:t>The storage, carriage and consignment of waste are a</w:t>
      </w:r>
      <w:r>
        <w:t xml:space="preserve">ll subject to stringent controls via Environmental, Waste, Transport and Health and Safety legislation. </w:t>
      </w:r>
    </w:p>
    <w:p w14:paraId="2B9B51DD" w14:textId="105E3B68" w:rsidR="005A5F0E" w:rsidRDefault="00B55415" w:rsidP="00B35D20">
      <w:pPr>
        <w:ind w:right="14"/>
      </w:pPr>
      <w:r>
        <w:t xml:space="preserve">The waste medicines should be deposited in a rigid medicine’s container; </w:t>
      </w:r>
      <w:r>
        <w:t xml:space="preserve">purple lidded </w:t>
      </w:r>
      <w:r w:rsidR="00B35D20">
        <w:t xml:space="preserve">sharps bins are used in </w:t>
      </w:r>
      <w:proofErr w:type="spellStart"/>
      <w:proofErr w:type="gramStart"/>
      <w:r w:rsidR="00B35D20">
        <w:t>SSACLtd</w:t>
      </w:r>
      <w:proofErr w:type="spellEnd"/>
      <w:proofErr w:type="gramEnd"/>
      <w:r w:rsidR="00B35D20">
        <w:t xml:space="preserve"> </w:t>
      </w:r>
    </w:p>
    <w:p w14:paraId="00A0534C" w14:textId="77777777" w:rsidR="005A5F0E" w:rsidRDefault="00B55415">
      <w:pPr>
        <w:spacing w:after="26" w:line="259" w:lineRule="auto"/>
        <w:ind w:left="437" w:firstLine="0"/>
      </w:pPr>
      <w:r>
        <w:rPr>
          <w:b/>
          <w:color w:val="0070C0"/>
          <w:sz w:val="32"/>
        </w:rPr>
        <w:t xml:space="preserve"> </w:t>
      </w:r>
    </w:p>
    <w:p w14:paraId="2D1B25CA" w14:textId="294A75D0" w:rsidR="005A5F0E" w:rsidRPr="00B35D20" w:rsidRDefault="00B35D20" w:rsidP="00B35D20">
      <w:pPr>
        <w:ind w:right="14"/>
        <w:rPr>
          <w:b/>
          <w:bCs/>
          <w:color w:val="0070C0"/>
          <w:sz w:val="32"/>
          <w:szCs w:val="32"/>
        </w:rPr>
      </w:pPr>
      <w:r w:rsidRPr="00B35D20">
        <w:rPr>
          <w:b/>
          <w:bCs/>
          <w:color w:val="0070C0"/>
          <w:sz w:val="32"/>
          <w:szCs w:val="32"/>
        </w:rPr>
        <w:t xml:space="preserve">16. </w:t>
      </w:r>
      <w:r>
        <w:rPr>
          <w:b/>
          <w:bCs/>
          <w:color w:val="0070C0"/>
          <w:sz w:val="32"/>
          <w:szCs w:val="32"/>
        </w:rPr>
        <w:t>Administration Errors</w:t>
      </w:r>
      <w:r w:rsidR="00B55415" w:rsidRPr="00B35D20">
        <w:rPr>
          <w:b/>
          <w:bCs/>
          <w:color w:val="0070C0"/>
          <w:sz w:val="32"/>
          <w:szCs w:val="32"/>
        </w:rPr>
        <w:t xml:space="preserve"> </w:t>
      </w:r>
    </w:p>
    <w:p w14:paraId="05859060" w14:textId="01B33E89" w:rsidR="005A5F0E" w:rsidRDefault="00B55415" w:rsidP="00B35D20">
      <w:pPr>
        <w:spacing w:after="226"/>
        <w:ind w:right="14"/>
      </w:pPr>
      <w:r>
        <w:t>If there is any risk of harm to an individual due to an incide</w:t>
      </w:r>
      <w:r>
        <w:t>nt involving medicines; priority must be given to the clinical care of that person(s). Duty of Candour applies</w:t>
      </w:r>
      <w:r w:rsidR="00B35D20">
        <w:t xml:space="preserve"> along with an investigation is needed</w:t>
      </w:r>
      <w:r>
        <w:t xml:space="preserve">; refer to </w:t>
      </w:r>
      <w:r w:rsidR="00B35D20">
        <w:t xml:space="preserve">serious incident </w:t>
      </w:r>
      <w:proofErr w:type="gramStart"/>
      <w:r w:rsidR="00B35D20">
        <w:t>policy</w:t>
      </w:r>
      <w:proofErr w:type="gramEnd"/>
      <w:r>
        <w:t xml:space="preserve">  </w:t>
      </w:r>
    </w:p>
    <w:p w14:paraId="5FA6CA4C" w14:textId="5472CF2E" w:rsidR="005A5F0E" w:rsidRDefault="005A5F0E">
      <w:pPr>
        <w:spacing w:after="0" w:line="259" w:lineRule="auto"/>
        <w:ind w:left="437" w:firstLine="0"/>
      </w:pPr>
    </w:p>
    <w:p w14:paraId="78E8AC4F" w14:textId="61C6E63E" w:rsidR="005A5F0E" w:rsidRPr="00B35D20" w:rsidRDefault="00B35D20" w:rsidP="00B35D20">
      <w:pPr>
        <w:pStyle w:val="Heading3"/>
        <w:rPr>
          <w:sz w:val="32"/>
          <w:szCs w:val="32"/>
        </w:rPr>
      </w:pPr>
      <w:r w:rsidRPr="00B35D20">
        <w:rPr>
          <w:sz w:val="32"/>
          <w:szCs w:val="32"/>
        </w:rPr>
        <w:t xml:space="preserve">17. </w:t>
      </w:r>
      <w:r w:rsidR="00B55415" w:rsidRPr="00B35D20">
        <w:rPr>
          <w:sz w:val="32"/>
          <w:szCs w:val="32"/>
        </w:rPr>
        <w:t xml:space="preserve">Adverse reactions to drugs </w:t>
      </w:r>
    </w:p>
    <w:p w14:paraId="5D0E478C" w14:textId="73190504" w:rsidR="005A5F0E" w:rsidRDefault="00B55415" w:rsidP="00B35D20">
      <w:pPr>
        <w:ind w:right="14"/>
      </w:pPr>
      <w:r>
        <w:t xml:space="preserve">If any patient experiences an adverse drug reaction (ADR), action must be taken to remedy any resulting harm caused by the reaction. The reaction must be recorded in the </w:t>
      </w:r>
      <w:r>
        <w:lastRenderedPageBreak/>
        <w:t>patient notes and the prescriber should be</w:t>
      </w:r>
      <w:r>
        <w:t xml:space="preserve"> notified. </w:t>
      </w:r>
      <w:r w:rsidR="00B35D20">
        <w:t xml:space="preserve"> A </w:t>
      </w:r>
      <w:r>
        <w:t xml:space="preserve">report </w:t>
      </w:r>
      <w:r w:rsidR="00B35D20">
        <w:t xml:space="preserve">of </w:t>
      </w:r>
      <w:r>
        <w:t>suspected adverse reactions</w:t>
      </w:r>
      <w:r w:rsidR="00B35D20">
        <w:t xml:space="preserve"> should be made via the y</w:t>
      </w:r>
      <w:r>
        <w:t>ellow card</w:t>
      </w:r>
      <w:r w:rsidR="00B35D20">
        <w:t xml:space="preserve"> notification</w:t>
      </w:r>
      <w:r>
        <w:t xml:space="preserve"> to the Medicines and Healthcare products Regulatory Agency (MHRA)</w:t>
      </w:r>
      <w:r w:rsidR="00B35D20">
        <w:t xml:space="preserve"> on </w:t>
      </w:r>
      <w:proofErr w:type="spellStart"/>
      <w:r w:rsidR="00B35D20">
        <w:t>t</w:t>
      </w:r>
      <w:r>
        <w:t>t</w:t>
      </w:r>
      <w:r>
        <w:t>he</w:t>
      </w:r>
      <w:proofErr w:type="spellEnd"/>
      <w:r>
        <w:t xml:space="preserve"> following link </w:t>
      </w:r>
      <w:hyperlink r:id="rId8">
        <w:r>
          <w:rPr>
            <w:color w:val="0000FF"/>
            <w:u w:val="single" w:color="0000FF"/>
          </w:rPr>
          <w:t>http://www.yellowcard.gov.uk</w:t>
        </w:r>
      </w:hyperlink>
      <w:hyperlink r:id="rId9">
        <w:r>
          <w:t xml:space="preserve"> </w:t>
        </w:r>
      </w:hyperlink>
    </w:p>
    <w:p w14:paraId="25A8860A" w14:textId="77777777" w:rsidR="005A5F0E" w:rsidRDefault="00B55415">
      <w:pPr>
        <w:spacing w:after="33" w:line="259" w:lineRule="auto"/>
        <w:ind w:left="437" w:firstLine="0"/>
      </w:pPr>
      <w:r>
        <w:rPr>
          <w:color w:val="FF0000"/>
          <w:sz w:val="22"/>
        </w:rPr>
        <w:t xml:space="preserve"> </w:t>
      </w:r>
    </w:p>
    <w:p w14:paraId="2EBDB7BA" w14:textId="6009F293" w:rsidR="005A5F0E" w:rsidRDefault="00753404" w:rsidP="00753404">
      <w:pPr>
        <w:pStyle w:val="Heading3"/>
      </w:pPr>
      <w:r>
        <w:t xml:space="preserve">18. </w:t>
      </w:r>
      <w:r w:rsidR="00B55415">
        <w:t xml:space="preserve">Spillage </w:t>
      </w:r>
    </w:p>
    <w:p w14:paraId="3F3E3263" w14:textId="35354C95" w:rsidR="005A5F0E" w:rsidRDefault="00B55415" w:rsidP="00753404">
      <w:pPr>
        <w:ind w:right="14"/>
      </w:pPr>
      <w:r>
        <w:t xml:space="preserve">Reference should be made to local policy and COSHH which should outline all cleaning requirements when dealing with spillage. </w:t>
      </w:r>
    </w:p>
    <w:p w14:paraId="501FD54F" w14:textId="17AFF1C7" w:rsidR="005A5F0E" w:rsidRDefault="00B55415" w:rsidP="00753404">
      <w:pPr>
        <w:spacing w:after="226"/>
        <w:ind w:right="14"/>
      </w:pPr>
      <w:r>
        <w:t>Initially the spil</w:t>
      </w:r>
      <w:r>
        <w:t xml:space="preserve">lage should be soaked up with paper towels. Appropriate personal protective equipment (PPE) should always be worn. Care should be taken to avoid puncture wounds from associated glass or needles.  </w:t>
      </w:r>
    </w:p>
    <w:p w14:paraId="7FCC8458" w14:textId="77777777" w:rsidR="00B55415" w:rsidRDefault="00B55415" w:rsidP="00753404">
      <w:pPr>
        <w:spacing w:after="170"/>
        <w:ind w:right="13"/>
        <w:rPr>
          <w:sz w:val="22"/>
        </w:rPr>
      </w:pPr>
    </w:p>
    <w:p w14:paraId="61E53F24" w14:textId="77777777" w:rsidR="00B55415" w:rsidRDefault="00B55415" w:rsidP="00753404">
      <w:pPr>
        <w:spacing w:after="170"/>
        <w:ind w:right="13"/>
        <w:rPr>
          <w:sz w:val="22"/>
        </w:rPr>
      </w:pPr>
    </w:p>
    <w:p w14:paraId="4618486D" w14:textId="77777777" w:rsidR="00B55415" w:rsidRDefault="00753404" w:rsidP="00753404">
      <w:pPr>
        <w:spacing w:after="170"/>
        <w:ind w:right="13"/>
        <w:rPr>
          <w:sz w:val="22"/>
        </w:rPr>
      </w:pPr>
      <w:r>
        <w:rPr>
          <w:sz w:val="22"/>
        </w:rPr>
        <w:object w:dxaOrig="1534" w:dyaOrig="991" w14:anchorId="5AA3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0" o:title=""/>
          </v:shape>
          <o:OLEObject Type="Embed" ProgID="Excel.Sheet.12" ShapeID="_x0000_i1025" DrawAspect="Icon" ObjectID="_1777647639" r:id="rId11"/>
        </w:object>
      </w:r>
      <w:r>
        <w:rPr>
          <w:sz w:val="22"/>
        </w:rPr>
        <w:t xml:space="preserve">    </w:t>
      </w:r>
      <w:bookmarkStart w:id="0" w:name="_MON_1777647145"/>
      <w:bookmarkEnd w:id="0"/>
      <w:r>
        <w:rPr>
          <w:sz w:val="22"/>
        </w:rPr>
        <w:object w:dxaOrig="1534" w:dyaOrig="991" w14:anchorId="4133A94E">
          <v:shape id="_x0000_i1026" type="#_x0000_t75" style="width:76.75pt;height:49.6pt" o:ole="">
            <v:imagedata r:id="rId12" o:title=""/>
          </v:shape>
          <o:OLEObject Type="Embed" ProgID="Word.Document.12" ShapeID="_x0000_i1026" DrawAspect="Icon" ObjectID="_1777647640" r:id="rId13">
            <o:FieldCodes>\s</o:FieldCodes>
          </o:OLEObject>
        </w:object>
      </w:r>
      <w:r>
        <w:rPr>
          <w:sz w:val="22"/>
        </w:rPr>
        <w:t xml:space="preserve">   </w:t>
      </w:r>
    </w:p>
    <w:p w14:paraId="7A263B9F" w14:textId="77777777" w:rsidR="00B55415" w:rsidRDefault="00B55415" w:rsidP="00753404">
      <w:pPr>
        <w:spacing w:after="170"/>
        <w:ind w:right="13"/>
        <w:rPr>
          <w:sz w:val="22"/>
        </w:rPr>
      </w:pPr>
    </w:p>
    <w:bookmarkStart w:id="1" w:name="_MON_1777647564"/>
    <w:bookmarkEnd w:id="1"/>
    <w:p w14:paraId="1236C0D7" w14:textId="33111CD6" w:rsidR="005A5F0E" w:rsidRDefault="00B55415" w:rsidP="00B55415">
      <w:pPr>
        <w:spacing w:after="170"/>
        <w:ind w:right="13"/>
      </w:pPr>
      <w:r>
        <w:rPr>
          <w:sz w:val="22"/>
        </w:rPr>
        <w:object w:dxaOrig="9026" w:dyaOrig="13651" w14:anchorId="633695FC">
          <v:shape id="_x0000_i1029" type="#_x0000_t75" style="width:451pt;height:682.65pt" o:ole="">
            <v:imagedata r:id="rId14" o:title=""/>
          </v:shape>
          <o:OLEObject Type="Embed" ProgID="Word.Document.12" ShapeID="_x0000_i1029" DrawAspect="Content" ObjectID="_1777647641" r:id="rId15">
            <o:FieldCodes>\s</o:FieldCodes>
          </o:OLEObject>
        </w:object>
      </w:r>
    </w:p>
    <w:sectPr w:rsidR="005A5F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37" w:right="1371" w:bottom="81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2337" w14:textId="77777777" w:rsidR="00B55415" w:rsidRDefault="00B55415">
      <w:pPr>
        <w:spacing w:after="0" w:line="240" w:lineRule="auto"/>
      </w:pPr>
      <w:r>
        <w:separator/>
      </w:r>
    </w:p>
  </w:endnote>
  <w:endnote w:type="continuationSeparator" w:id="0">
    <w:p w14:paraId="2C54E3F5" w14:textId="77777777" w:rsidR="00B55415" w:rsidRDefault="00B5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5CC5" w14:textId="77777777" w:rsidR="005A5F0E" w:rsidRDefault="00B55415">
    <w:pPr>
      <w:spacing w:after="0" w:line="259" w:lineRule="auto"/>
      <w:ind w:left="0" w:right="66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116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126</w:t>
    </w:r>
    <w:r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113" w14:textId="77777777" w:rsidR="005A5F0E" w:rsidRDefault="00B55415">
    <w:pPr>
      <w:spacing w:after="0" w:line="259" w:lineRule="auto"/>
      <w:ind w:left="0" w:right="66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116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126</w:t>
    </w:r>
    <w:r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D746" w14:textId="77777777" w:rsidR="005A5F0E" w:rsidRDefault="005A5F0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25AE" w14:textId="77777777" w:rsidR="00B55415" w:rsidRDefault="00B55415">
      <w:pPr>
        <w:spacing w:after="0" w:line="240" w:lineRule="auto"/>
      </w:pPr>
      <w:r>
        <w:separator/>
      </w:r>
    </w:p>
  </w:footnote>
  <w:footnote w:type="continuationSeparator" w:id="0">
    <w:p w14:paraId="421C5003" w14:textId="77777777" w:rsidR="00B55415" w:rsidRDefault="00B5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D949" w14:textId="77777777" w:rsidR="005A5F0E" w:rsidRDefault="005A5F0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E55" w14:textId="77777777" w:rsidR="005A5F0E" w:rsidRDefault="005A5F0E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AFA2" w14:textId="77777777" w:rsidR="005A5F0E" w:rsidRDefault="005A5F0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B2D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03B1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C30DA"/>
    <w:multiLevelType w:val="hybridMultilevel"/>
    <w:tmpl w:val="90126E0E"/>
    <w:lvl w:ilvl="0" w:tplc="6E368B72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AC6D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60AD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ED2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4CE0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C3E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CB3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E241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2A9A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30F21"/>
    <w:multiLevelType w:val="hybridMultilevel"/>
    <w:tmpl w:val="25BAAF42"/>
    <w:lvl w:ilvl="0" w:tplc="F0745C08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C21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05F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6C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092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CB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4AC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ECE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854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4247D"/>
    <w:multiLevelType w:val="hybridMultilevel"/>
    <w:tmpl w:val="10922CF4"/>
    <w:lvl w:ilvl="0" w:tplc="018214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3D54">
      <w:start w:val="1"/>
      <w:numFmt w:val="bullet"/>
      <w:lvlText w:val="o"/>
      <w:lvlJc w:val="left"/>
      <w:pPr>
        <w:ind w:left="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4F8D2">
      <w:start w:val="1"/>
      <w:numFmt w:val="bullet"/>
      <w:lvlRestart w:val="0"/>
      <w:lvlText w:val="•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1E72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4B1FA">
      <w:start w:val="1"/>
      <w:numFmt w:val="bullet"/>
      <w:lvlText w:val="o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66870">
      <w:start w:val="1"/>
      <w:numFmt w:val="bullet"/>
      <w:lvlText w:val="▪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44834">
      <w:start w:val="1"/>
      <w:numFmt w:val="bullet"/>
      <w:lvlText w:val="•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B30">
      <w:start w:val="1"/>
      <w:numFmt w:val="bullet"/>
      <w:lvlText w:val="o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6E82E">
      <w:start w:val="1"/>
      <w:numFmt w:val="bullet"/>
      <w:lvlText w:val="▪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1F2F6E"/>
    <w:multiLevelType w:val="hybridMultilevel"/>
    <w:tmpl w:val="243A1882"/>
    <w:lvl w:ilvl="0" w:tplc="739ED7A2">
      <w:start w:val="3"/>
      <w:numFmt w:val="decimal"/>
      <w:lvlText w:val="%1."/>
      <w:lvlJc w:val="left"/>
      <w:pPr>
        <w:ind w:left="715" w:hanging="360"/>
      </w:pPr>
      <w:rPr>
        <w:rFonts w:hint="default"/>
        <w:b/>
        <w:color w:val="0070C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35" w:hanging="360"/>
      </w:pPr>
    </w:lvl>
    <w:lvl w:ilvl="2" w:tplc="0809001B" w:tentative="1">
      <w:start w:val="1"/>
      <w:numFmt w:val="lowerRoman"/>
      <w:lvlText w:val="%3."/>
      <w:lvlJc w:val="right"/>
      <w:pPr>
        <w:ind w:left="2155" w:hanging="180"/>
      </w:pPr>
    </w:lvl>
    <w:lvl w:ilvl="3" w:tplc="0809000F" w:tentative="1">
      <w:start w:val="1"/>
      <w:numFmt w:val="decimal"/>
      <w:lvlText w:val="%4."/>
      <w:lvlJc w:val="left"/>
      <w:pPr>
        <w:ind w:left="2875" w:hanging="360"/>
      </w:pPr>
    </w:lvl>
    <w:lvl w:ilvl="4" w:tplc="08090019" w:tentative="1">
      <w:start w:val="1"/>
      <w:numFmt w:val="lowerLetter"/>
      <w:lvlText w:val="%5."/>
      <w:lvlJc w:val="left"/>
      <w:pPr>
        <w:ind w:left="3595" w:hanging="360"/>
      </w:pPr>
    </w:lvl>
    <w:lvl w:ilvl="5" w:tplc="0809001B" w:tentative="1">
      <w:start w:val="1"/>
      <w:numFmt w:val="lowerRoman"/>
      <w:lvlText w:val="%6."/>
      <w:lvlJc w:val="right"/>
      <w:pPr>
        <w:ind w:left="4315" w:hanging="180"/>
      </w:pPr>
    </w:lvl>
    <w:lvl w:ilvl="6" w:tplc="0809000F" w:tentative="1">
      <w:start w:val="1"/>
      <w:numFmt w:val="decimal"/>
      <w:lvlText w:val="%7."/>
      <w:lvlJc w:val="left"/>
      <w:pPr>
        <w:ind w:left="5035" w:hanging="360"/>
      </w:pPr>
    </w:lvl>
    <w:lvl w:ilvl="7" w:tplc="08090019" w:tentative="1">
      <w:start w:val="1"/>
      <w:numFmt w:val="lowerLetter"/>
      <w:lvlText w:val="%8."/>
      <w:lvlJc w:val="left"/>
      <w:pPr>
        <w:ind w:left="5755" w:hanging="360"/>
      </w:pPr>
    </w:lvl>
    <w:lvl w:ilvl="8" w:tplc="08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41226BF"/>
    <w:multiLevelType w:val="multilevel"/>
    <w:tmpl w:val="5DBEBCA0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F39BD"/>
    <w:multiLevelType w:val="multilevel"/>
    <w:tmpl w:val="6D06105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D3961"/>
    <w:multiLevelType w:val="hybridMultilevel"/>
    <w:tmpl w:val="00BC722A"/>
    <w:lvl w:ilvl="0" w:tplc="221CE4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ABD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E0C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27B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0AC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A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3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448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800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84253"/>
    <w:multiLevelType w:val="hybridMultilevel"/>
    <w:tmpl w:val="700AA8AA"/>
    <w:lvl w:ilvl="0" w:tplc="0EDE9E7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EE2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8D4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A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5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452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A3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C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842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E74915"/>
    <w:multiLevelType w:val="hybridMultilevel"/>
    <w:tmpl w:val="CD8C2C16"/>
    <w:lvl w:ilvl="0" w:tplc="955C5CDA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CF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05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436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56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890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A5F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C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C5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4711B"/>
    <w:multiLevelType w:val="multilevel"/>
    <w:tmpl w:val="ED52F72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E47A30"/>
    <w:multiLevelType w:val="multilevel"/>
    <w:tmpl w:val="CFB87672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B509AD"/>
    <w:multiLevelType w:val="hybridMultilevel"/>
    <w:tmpl w:val="B31003F4"/>
    <w:lvl w:ilvl="0" w:tplc="E26CCF7A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0A0A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AF596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CA6BE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0EDF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8229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638E6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6FFD6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CE592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D72DA2"/>
    <w:multiLevelType w:val="multilevel"/>
    <w:tmpl w:val="A3CE843A"/>
    <w:lvl w:ilvl="0">
      <w:start w:val="2"/>
      <w:numFmt w:val="decimal"/>
      <w:lvlText w:val="%1.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9929AD"/>
    <w:multiLevelType w:val="hybridMultilevel"/>
    <w:tmpl w:val="3880EB7C"/>
    <w:lvl w:ilvl="0" w:tplc="AA1A19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6E8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4A4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674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EF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EF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84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BA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A4F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86FAA"/>
    <w:multiLevelType w:val="hybridMultilevel"/>
    <w:tmpl w:val="1A3CDD60"/>
    <w:lvl w:ilvl="0" w:tplc="38F69A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4D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A30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A97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638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8B0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E07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E98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ACA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9B0538"/>
    <w:multiLevelType w:val="hybridMultilevel"/>
    <w:tmpl w:val="C9AC771E"/>
    <w:lvl w:ilvl="0" w:tplc="4CDAD58E">
      <w:start w:val="1"/>
      <w:numFmt w:val="decimal"/>
      <w:lvlText w:val="%1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44B1A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E428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4AD0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B415F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BAA6D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50C7C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DA53D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68F0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B3176C"/>
    <w:multiLevelType w:val="hybridMultilevel"/>
    <w:tmpl w:val="91A02ED2"/>
    <w:lvl w:ilvl="0" w:tplc="88D27626">
      <w:start w:val="1"/>
      <w:numFmt w:val="decimal"/>
      <w:lvlText w:val="%1.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E51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84420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26A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4750A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281C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8153E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557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675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BA5AA4"/>
    <w:multiLevelType w:val="hybridMultilevel"/>
    <w:tmpl w:val="38E8ABF0"/>
    <w:lvl w:ilvl="0" w:tplc="BDD2ABB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7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42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480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832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898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6FF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236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A7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B3211"/>
    <w:multiLevelType w:val="multilevel"/>
    <w:tmpl w:val="C676571E"/>
    <w:lvl w:ilvl="0">
      <w:start w:val="4"/>
      <w:numFmt w:val="decimal"/>
      <w:lvlText w:val="%1."/>
      <w:lvlJc w:val="left"/>
      <w:pPr>
        <w:ind w:left="355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CF6B0A"/>
    <w:multiLevelType w:val="hybridMultilevel"/>
    <w:tmpl w:val="36F0F7D0"/>
    <w:lvl w:ilvl="0" w:tplc="AACAAE20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83C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B91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A140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C45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C347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CC2B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28E9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A26D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1F266B"/>
    <w:multiLevelType w:val="hybridMultilevel"/>
    <w:tmpl w:val="FDAC65AC"/>
    <w:lvl w:ilvl="0" w:tplc="EE18ABE2">
      <w:start w:val="1"/>
      <w:numFmt w:val="decimal"/>
      <w:lvlText w:val="%1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21958">
      <w:start w:val="1"/>
      <w:numFmt w:val="lowerLetter"/>
      <w:lvlText w:val="%2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D36">
      <w:start w:val="1"/>
      <w:numFmt w:val="lowerRoman"/>
      <w:lvlText w:val="%3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89E16">
      <w:start w:val="1"/>
      <w:numFmt w:val="decimal"/>
      <w:lvlText w:val="%4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61A4A">
      <w:start w:val="1"/>
      <w:numFmt w:val="lowerLetter"/>
      <w:lvlText w:val="%5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ACB98">
      <w:start w:val="1"/>
      <w:numFmt w:val="lowerRoman"/>
      <w:lvlText w:val="%6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09E34">
      <w:start w:val="1"/>
      <w:numFmt w:val="decimal"/>
      <w:lvlText w:val="%7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8BA7E">
      <w:start w:val="1"/>
      <w:numFmt w:val="lowerLetter"/>
      <w:lvlText w:val="%8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41D6">
      <w:start w:val="1"/>
      <w:numFmt w:val="lowerRoman"/>
      <w:lvlText w:val="%9"/>
      <w:lvlJc w:val="left"/>
      <w:pPr>
        <w:ind w:left="7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582DA0"/>
    <w:multiLevelType w:val="hybridMultilevel"/>
    <w:tmpl w:val="3EF23B70"/>
    <w:lvl w:ilvl="0" w:tplc="A4A623E0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43E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C282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0312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4093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70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67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01B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297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79011A"/>
    <w:multiLevelType w:val="hybridMultilevel"/>
    <w:tmpl w:val="F76EE6FA"/>
    <w:lvl w:ilvl="0" w:tplc="BCFED1AE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444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4FED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42D2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AC4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6BA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C1F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6AB9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E2E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335F86"/>
    <w:multiLevelType w:val="multilevel"/>
    <w:tmpl w:val="BBB8F75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2F6780"/>
    <w:multiLevelType w:val="hybridMultilevel"/>
    <w:tmpl w:val="D47C4098"/>
    <w:lvl w:ilvl="0" w:tplc="6DAA89D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D6D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8EB0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8DE2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4026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2248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62BA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8557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F63C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C81B78"/>
    <w:multiLevelType w:val="hybridMultilevel"/>
    <w:tmpl w:val="280C9802"/>
    <w:lvl w:ilvl="0" w:tplc="295AAB0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8CE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62B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61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2E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A2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43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C6C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47F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D26BF6"/>
    <w:multiLevelType w:val="hybridMultilevel"/>
    <w:tmpl w:val="F6688E52"/>
    <w:lvl w:ilvl="0" w:tplc="76983E6E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E82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27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C0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268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688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209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EE4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A1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3371B4"/>
    <w:multiLevelType w:val="hybridMultilevel"/>
    <w:tmpl w:val="8F3A07A6"/>
    <w:lvl w:ilvl="0" w:tplc="A45C08B8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25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893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16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C31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2CA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3F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A8D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69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9D2280"/>
    <w:multiLevelType w:val="hybridMultilevel"/>
    <w:tmpl w:val="A2985216"/>
    <w:lvl w:ilvl="0" w:tplc="8CEA789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AEBC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683FC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061C8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8ED58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0F32C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0C518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02E2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85B9E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F42965"/>
    <w:multiLevelType w:val="hybridMultilevel"/>
    <w:tmpl w:val="9022D3C4"/>
    <w:lvl w:ilvl="0" w:tplc="8B3021B6">
      <w:start w:val="1"/>
      <w:numFmt w:val="lowerLetter"/>
      <w:lvlText w:val="(%1)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4E0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E11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A3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ECC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89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04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7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4E3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CC7695"/>
    <w:multiLevelType w:val="hybridMultilevel"/>
    <w:tmpl w:val="08F033BE"/>
    <w:lvl w:ilvl="0" w:tplc="74B24242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5A490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228A1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8A7B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A3E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EEB0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AAD9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C090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2AD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E6655A"/>
    <w:multiLevelType w:val="hybridMultilevel"/>
    <w:tmpl w:val="0D18B056"/>
    <w:lvl w:ilvl="0" w:tplc="67AA493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2816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E4C2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07E4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6FB78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6FFAA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CE4C2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65FB6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EC9CA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C83823"/>
    <w:multiLevelType w:val="hybridMultilevel"/>
    <w:tmpl w:val="B8D2E43E"/>
    <w:lvl w:ilvl="0" w:tplc="C2C235E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6CB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A39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662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43D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6D8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E38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6FA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E39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414729"/>
    <w:multiLevelType w:val="hybridMultilevel"/>
    <w:tmpl w:val="74DC7762"/>
    <w:lvl w:ilvl="0" w:tplc="56463A44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21D3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2C08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80E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A13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26FB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668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8C017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C14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5A401A"/>
    <w:multiLevelType w:val="hybridMultilevel"/>
    <w:tmpl w:val="CB669B02"/>
    <w:lvl w:ilvl="0" w:tplc="16762EE2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6C54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C818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55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2EC8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AC8C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0AB0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251E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59A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8B2B6E"/>
    <w:multiLevelType w:val="hybridMultilevel"/>
    <w:tmpl w:val="A092A934"/>
    <w:lvl w:ilvl="0" w:tplc="E2D6B0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A4B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41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268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2A2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AF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CA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25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C0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874FAD"/>
    <w:multiLevelType w:val="hybridMultilevel"/>
    <w:tmpl w:val="F210DAC2"/>
    <w:lvl w:ilvl="0" w:tplc="E5CC64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CB6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48A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E32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D46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279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00C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0A5F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03B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A553A6"/>
    <w:multiLevelType w:val="hybridMultilevel"/>
    <w:tmpl w:val="909C29FE"/>
    <w:lvl w:ilvl="0" w:tplc="3946BBE0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ADC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6A6A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EDFA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ABB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EF6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6623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BE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462C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954541"/>
    <w:multiLevelType w:val="hybridMultilevel"/>
    <w:tmpl w:val="37CCD7FA"/>
    <w:lvl w:ilvl="0" w:tplc="38C2F7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07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B4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2CC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CF8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4E6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7A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2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282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F15FCB"/>
    <w:multiLevelType w:val="hybridMultilevel"/>
    <w:tmpl w:val="4F8E501E"/>
    <w:lvl w:ilvl="0" w:tplc="262EFBCC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CEC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B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821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03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1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E4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DA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4D8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340BAD"/>
    <w:multiLevelType w:val="hybridMultilevel"/>
    <w:tmpl w:val="3E0CA504"/>
    <w:lvl w:ilvl="0" w:tplc="14D20212">
      <w:start w:val="1"/>
      <w:numFmt w:val="bullet"/>
      <w:lvlText w:val="•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0A08A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6B0C8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43FC8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AB9A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C0AF4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8AF58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881F6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22F2A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B91149"/>
    <w:multiLevelType w:val="hybridMultilevel"/>
    <w:tmpl w:val="A7D67080"/>
    <w:lvl w:ilvl="0" w:tplc="4216B9EC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066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2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C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DA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B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8B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FE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8F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493891">
    <w:abstractNumId w:val="14"/>
  </w:num>
  <w:num w:numId="2" w16cid:durableId="770708013">
    <w:abstractNumId w:val="21"/>
  </w:num>
  <w:num w:numId="3" w16cid:durableId="111287887">
    <w:abstractNumId w:val="7"/>
  </w:num>
  <w:num w:numId="4" w16cid:durableId="410084291">
    <w:abstractNumId w:val="11"/>
  </w:num>
  <w:num w:numId="5" w16cid:durableId="154155158">
    <w:abstractNumId w:val="20"/>
  </w:num>
  <w:num w:numId="6" w16cid:durableId="1370454042">
    <w:abstractNumId w:val="24"/>
  </w:num>
  <w:num w:numId="7" w16cid:durableId="172845555">
    <w:abstractNumId w:val="39"/>
  </w:num>
  <w:num w:numId="8" w16cid:durableId="1347947470">
    <w:abstractNumId w:val="25"/>
  </w:num>
  <w:num w:numId="9" w16cid:durableId="591470831">
    <w:abstractNumId w:val="34"/>
  </w:num>
  <w:num w:numId="10" w16cid:durableId="1814250922">
    <w:abstractNumId w:val="9"/>
  </w:num>
  <w:num w:numId="11" w16cid:durableId="2139375167">
    <w:abstractNumId w:val="43"/>
  </w:num>
  <w:num w:numId="12" w16cid:durableId="157234374">
    <w:abstractNumId w:val="19"/>
  </w:num>
  <w:num w:numId="13" w16cid:durableId="1539779959">
    <w:abstractNumId w:val="29"/>
  </w:num>
  <w:num w:numId="14" w16cid:durableId="547302719">
    <w:abstractNumId w:val="3"/>
  </w:num>
  <w:num w:numId="15" w16cid:durableId="2109737777">
    <w:abstractNumId w:val="8"/>
  </w:num>
  <w:num w:numId="16" w16cid:durableId="424309793">
    <w:abstractNumId w:val="40"/>
  </w:num>
  <w:num w:numId="17" w16cid:durableId="1816950073">
    <w:abstractNumId w:val="15"/>
  </w:num>
  <w:num w:numId="18" w16cid:durableId="1421177800">
    <w:abstractNumId w:val="37"/>
  </w:num>
  <w:num w:numId="19" w16cid:durableId="1206984127">
    <w:abstractNumId w:val="18"/>
  </w:num>
  <w:num w:numId="20" w16cid:durableId="158622785">
    <w:abstractNumId w:val="13"/>
  </w:num>
  <w:num w:numId="21" w16cid:durableId="1294864619">
    <w:abstractNumId w:val="27"/>
  </w:num>
  <w:num w:numId="22" w16cid:durableId="48724566">
    <w:abstractNumId w:val="2"/>
  </w:num>
  <w:num w:numId="23" w16cid:durableId="2142307267">
    <w:abstractNumId w:val="10"/>
  </w:num>
  <w:num w:numId="24" w16cid:durableId="1529175379">
    <w:abstractNumId w:val="31"/>
  </w:num>
  <w:num w:numId="25" w16cid:durableId="1470170386">
    <w:abstractNumId w:val="6"/>
  </w:num>
  <w:num w:numId="26" w16cid:durableId="1350062696">
    <w:abstractNumId w:val="4"/>
  </w:num>
  <w:num w:numId="27" w16cid:durableId="95566358">
    <w:abstractNumId w:val="26"/>
  </w:num>
  <w:num w:numId="28" w16cid:durableId="420679906">
    <w:abstractNumId w:val="36"/>
  </w:num>
  <w:num w:numId="29" w16cid:durableId="1438718643">
    <w:abstractNumId w:val="41"/>
  </w:num>
  <w:num w:numId="30" w16cid:durableId="1189568194">
    <w:abstractNumId w:val="12"/>
  </w:num>
  <w:num w:numId="31" w16cid:durableId="401761533">
    <w:abstractNumId w:val="30"/>
  </w:num>
  <w:num w:numId="32" w16cid:durableId="300886141">
    <w:abstractNumId w:val="33"/>
  </w:num>
  <w:num w:numId="33" w16cid:durableId="1568373242">
    <w:abstractNumId w:val="16"/>
  </w:num>
  <w:num w:numId="34" w16cid:durableId="530341355">
    <w:abstractNumId w:val="35"/>
  </w:num>
  <w:num w:numId="35" w16cid:durableId="631517607">
    <w:abstractNumId w:val="42"/>
  </w:num>
  <w:num w:numId="36" w16cid:durableId="758404353">
    <w:abstractNumId w:val="28"/>
  </w:num>
  <w:num w:numId="37" w16cid:durableId="2095321164">
    <w:abstractNumId w:val="38"/>
  </w:num>
  <w:num w:numId="38" w16cid:durableId="1476677914">
    <w:abstractNumId w:val="23"/>
  </w:num>
  <w:num w:numId="39" w16cid:durableId="707223258">
    <w:abstractNumId w:val="22"/>
  </w:num>
  <w:num w:numId="40" w16cid:durableId="1512378915">
    <w:abstractNumId w:val="17"/>
  </w:num>
  <w:num w:numId="41" w16cid:durableId="463809858">
    <w:abstractNumId w:val="32"/>
  </w:num>
  <w:num w:numId="42" w16cid:durableId="327291462">
    <w:abstractNumId w:val="5"/>
  </w:num>
  <w:num w:numId="43" w16cid:durableId="819466545">
    <w:abstractNumId w:val="1"/>
  </w:num>
  <w:num w:numId="44" w16cid:durableId="86841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0E"/>
    <w:rsid w:val="001A40CB"/>
    <w:rsid w:val="005029F3"/>
    <w:rsid w:val="005A5F0E"/>
    <w:rsid w:val="00654CA7"/>
    <w:rsid w:val="00753404"/>
    <w:rsid w:val="00B35D20"/>
    <w:rsid w:val="00B55415"/>
    <w:rsid w:val="00BC200A"/>
    <w:rsid w:val="00BD0FE6"/>
    <w:rsid w:val="00CF1F08"/>
    <w:rsid w:val="00E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5C26"/>
  <w15:docId w15:val="{4DD5FC2E-BCFD-4490-AA2B-3E0D606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 w:line="249" w:lineRule="auto"/>
      <w:ind w:left="2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22" w:hanging="10"/>
      <w:outlineLvl w:val="0"/>
    </w:pPr>
    <w:rPr>
      <w:rFonts w:ascii="Arial" w:eastAsia="Arial" w:hAnsi="Arial" w:cs="Arial"/>
      <w:b/>
      <w:color w:val="0070C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7" w:lineRule="auto"/>
      <w:ind w:left="22" w:hanging="10"/>
      <w:outlineLvl w:val="1"/>
    </w:pPr>
    <w:rPr>
      <w:rFonts w:ascii="Arial" w:eastAsia="Arial" w:hAnsi="Arial" w:cs="Arial"/>
      <w:b/>
      <w:color w:val="0070C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3" w:line="249" w:lineRule="auto"/>
      <w:ind w:left="22" w:hanging="10"/>
      <w:outlineLvl w:val="2"/>
    </w:pPr>
    <w:rPr>
      <w:rFonts w:ascii="Arial" w:eastAsia="Arial" w:hAnsi="Arial" w:cs="Arial"/>
      <w:b/>
      <w:color w:val="0070C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3" w:line="249" w:lineRule="auto"/>
      <w:ind w:left="22" w:hanging="10"/>
      <w:outlineLvl w:val="3"/>
    </w:pPr>
    <w:rPr>
      <w:rFonts w:ascii="Arial" w:eastAsia="Arial" w:hAnsi="Arial" w:cs="Arial"/>
      <w:b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70C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70C0"/>
      <w:sz w:val="3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70C0"/>
      <w:sz w:val="28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D0F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0CB"/>
    <w:pPr>
      <w:ind w:left="720"/>
      <w:contextualSpacing/>
    </w:pPr>
  </w:style>
  <w:style w:type="paragraph" w:styleId="NoSpacing">
    <w:name w:val="No Spacing"/>
    <w:uiPriority w:val="1"/>
    <w:qFormat/>
    <w:rsid w:val="001A40CB"/>
    <w:pPr>
      <w:spacing w:after="0" w:line="240" w:lineRule="auto"/>
      <w:ind w:left="22" w:hanging="10"/>
    </w:pPr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B35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lowcard.gov.uk/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yellowcard.gov.uk/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cp:lastModifiedBy>HEWINSON, Karen (LINCOLNSHIRE COMMUNITY HEALTH SERVICES NHS TRUST)</cp:lastModifiedBy>
  <cp:revision>2</cp:revision>
  <dcterms:created xsi:type="dcterms:W3CDTF">2024-05-19T17:12:00Z</dcterms:created>
  <dcterms:modified xsi:type="dcterms:W3CDTF">2024-05-19T17:12:00Z</dcterms:modified>
</cp:coreProperties>
</file>