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4FA0" w14:textId="4179766F" w:rsidR="00C91FAD" w:rsidRDefault="00B9796D">
      <w:pPr>
        <w:spacing w:after="184"/>
      </w:pPr>
      <w:r>
        <w:rPr>
          <w:noProof/>
          <w:color w:val="0070C0"/>
          <w:sz w:val="36"/>
        </w:rPr>
        <w:drawing>
          <wp:inline distT="0" distB="0" distL="0" distR="0" wp14:anchorId="6BC1525E" wp14:editId="7281DC60">
            <wp:extent cx="2019300" cy="2019300"/>
            <wp:effectExtent l="0" t="0" r="0" b="0"/>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r w:rsidR="00D225DC">
        <w:rPr>
          <w:rFonts w:ascii="Arial" w:eastAsia="Arial" w:hAnsi="Arial" w:cs="Arial"/>
          <w:sz w:val="24"/>
        </w:rPr>
        <w:t xml:space="preserve"> </w:t>
      </w:r>
    </w:p>
    <w:p w14:paraId="60D46E50" w14:textId="77777777" w:rsidR="00C91FAD" w:rsidRDefault="00D225DC">
      <w:pPr>
        <w:spacing w:after="0"/>
      </w:pPr>
      <w:r>
        <w:rPr>
          <w:rFonts w:ascii="Arial" w:eastAsia="Arial" w:hAnsi="Arial" w:cs="Arial"/>
          <w:color w:val="0070C0"/>
          <w:sz w:val="36"/>
        </w:rPr>
        <w:t xml:space="preserve"> </w:t>
      </w:r>
    </w:p>
    <w:p w14:paraId="5098CDF3" w14:textId="77777777" w:rsidR="00C91FAD" w:rsidRDefault="00D225DC">
      <w:pPr>
        <w:spacing w:after="69"/>
        <w:ind w:left="144"/>
      </w:pPr>
      <w:r>
        <w:rPr>
          <w:rFonts w:ascii="Arial" w:eastAsia="Arial" w:hAnsi="Arial" w:cs="Arial"/>
          <w:b/>
        </w:rPr>
        <w:t xml:space="preserve"> </w:t>
      </w:r>
    </w:p>
    <w:p w14:paraId="1121C9C8" w14:textId="77777777" w:rsidR="00C91FAD" w:rsidRDefault="00D225DC">
      <w:pPr>
        <w:spacing w:after="67"/>
        <w:ind w:left="144"/>
      </w:pPr>
      <w:r>
        <w:rPr>
          <w:rFonts w:ascii="Arial" w:eastAsia="Arial" w:hAnsi="Arial" w:cs="Arial"/>
          <w:b/>
        </w:rPr>
        <w:t xml:space="preserve"> </w:t>
      </w:r>
    </w:p>
    <w:p w14:paraId="5846C3B7" w14:textId="77777777" w:rsidR="00C91FAD" w:rsidRDefault="00D225DC">
      <w:pPr>
        <w:spacing w:after="67"/>
        <w:ind w:left="144"/>
      </w:pPr>
      <w:r>
        <w:rPr>
          <w:rFonts w:ascii="Arial" w:eastAsia="Arial" w:hAnsi="Arial" w:cs="Arial"/>
          <w:b/>
        </w:rPr>
        <w:t xml:space="preserve"> </w:t>
      </w:r>
    </w:p>
    <w:p w14:paraId="2DCF16F4" w14:textId="77777777" w:rsidR="00C91FAD" w:rsidRDefault="00D225DC">
      <w:pPr>
        <w:spacing w:after="69"/>
        <w:ind w:left="144"/>
      </w:pPr>
      <w:r>
        <w:rPr>
          <w:rFonts w:ascii="Arial" w:eastAsia="Arial" w:hAnsi="Arial" w:cs="Arial"/>
          <w:b/>
        </w:rPr>
        <w:t xml:space="preserve"> </w:t>
      </w:r>
    </w:p>
    <w:p w14:paraId="7CB04F73" w14:textId="77777777" w:rsidR="00C91FAD" w:rsidRDefault="00D225DC">
      <w:pPr>
        <w:spacing w:after="67"/>
        <w:ind w:left="144"/>
      </w:pPr>
      <w:r>
        <w:rPr>
          <w:rFonts w:ascii="Arial" w:eastAsia="Arial" w:hAnsi="Arial" w:cs="Arial"/>
          <w:b/>
        </w:rPr>
        <w:t xml:space="preserve"> </w:t>
      </w:r>
    </w:p>
    <w:p w14:paraId="12E4F38E" w14:textId="77777777" w:rsidR="00C91FAD" w:rsidRDefault="00D225DC">
      <w:pPr>
        <w:spacing w:after="67"/>
        <w:ind w:left="144"/>
      </w:pPr>
      <w:r>
        <w:rPr>
          <w:rFonts w:ascii="Arial" w:eastAsia="Arial" w:hAnsi="Arial" w:cs="Arial"/>
          <w:b/>
        </w:rPr>
        <w:t xml:space="preserve"> </w:t>
      </w:r>
    </w:p>
    <w:p w14:paraId="74603CF7" w14:textId="77777777" w:rsidR="00C91FAD" w:rsidRDefault="00D225DC">
      <w:pPr>
        <w:spacing w:after="261"/>
        <w:ind w:left="144"/>
      </w:pPr>
      <w:r>
        <w:rPr>
          <w:rFonts w:ascii="Arial" w:eastAsia="Arial" w:hAnsi="Arial" w:cs="Arial"/>
          <w:b/>
        </w:rPr>
        <w:t xml:space="preserve"> </w:t>
      </w:r>
    </w:p>
    <w:p w14:paraId="2B0FBA48" w14:textId="77777777" w:rsidR="00C91FAD" w:rsidRDefault="00D225DC">
      <w:pPr>
        <w:spacing w:after="0"/>
      </w:pPr>
      <w:r>
        <w:rPr>
          <w:rFonts w:ascii="Arial" w:eastAsia="Arial" w:hAnsi="Arial" w:cs="Arial"/>
          <w:color w:val="0070C0"/>
          <w:sz w:val="36"/>
        </w:rPr>
        <w:t xml:space="preserve">Policy for Consent to Examination or Treatment </w:t>
      </w:r>
    </w:p>
    <w:p w14:paraId="6AD7C705" w14:textId="77777777" w:rsidR="00B9796D" w:rsidRDefault="00B9796D">
      <w:pPr>
        <w:spacing w:after="74"/>
        <w:rPr>
          <w:rFonts w:ascii="Arial" w:eastAsia="Arial" w:hAnsi="Arial" w:cs="Arial"/>
          <w:sz w:val="24"/>
        </w:rPr>
      </w:pPr>
    </w:p>
    <w:p w14:paraId="156A1B06" w14:textId="3E928E77" w:rsidR="00C91FAD" w:rsidRDefault="00B9796D">
      <w:pPr>
        <w:spacing w:after="74"/>
      </w:pPr>
      <w:r>
        <w:rPr>
          <w:rFonts w:ascii="Arial" w:eastAsia="Arial" w:hAnsi="Arial" w:cs="Arial"/>
          <w:sz w:val="24"/>
        </w:rPr>
        <w:t>Version 1</w:t>
      </w:r>
      <w:r w:rsidR="00D225DC">
        <w:rPr>
          <w:rFonts w:ascii="Arial" w:eastAsia="Arial" w:hAnsi="Arial" w:cs="Arial"/>
          <w:sz w:val="24"/>
        </w:rPr>
        <w:t xml:space="preserve"> </w:t>
      </w:r>
    </w:p>
    <w:p w14:paraId="721E7678" w14:textId="77777777" w:rsidR="0021367A" w:rsidRDefault="0021367A" w:rsidP="0021367A">
      <w:pPr>
        <w:spacing w:after="74"/>
        <w:ind w:left="-5" w:right="10"/>
      </w:pPr>
    </w:p>
    <w:p w14:paraId="2C47A06E" w14:textId="77777777" w:rsidR="0021367A" w:rsidRDefault="0021367A" w:rsidP="0021367A">
      <w:pPr>
        <w:spacing w:after="74"/>
        <w:ind w:left="-5" w:right="10"/>
      </w:pPr>
    </w:p>
    <w:p w14:paraId="550A686D" w14:textId="77777777" w:rsidR="0021367A" w:rsidRDefault="0021367A" w:rsidP="0021367A">
      <w:pPr>
        <w:spacing w:after="74"/>
        <w:ind w:left="-5" w:right="10"/>
      </w:pPr>
    </w:p>
    <w:p w14:paraId="59DB44DC" w14:textId="77777777" w:rsidR="0021367A" w:rsidRDefault="0021367A" w:rsidP="0021367A">
      <w:pPr>
        <w:spacing w:after="74"/>
        <w:ind w:left="-5" w:right="10"/>
      </w:pPr>
    </w:p>
    <w:p w14:paraId="763F0CD2" w14:textId="77777777" w:rsidR="0021367A" w:rsidRDefault="0021367A" w:rsidP="0021367A">
      <w:pPr>
        <w:spacing w:after="74"/>
        <w:ind w:left="-5" w:right="10"/>
      </w:pPr>
    </w:p>
    <w:p w14:paraId="6CA749C1" w14:textId="77777777" w:rsidR="0021367A" w:rsidRDefault="0021367A" w:rsidP="0021367A">
      <w:pPr>
        <w:spacing w:after="74"/>
        <w:ind w:left="-5" w:right="10"/>
      </w:pPr>
    </w:p>
    <w:p w14:paraId="78CA0B7B" w14:textId="77777777" w:rsidR="0021367A" w:rsidRDefault="0021367A" w:rsidP="0021367A">
      <w:pPr>
        <w:spacing w:after="74"/>
        <w:ind w:left="-5" w:right="10"/>
      </w:pPr>
    </w:p>
    <w:p w14:paraId="07BC82F8" w14:textId="68C56BEB" w:rsidR="0021367A" w:rsidRDefault="0021367A" w:rsidP="0021367A">
      <w:pPr>
        <w:spacing w:after="74"/>
        <w:ind w:left="-5" w:right="10"/>
      </w:pPr>
      <w:r>
        <w:t xml:space="preserve">Name of originator / author: </w:t>
      </w:r>
    </w:p>
    <w:p w14:paraId="65F9132F" w14:textId="77777777" w:rsidR="0021367A" w:rsidRPr="008C09FF" w:rsidRDefault="0021367A" w:rsidP="0021367A">
      <w:pPr>
        <w:spacing w:after="74"/>
        <w:ind w:left="-5" w:right="10"/>
      </w:pPr>
      <w:r>
        <w:t xml:space="preserve">Karen Hewinson </w:t>
      </w:r>
      <w:r w:rsidRPr="008C09FF">
        <w:rPr>
          <w:rFonts w:eastAsiaTheme="minorEastAsia" w:cs="Times New Roman"/>
          <w:noProof/>
          <w:color w:val="0F243E"/>
        </w:rPr>
        <w:t>MSc ACP (SHU), PG Dip SCPHN (ARU), PG Cert HCL (Open)</w:t>
      </w:r>
    </w:p>
    <w:p w14:paraId="1F61E547" w14:textId="77777777" w:rsidR="0021367A" w:rsidRDefault="0021367A" w:rsidP="0021367A">
      <w:pPr>
        <w:spacing w:after="74"/>
        <w:ind w:left="-5" w:right="10"/>
      </w:pPr>
    </w:p>
    <w:p w14:paraId="09A5A5DE" w14:textId="77777777" w:rsidR="0021367A" w:rsidRDefault="0021367A" w:rsidP="0021367A">
      <w:pPr>
        <w:spacing w:after="74"/>
        <w:ind w:left="-5" w:right="10"/>
      </w:pPr>
      <w:r>
        <w:t xml:space="preserve">Date issued: September 2023 </w:t>
      </w:r>
    </w:p>
    <w:p w14:paraId="32D8FDA8" w14:textId="77777777" w:rsidR="0021367A" w:rsidRDefault="0021367A" w:rsidP="0021367A">
      <w:pPr>
        <w:spacing w:after="74"/>
        <w:ind w:left="-5" w:right="10"/>
      </w:pPr>
      <w:r>
        <w:t xml:space="preserve">Review date: September 2024 </w:t>
      </w:r>
    </w:p>
    <w:p w14:paraId="4987DEDC" w14:textId="77777777" w:rsidR="0021367A" w:rsidRDefault="0021367A" w:rsidP="0021367A">
      <w:pPr>
        <w:spacing w:after="57"/>
        <w:ind w:left="-5" w:right="10"/>
      </w:pPr>
      <w:r>
        <w:t>Available on website</w:t>
      </w:r>
    </w:p>
    <w:p w14:paraId="4FBF7436" w14:textId="64FB1945" w:rsidR="00C91FAD" w:rsidRDefault="00D225DC" w:rsidP="00B9796D">
      <w:pPr>
        <w:spacing w:after="4711"/>
        <w:rPr>
          <w:rFonts w:ascii="Arial" w:eastAsia="Arial" w:hAnsi="Arial" w:cs="Arial"/>
          <w:sz w:val="20"/>
        </w:rPr>
      </w:pPr>
      <w:r>
        <w:rPr>
          <w:rFonts w:ascii="Arial" w:eastAsia="Arial" w:hAnsi="Arial" w:cs="Arial"/>
          <w:b/>
        </w:rPr>
        <w:tab/>
        <w:t xml:space="preserve"> </w:t>
      </w:r>
    </w:p>
    <w:p w14:paraId="7EDA23B0" w14:textId="22B81CF7" w:rsidR="00C91FAD" w:rsidRDefault="00A56618">
      <w:pPr>
        <w:pStyle w:val="Heading1"/>
      </w:pPr>
      <w:bookmarkStart w:id="0" w:name="_Toc60738"/>
      <w:r>
        <w:lastRenderedPageBreak/>
        <w:t>Ve</w:t>
      </w:r>
      <w:r w:rsidR="00D225DC">
        <w:t xml:space="preserve">rsion Control Sheet  </w:t>
      </w:r>
      <w:bookmarkEnd w:id="0"/>
    </w:p>
    <w:p w14:paraId="1198229B" w14:textId="77777777" w:rsidR="00C91FAD" w:rsidRDefault="00D225DC">
      <w:pPr>
        <w:spacing w:after="0"/>
      </w:pPr>
      <w:r>
        <w:rPr>
          <w:rFonts w:ascii="Arial" w:eastAsia="Arial" w:hAnsi="Arial" w:cs="Arial"/>
          <w:sz w:val="24"/>
        </w:rPr>
        <w:t xml:space="preserve"> </w:t>
      </w:r>
    </w:p>
    <w:tbl>
      <w:tblPr>
        <w:tblStyle w:val="TableGrid"/>
        <w:tblW w:w="9204" w:type="dxa"/>
        <w:tblInd w:w="5" w:type="dxa"/>
        <w:tblCellMar>
          <w:left w:w="106" w:type="dxa"/>
          <w:right w:w="46" w:type="dxa"/>
        </w:tblCellMar>
        <w:tblLook w:val="04A0" w:firstRow="1" w:lastRow="0" w:firstColumn="1" w:lastColumn="0" w:noHBand="0" w:noVBand="1"/>
      </w:tblPr>
      <w:tblGrid>
        <w:gridCol w:w="1131"/>
        <w:gridCol w:w="1694"/>
        <w:gridCol w:w="2835"/>
        <w:gridCol w:w="1276"/>
        <w:gridCol w:w="2268"/>
      </w:tblGrid>
      <w:tr w:rsidR="00C91FAD" w14:paraId="378A52E5" w14:textId="77777777" w:rsidTr="002D12FD">
        <w:trPr>
          <w:trHeight w:val="818"/>
        </w:trPr>
        <w:tc>
          <w:tcPr>
            <w:tcW w:w="1131" w:type="dxa"/>
            <w:tcBorders>
              <w:top w:val="single" w:sz="4" w:space="0" w:color="000000"/>
              <w:left w:val="single" w:sz="4" w:space="0" w:color="000000"/>
              <w:bottom w:val="single" w:sz="4" w:space="0" w:color="000000"/>
              <w:right w:val="single" w:sz="4" w:space="0" w:color="000000"/>
            </w:tcBorders>
          </w:tcPr>
          <w:p w14:paraId="14745DF7" w14:textId="77777777" w:rsidR="00C91FAD" w:rsidRDefault="00D225DC">
            <w:pPr>
              <w:ind w:left="3"/>
              <w:jc w:val="both"/>
            </w:pPr>
            <w:r>
              <w:rPr>
                <w:rFonts w:ascii="Arial" w:eastAsia="Arial" w:hAnsi="Arial" w:cs="Arial"/>
                <w:b/>
                <w:sz w:val="24"/>
              </w:rPr>
              <w:t xml:space="preserve">Version </w:t>
            </w:r>
          </w:p>
        </w:tc>
        <w:tc>
          <w:tcPr>
            <w:tcW w:w="1694" w:type="dxa"/>
            <w:tcBorders>
              <w:top w:val="single" w:sz="4" w:space="0" w:color="000000"/>
              <w:left w:val="single" w:sz="4" w:space="0" w:color="000000"/>
              <w:bottom w:val="single" w:sz="4" w:space="0" w:color="000000"/>
              <w:right w:val="single" w:sz="4" w:space="0" w:color="000000"/>
            </w:tcBorders>
          </w:tcPr>
          <w:p w14:paraId="4F459569" w14:textId="77777777" w:rsidR="00C91FAD" w:rsidRDefault="00D225DC">
            <w:pPr>
              <w:spacing w:after="74"/>
            </w:pPr>
            <w:r>
              <w:rPr>
                <w:rFonts w:ascii="Arial" w:eastAsia="Arial" w:hAnsi="Arial" w:cs="Arial"/>
                <w:b/>
                <w:sz w:val="24"/>
              </w:rPr>
              <w:t xml:space="preserve">Section / </w:t>
            </w:r>
          </w:p>
          <w:p w14:paraId="3B81BE54" w14:textId="77777777" w:rsidR="00C91FAD" w:rsidRDefault="00D225DC">
            <w:r>
              <w:rPr>
                <w:rFonts w:ascii="Arial" w:eastAsia="Arial" w:hAnsi="Arial" w:cs="Arial"/>
                <w:b/>
                <w:sz w:val="24"/>
              </w:rPr>
              <w:t xml:space="preserve">Paragraph / </w:t>
            </w:r>
          </w:p>
        </w:tc>
        <w:tc>
          <w:tcPr>
            <w:tcW w:w="2835" w:type="dxa"/>
            <w:tcBorders>
              <w:top w:val="single" w:sz="4" w:space="0" w:color="000000"/>
              <w:left w:val="single" w:sz="4" w:space="0" w:color="000000"/>
              <w:bottom w:val="single" w:sz="4" w:space="0" w:color="000000"/>
              <w:right w:val="single" w:sz="4" w:space="0" w:color="000000"/>
            </w:tcBorders>
          </w:tcPr>
          <w:p w14:paraId="7B6F668B" w14:textId="77777777" w:rsidR="00C91FAD" w:rsidRDefault="00D225DC">
            <w:pPr>
              <w:ind w:left="2"/>
            </w:pPr>
            <w:r>
              <w:rPr>
                <w:rFonts w:ascii="Arial" w:eastAsia="Arial" w:hAnsi="Arial" w:cs="Arial"/>
                <w:b/>
                <w:sz w:val="24"/>
              </w:rPr>
              <w:t xml:space="preserve">Version / Description of Amendments </w:t>
            </w:r>
          </w:p>
        </w:tc>
        <w:tc>
          <w:tcPr>
            <w:tcW w:w="1276" w:type="dxa"/>
            <w:tcBorders>
              <w:top w:val="single" w:sz="4" w:space="0" w:color="000000"/>
              <w:left w:val="single" w:sz="4" w:space="0" w:color="000000"/>
              <w:bottom w:val="single" w:sz="4" w:space="0" w:color="000000"/>
              <w:right w:val="single" w:sz="4" w:space="0" w:color="000000"/>
            </w:tcBorders>
          </w:tcPr>
          <w:p w14:paraId="7BBDCE04" w14:textId="77777777" w:rsidR="00C91FAD" w:rsidRDefault="00D225DC">
            <w:pPr>
              <w:ind w:left="2"/>
            </w:pPr>
            <w:r>
              <w:rPr>
                <w:rFonts w:ascii="Arial" w:eastAsia="Arial" w:hAnsi="Arial" w:cs="Arial"/>
                <w:b/>
                <w:sz w:val="24"/>
              </w:rPr>
              <w:t xml:space="preserve">Date </w:t>
            </w:r>
          </w:p>
        </w:tc>
        <w:tc>
          <w:tcPr>
            <w:tcW w:w="2268" w:type="dxa"/>
            <w:tcBorders>
              <w:top w:val="single" w:sz="4" w:space="0" w:color="000000"/>
              <w:left w:val="single" w:sz="4" w:space="0" w:color="000000"/>
              <w:bottom w:val="single" w:sz="4" w:space="0" w:color="000000"/>
              <w:right w:val="single" w:sz="4" w:space="0" w:color="000000"/>
            </w:tcBorders>
          </w:tcPr>
          <w:p w14:paraId="3B956278" w14:textId="77777777" w:rsidR="00C91FAD" w:rsidRDefault="00D225DC">
            <w:pPr>
              <w:spacing w:after="74"/>
            </w:pPr>
            <w:r>
              <w:rPr>
                <w:rFonts w:ascii="Arial" w:eastAsia="Arial" w:hAnsi="Arial" w:cs="Arial"/>
                <w:b/>
                <w:sz w:val="24"/>
              </w:rPr>
              <w:t xml:space="preserve">Author / </w:t>
            </w:r>
          </w:p>
          <w:p w14:paraId="6CEF6889" w14:textId="77777777" w:rsidR="00C91FAD" w:rsidRDefault="00D225DC">
            <w:r>
              <w:rPr>
                <w:rFonts w:ascii="Arial" w:eastAsia="Arial" w:hAnsi="Arial" w:cs="Arial"/>
                <w:b/>
                <w:sz w:val="24"/>
              </w:rPr>
              <w:t xml:space="preserve">Amended </w:t>
            </w:r>
          </w:p>
        </w:tc>
      </w:tr>
      <w:tr w:rsidR="00C91FAD" w14:paraId="42A1F379"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509AF03C" w14:textId="77777777" w:rsidR="00C91FAD" w:rsidRDefault="00D225DC">
            <w:pPr>
              <w:ind w:left="3"/>
            </w:pPr>
            <w:r>
              <w:rPr>
                <w:rFonts w:ascii="Arial" w:eastAsia="Arial" w:hAnsi="Arial" w:cs="Arial"/>
                <w:sz w:val="24"/>
              </w:rPr>
              <w:t xml:space="preserve">1 </w:t>
            </w:r>
          </w:p>
        </w:tc>
        <w:tc>
          <w:tcPr>
            <w:tcW w:w="1694" w:type="dxa"/>
            <w:tcBorders>
              <w:top w:val="single" w:sz="4" w:space="0" w:color="000000"/>
              <w:left w:val="single" w:sz="4" w:space="0" w:color="000000"/>
              <w:bottom w:val="single" w:sz="4" w:space="0" w:color="000000"/>
              <w:right w:val="single" w:sz="4" w:space="0" w:color="000000"/>
            </w:tcBorders>
          </w:tcPr>
          <w:p w14:paraId="62FF0DDA" w14:textId="0C3BE4C8" w:rsidR="00C91FAD" w:rsidRDefault="00D225DC">
            <w:pPr>
              <w:tabs>
                <w:tab w:val="center" w:pos="1085"/>
              </w:tabs>
            </w:pPr>
            <w:r>
              <w:rPr>
                <w:rFonts w:ascii="Arial" w:eastAsia="Arial" w:hAnsi="Arial" w:cs="Arial"/>
                <w:sz w:val="37"/>
                <w:vertAlign w:val="subscript"/>
              </w:rPr>
              <w:tab/>
            </w:r>
            <w:r>
              <w:rPr>
                <w:rFonts w:ascii="Arial" w:eastAsia="Arial" w:hAnsi="Arial" w:cs="Arial"/>
                <w:b/>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C35F26" w14:textId="77777777" w:rsidR="00C91FAD" w:rsidRDefault="00D225DC">
            <w:pPr>
              <w:ind w:left="2"/>
            </w:pPr>
            <w:r>
              <w:rPr>
                <w:rFonts w:ascii="Arial" w:eastAsia="Arial" w:hAnsi="Arial" w:cs="Arial"/>
                <w:sz w:val="20"/>
              </w:rPr>
              <w:t>New Policy</w:t>
            </w: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2637C7" w14:textId="5B9E89E3" w:rsidR="00C91FAD" w:rsidRDefault="00D225DC">
            <w:pPr>
              <w:ind w:left="2"/>
            </w:pPr>
            <w:r>
              <w:rPr>
                <w:rFonts w:ascii="Arial" w:eastAsia="Arial" w:hAnsi="Arial" w:cs="Arial"/>
                <w:sz w:val="20"/>
              </w:rPr>
              <w:t>Sept 20</w:t>
            </w:r>
            <w:r w:rsidR="00A56618">
              <w:rPr>
                <w:rFonts w:ascii="Arial" w:eastAsia="Arial" w:hAnsi="Arial" w:cs="Arial"/>
                <w:sz w:val="20"/>
              </w:rPr>
              <w:t>23</w:t>
            </w:r>
          </w:p>
        </w:tc>
        <w:tc>
          <w:tcPr>
            <w:tcW w:w="2268" w:type="dxa"/>
            <w:tcBorders>
              <w:top w:val="single" w:sz="4" w:space="0" w:color="000000"/>
              <w:left w:val="single" w:sz="4" w:space="0" w:color="000000"/>
              <w:bottom w:val="single" w:sz="4" w:space="0" w:color="000000"/>
              <w:right w:val="single" w:sz="4" w:space="0" w:color="000000"/>
            </w:tcBorders>
          </w:tcPr>
          <w:p w14:paraId="0436BA9E" w14:textId="7867821F" w:rsidR="00C91FAD" w:rsidRDefault="00A56618">
            <w:pPr>
              <w:tabs>
                <w:tab w:val="right" w:pos="1420"/>
              </w:tabs>
            </w:pPr>
            <w:r>
              <w:rPr>
                <w:rFonts w:ascii="Arial" w:eastAsia="Arial" w:hAnsi="Arial" w:cs="Arial"/>
                <w:b/>
                <w:sz w:val="24"/>
              </w:rPr>
              <w:t>Karen Hewinson</w:t>
            </w:r>
            <w:r w:rsidR="00D225DC">
              <w:rPr>
                <w:rFonts w:ascii="Arial" w:eastAsia="Arial" w:hAnsi="Arial" w:cs="Arial"/>
                <w:b/>
                <w:sz w:val="24"/>
              </w:rPr>
              <w:t xml:space="preserve"> </w:t>
            </w:r>
            <w:r w:rsidR="00D225DC">
              <w:rPr>
                <w:rFonts w:ascii="Arial" w:eastAsia="Arial" w:hAnsi="Arial" w:cs="Arial"/>
                <w:sz w:val="24"/>
              </w:rPr>
              <w:t xml:space="preserve"> </w:t>
            </w:r>
          </w:p>
        </w:tc>
      </w:tr>
      <w:tr w:rsidR="002D12FD" w14:paraId="4EE0E532"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2616E8B2"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57E9CAAE"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3F116322"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914D4BD"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4F3211C7" w14:textId="77777777" w:rsidR="002D12FD" w:rsidRDefault="002D12FD">
            <w:pPr>
              <w:tabs>
                <w:tab w:val="right" w:pos="1420"/>
              </w:tabs>
              <w:rPr>
                <w:rFonts w:ascii="Arial" w:eastAsia="Arial" w:hAnsi="Arial" w:cs="Arial"/>
                <w:b/>
                <w:sz w:val="24"/>
              </w:rPr>
            </w:pPr>
          </w:p>
        </w:tc>
      </w:tr>
      <w:tr w:rsidR="002D12FD" w14:paraId="7581FF58"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5EEAB56F"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6D3F3BD0"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2DE68842"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000622D3"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67299C6" w14:textId="77777777" w:rsidR="002D12FD" w:rsidRDefault="002D12FD">
            <w:pPr>
              <w:tabs>
                <w:tab w:val="right" w:pos="1420"/>
              </w:tabs>
              <w:rPr>
                <w:rFonts w:ascii="Arial" w:eastAsia="Arial" w:hAnsi="Arial" w:cs="Arial"/>
                <w:b/>
                <w:sz w:val="24"/>
              </w:rPr>
            </w:pPr>
          </w:p>
        </w:tc>
      </w:tr>
      <w:tr w:rsidR="002D12FD" w14:paraId="4BCCBB3E"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57BBC054"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58CE2EC8"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78E58771"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88A039F"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1B9B120" w14:textId="77777777" w:rsidR="002D12FD" w:rsidRDefault="002D12FD">
            <w:pPr>
              <w:tabs>
                <w:tab w:val="right" w:pos="1420"/>
              </w:tabs>
              <w:rPr>
                <w:rFonts w:ascii="Arial" w:eastAsia="Arial" w:hAnsi="Arial" w:cs="Arial"/>
                <w:b/>
                <w:sz w:val="24"/>
              </w:rPr>
            </w:pPr>
          </w:p>
        </w:tc>
      </w:tr>
      <w:tr w:rsidR="002D12FD" w14:paraId="08FEBF29"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7FCF7A4F"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5594321E"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315387D5"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6C8ED589"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EA2DCD5" w14:textId="77777777" w:rsidR="002D12FD" w:rsidRDefault="002D12FD">
            <w:pPr>
              <w:tabs>
                <w:tab w:val="right" w:pos="1420"/>
              </w:tabs>
              <w:rPr>
                <w:rFonts w:ascii="Arial" w:eastAsia="Arial" w:hAnsi="Arial" w:cs="Arial"/>
                <w:b/>
                <w:sz w:val="24"/>
              </w:rPr>
            </w:pPr>
          </w:p>
        </w:tc>
      </w:tr>
      <w:tr w:rsidR="002D12FD" w14:paraId="3BAEF987"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1BDB7372"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4CE8A2B3"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13B67A8B"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5A87E9A1"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B1ABC1A" w14:textId="77777777" w:rsidR="002D12FD" w:rsidRDefault="002D12FD">
            <w:pPr>
              <w:tabs>
                <w:tab w:val="right" w:pos="1420"/>
              </w:tabs>
              <w:rPr>
                <w:rFonts w:ascii="Arial" w:eastAsia="Arial" w:hAnsi="Arial" w:cs="Arial"/>
                <w:b/>
                <w:sz w:val="24"/>
              </w:rPr>
            </w:pPr>
          </w:p>
        </w:tc>
      </w:tr>
      <w:tr w:rsidR="002D12FD" w14:paraId="18B54805"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4FD34D82"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78515E66"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649F57A7"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FF29163"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7C05623" w14:textId="77777777" w:rsidR="002D12FD" w:rsidRDefault="002D12FD">
            <w:pPr>
              <w:tabs>
                <w:tab w:val="right" w:pos="1420"/>
              </w:tabs>
              <w:rPr>
                <w:rFonts w:ascii="Arial" w:eastAsia="Arial" w:hAnsi="Arial" w:cs="Arial"/>
                <w:b/>
                <w:sz w:val="24"/>
              </w:rPr>
            </w:pPr>
          </w:p>
        </w:tc>
      </w:tr>
      <w:tr w:rsidR="002D12FD" w14:paraId="230E466F"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493A4E18"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5CD2B91F"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1B14C244"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066D62AE"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D6F54A0" w14:textId="77777777" w:rsidR="002D12FD" w:rsidRDefault="002D12FD">
            <w:pPr>
              <w:tabs>
                <w:tab w:val="right" w:pos="1420"/>
              </w:tabs>
              <w:rPr>
                <w:rFonts w:ascii="Arial" w:eastAsia="Arial" w:hAnsi="Arial" w:cs="Arial"/>
                <w:b/>
                <w:sz w:val="24"/>
              </w:rPr>
            </w:pPr>
          </w:p>
        </w:tc>
      </w:tr>
      <w:tr w:rsidR="002D12FD" w14:paraId="0529809C"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4959FB6D"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1C0F6508"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15A3B4FB"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462C931"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CCD25A2" w14:textId="77777777" w:rsidR="002D12FD" w:rsidRDefault="002D12FD">
            <w:pPr>
              <w:tabs>
                <w:tab w:val="right" w:pos="1420"/>
              </w:tabs>
              <w:rPr>
                <w:rFonts w:ascii="Arial" w:eastAsia="Arial" w:hAnsi="Arial" w:cs="Arial"/>
                <w:b/>
                <w:sz w:val="24"/>
              </w:rPr>
            </w:pPr>
          </w:p>
        </w:tc>
      </w:tr>
      <w:tr w:rsidR="002D12FD" w14:paraId="4734F27C"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11BBEF51"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71D8BD75"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22E912D6"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628473C8"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E5AA9E8" w14:textId="77777777" w:rsidR="002D12FD" w:rsidRDefault="002D12FD">
            <w:pPr>
              <w:tabs>
                <w:tab w:val="right" w:pos="1420"/>
              </w:tabs>
              <w:rPr>
                <w:rFonts w:ascii="Arial" w:eastAsia="Arial" w:hAnsi="Arial" w:cs="Arial"/>
                <w:b/>
                <w:sz w:val="24"/>
              </w:rPr>
            </w:pPr>
          </w:p>
        </w:tc>
      </w:tr>
      <w:tr w:rsidR="002D12FD" w14:paraId="49C54A8C"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49A5E3FC"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7C280B17"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273E7BAD"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231B5B50"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B8AE021" w14:textId="77777777" w:rsidR="002D12FD" w:rsidRDefault="002D12FD">
            <w:pPr>
              <w:tabs>
                <w:tab w:val="right" w:pos="1420"/>
              </w:tabs>
              <w:rPr>
                <w:rFonts w:ascii="Arial" w:eastAsia="Arial" w:hAnsi="Arial" w:cs="Arial"/>
                <w:b/>
                <w:sz w:val="24"/>
              </w:rPr>
            </w:pPr>
          </w:p>
        </w:tc>
      </w:tr>
      <w:tr w:rsidR="002D12FD" w14:paraId="4BF3BA14"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3076922F"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4FD2E46C"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6891EAC8"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0E8FBE8"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4514D9C8" w14:textId="77777777" w:rsidR="002D12FD" w:rsidRDefault="002D12FD">
            <w:pPr>
              <w:tabs>
                <w:tab w:val="right" w:pos="1420"/>
              </w:tabs>
              <w:rPr>
                <w:rFonts w:ascii="Arial" w:eastAsia="Arial" w:hAnsi="Arial" w:cs="Arial"/>
                <w:b/>
                <w:sz w:val="24"/>
              </w:rPr>
            </w:pPr>
          </w:p>
        </w:tc>
      </w:tr>
      <w:tr w:rsidR="002D12FD" w14:paraId="5BA10C21"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03CAB9F5"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134CA0C2"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7DBFE127"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52D9B97"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01B6C49A" w14:textId="77777777" w:rsidR="002D12FD" w:rsidRDefault="002D12FD">
            <w:pPr>
              <w:tabs>
                <w:tab w:val="right" w:pos="1420"/>
              </w:tabs>
              <w:rPr>
                <w:rFonts w:ascii="Arial" w:eastAsia="Arial" w:hAnsi="Arial" w:cs="Arial"/>
                <w:b/>
                <w:sz w:val="24"/>
              </w:rPr>
            </w:pPr>
          </w:p>
        </w:tc>
      </w:tr>
      <w:tr w:rsidR="002D12FD" w14:paraId="5F6139A9"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43E4FE85"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4304FF65"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31C69FAE"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2BE8B5D2"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9940A70" w14:textId="77777777" w:rsidR="002D12FD" w:rsidRDefault="002D12FD">
            <w:pPr>
              <w:tabs>
                <w:tab w:val="right" w:pos="1420"/>
              </w:tabs>
              <w:rPr>
                <w:rFonts w:ascii="Arial" w:eastAsia="Arial" w:hAnsi="Arial" w:cs="Arial"/>
                <w:b/>
                <w:sz w:val="24"/>
              </w:rPr>
            </w:pPr>
          </w:p>
        </w:tc>
      </w:tr>
      <w:tr w:rsidR="002D12FD" w14:paraId="46025110"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7B629308"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0FAF83A2"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5B599CB7"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7DE0188"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AED8B35" w14:textId="77777777" w:rsidR="002D12FD" w:rsidRDefault="002D12FD">
            <w:pPr>
              <w:tabs>
                <w:tab w:val="right" w:pos="1420"/>
              </w:tabs>
              <w:rPr>
                <w:rFonts w:ascii="Arial" w:eastAsia="Arial" w:hAnsi="Arial" w:cs="Arial"/>
                <w:b/>
                <w:sz w:val="24"/>
              </w:rPr>
            </w:pPr>
          </w:p>
        </w:tc>
      </w:tr>
      <w:tr w:rsidR="002D12FD" w14:paraId="75DB9B53"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334192F4"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75AF7B38"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681718B7"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591C0A9B"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3CFCC41" w14:textId="77777777" w:rsidR="002D12FD" w:rsidRDefault="002D12FD">
            <w:pPr>
              <w:tabs>
                <w:tab w:val="right" w:pos="1420"/>
              </w:tabs>
              <w:rPr>
                <w:rFonts w:ascii="Arial" w:eastAsia="Arial" w:hAnsi="Arial" w:cs="Arial"/>
                <w:b/>
                <w:sz w:val="24"/>
              </w:rPr>
            </w:pPr>
          </w:p>
        </w:tc>
      </w:tr>
      <w:tr w:rsidR="002D12FD" w14:paraId="0EC85A05"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0B42FCCA"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23E87A72"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28AE2F92"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3D63CACE"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386827B7" w14:textId="77777777" w:rsidR="002D12FD" w:rsidRDefault="002D12FD">
            <w:pPr>
              <w:tabs>
                <w:tab w:val="right" w:pos="1420"/>
              </w:tabs>
              <w:rPr>
                <w:rFonts w:ascii="Arial" w:eastAsia="Arial" w:hAnsi="Arial" w:cs="Arial"/>
                <w:b/>
                <w:sz w:val="24"/>
              </w:rPr>
            </w:pPr>
          </w:p>
        </w:tc>
      </w:tr>
      <w:tr w:rsidR="002D12FD" w14:paraId="219FA0AF"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2ADD4938"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064EB40D"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145E0DDF"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7746F1DC"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7B97A8E" w14:textId="77777777" w:rsidR="002D12FD" w:rsidRDefault="002D12FD">
            <w:pPr>
              <w:tabs>
                <w:tab w:val="right" w:pos="1420"/>
              </w:tabs>
              <w:rPr>
                <w:rFonts w:ascii="Arial" w:eastAsia="Arial" w:hAnsi="Arial" w:cs="Arial"/>
                <w:b/>
                <w:sz w:val="24"/>
              </w:rPr>
            </w:pPr>
          </w:p>
        </w:tc>
      </w:tr>
      <w:tr w:rsidR="002D12FD" w14:paraId="6A11FA2C"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032A7E18"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1034060F"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36D92ECA"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4E4D4D9"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9C65E07" w14:textId="77777777" w:rsidR="002D12FD" w:rsidRDefault="002D12FD">
            <w:pPr>
              <w:tabs>
                <w:tab w:val="right" w:pos="1420"/>
              </w:tabs>
              <w:rPr>
                <w:rFonts w:ascii="Arial" w:eastAsia="Arial" w:hAnsi="Arial" w:cs="Arial"/>
                <w:b/>
                <w:sz w:val="24"/>
              </w:rPr>
            </w:pPr>
          </w:p>
        </w:tc>
      </w:tr>
      <w:tr w:rsidR="002D12FD" w14:paraId="571E8057"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5223E22C"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45A89B55"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705BF48D"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2C1BBEA"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D52A8B2" w14:textId="77777777" w:rsidR="002D12FD" w:rsidRDefault="002D12FD">
            <w:pPr>
              <w:tabs>
                <w:tab w:val="right" w:pos="1420"/>
              </w:tabs>
              <w:rPr>
                <w:rFonts w:ascii="Arial" w:eastAsia="Arial" w:hAnsi="Arial" w:cs="Arial"/>
                <w:b/>
                <w:sz w:val="24"/>
              </w:rPr>
            </w:pPr>
          </w:p>
        </w:tc>
      </w:tr>
      <w:tr w:rsidR="002D12FD" w14:paraId="5824768B"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7850A564"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48E5D64D"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345B343F"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29F01A6C"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7B326A49" w14:textId="77777777" w:rsidR="002D12FD" w:rsidRDefault="002D12FD">
            <w:pPr>
              <w:tabs>
                <w:tab w:val="right" w:pos="1420"/>
              </w:tabs>
              <w:rPr>
                <w:rFonts w:ascii="Arial" w:eastAsia="Arial" w:hAnsi="Arial" w:cs="Arial"/>
                <w:b/>
                <w:sz w:val="24"/>
              </w:rPr>
            </w:pPr>
          </w:p>
        </w:tc>
      </w:tr>
      <w:tr w:rsidR="002D12FD" w14:paraId="5B59818D"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00A45A02"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3C1DA0F8"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57B5244F"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5B3EC450"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11FE1432" w14:textId="77777777" w:rsidR="002D12FD" w:rsidRDefault="002D12FD">
            <w:pPr>
              <w:tabs>
                <w:tab w:val="right" w:pos="1420"/>
              </w:tabs>
              <w:rPr>
                <w:rFonts w:ascii="Arial" w:eastAsia="Arial" w:hAnsi="Arial" w:cs="Arial"/>
                <w:b/>
                <w:sz w:val="24"/>
              </w:rPr>
            </w:pPr>
          </w:p>
        </w:tc>
      </w:tr>
      <w:tr w:rsidR="002D12FD" w14:paraId="116F0181"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073C1DD3"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2850D6A2"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4046DA6C"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79362557"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2D437F15" w14:textId="77777777" w:rsidR="002D12FD" w:rsidRDefault="002D12FD">
            <w:pPr>
              <w:tabs>
                <w:tab w:val="right" w:pos="1420"/>
              </w:tabs>
              <w:rPr>
                <w:rFonts w:ascii="Arial" w:eastAsia="Arial" w:hAnsi="Arial" w:cs="Arial"/>
                <w:b/>
                <w:sz w:val="24"/>
              </w:rPr>
            </w:pPr>
          </w:p>
        </w:tc>
      </w:tr>
      <w:tr w:rsidR="002D12FD" w14:paraId="0D5CF8EA"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285CA228"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04C592D4"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2A9E8EA2"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FD2987F"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D310A17" w14:textId="77777777" w:rsidR="002D12FD" w:rsidRDefault="002D12FD">
            <w:pPr>
              <w:tabs>
                <w:tab w:val="right" w:pos="1420"/>
              </w:tabs>
              <w:rPr>
                <w:rFonts w:ascii="Arial" w:eastAsia="Arial" w:hAnsi="Arial" w:cs="Arial"/>
                <w:b/>
                <w:sz w:val="24"/>
              </w:rPr>
            </w:pPr>
          </w:p>
        </w:tc>
      </w:tr>
      <w:tr w:rsidR="002D12FD" w14:paraId="3DA2B4F6" w14:textId="77777777" w:rsidTr="002D12FD">
        <w:trPr>
          <w:trHeight w:val="377"/>
        </w:trPr>
        <w:tc>
          <w:tcPr>
            <w:tcW w:w="1131" w:type="dxa"/>
            <w:tcBorders>
              <w:top w:val="single" w:sz="4" w:space="0" w:color="000000"/>
              <w:left w:val="single" w:sz="4" w:space="0" w:color="000000"/>
              <w:bottom w:val="single" w:sz="4" w:space="0" w:color="000000"/>
              <w:right w:val="single" w:sz="4" w:space="0" w:color="000000"/>
            </w:tcBorders>
          </w:tcPr>
          <w:p w14:paraId="64CCC707" w14:textId="77777777" w:rsidR="002D12FD" w:rsidRDefault="002D12FD">
            <w:pPr>
              <w:ind w:left="3"/>
              <w:rPr>
                <w:rFonts w:ascii="Arial" w:eastAsia="Arial" w:hAnsi="Arial" w:cs="Arial"/>
                <w:sz w:val="24"/>
              </w:rPr>
            </w:pPr>
          </w:p>
        </w:tc>
        <w:tc>
          <w:tcPr>
            <w:tcW w:w="1694" w:type="dxa"/>
            <w:tcBorders>
              <w:top w:val="single" w:sz="4" w:space="0" w:color="000000"/>
              <w:left w:val="single" w:sz="4" w:space="0" w:color="000000"/>
              <w:bottom w:val="single" w:sz="4" w:space="0" w:color="000000"/>
              <w:right w:val="single" w:sz="4" w:space="0" w:color="000000"/>
            </w:tcBorders>
          </w:tcPr>
          <w:p w14:paraId="1EFC3DD3" w14:textId="77777777" w:rsidR="002D12FD" w:rsidRDefault="002D12FD">
            <w:pPr>
              <w:tabs>
                <w:tab w:val="center" w:pos="1085"/>
              </w:tabs>
              <w:rPr>
                <w:rFonts w:ascii="Arial" w:eastAsia="Arial" w:hAnsi="Arial" w:cs="Arial"/>
                <w:sz w:val="37"/>
                <w:vertAlign w:val="subscript"/>
              </w:rPr>
            </w:pPr>
          </w:p>
        </w:tc>
        <w:tc>
          <w:tcPr>
            <w:tcW w:w="2835" w:type="dxa"/>
            <w:tcBorders>
              <w:top w:val="single" w:sz="4" w:space="0" w:color="000000"/>
              <w:left w:val="single" w:sz="4" w:space="0" w:color="000000"/>
              <w:bottom w:val="single" w:sz="4" w:space="0" w:color="000000"/>
              <w:right w:val="single" w:sz="4" w:space="0" w:color="000000"/>
            </w:tcBorders>
          </w:tcPr>
          <w:p w14:paraId="4DDC78CE" w14:textId="77777777" w:rsidR="002D12FD" w:rsidRDefault="002D12FD">
            <w:pPr>
              <w:ind w:left="2"/>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1E1356AC" w14:textId="77777777" w:rsidR="002D12FD" w:rsidRDefault="002D12FD">
            <w:pPr>
              <w:ind w:left="2"/>
              <w:rPr>
                <w:rFonts w:ascii="Arial" w:eastAsia="Arial" w:hAnsi="Arial" w:cs="Arial"/>
                <w:sz w:val="20"/>
              </w:rPr>
            </w:pPr>
          </w:p>
        </w:tc>
        <w:tc>
          <w:tcPr>
            <w:tcW w:w="2268" w:type="dxa"/>
            <w:tcBorders>
              <w:top w:val="single" w:sz="4" w:space="0" w:color="000000"/>
              <w:left w:val="single" w:sz="4" w:space="0" w:color="000000"/>
              <w:bottom w:val="single" w:sz="4" w:space="0" w:color="000000"/>
              <w:right w:val="single" w:sz="4" w:space="0" w:color="000000"/>
            </w:tcBorders>
          </w:tcPr>
          <w:p w14:paraId="66F0C42C" w14:textId="77777777" w:rsidR="002D12FD" w:rsidRDefault="002D12FD">
            <w:pPr>
              <w:tabs>
                <w:tab w:val="right" w:pos="1420"/>
              </w:tabs>
              <w:rPr>
                <w:rFonts w:ascii="Arial" w:eastAsia="Arial" w:hAnsi="Arial" w:cs="Arial"/>
                <w:b/>
                <w:sz w:val="24"/>
              </w:rPr>
            </w:pPr>
          </w:p>
        </w:tc>
      </w:tr>
    </w:tbl>
    <w:p w14:paraId="19A7F07D" w14:textId="7B6A940D" w:rsidR="00C91FAD" w:rsidRDefault="00C91FAD">
      <w:pPr>
        <w:spacing w:after="74"/>
        <w:ind w:left="69"/>
        <w:jc w:val="center"/>
      </w:pPr>
    </w:p>
    <w:p w14:paraId="5AC1A6C1" w14:textId="77777777" w:rsidR="00C91FAD" w:rsidRDefault="00D225DC">
      <w:pPr>
        <w:spacing w:after="75"/>
      </w:pPr>
      <w:r>
        <w:rPr>
          <w:rFonts w:ascii="Arial" w:eastAsia="Arial" w:hAnsi="Arial" w:cs="Arial"/>
          <w:sz w:val="24"/>
        </w:rPr>
        <w:t xml:space="preserve"> </w:t>
      </w:r>
    </w:p>
    <w:p w14:paraId="52270E8F" w14:textId="77777777" w:rsidR="00C91FAD" w:rsidRDefault="00D225DC">
      <w:pPr>
        <w:spacing w:after="74"/>
      </w:pPr>
      <w:r>
        <w:rPr>
          <w:rFonts w:ascii="Arial" w:eastAsia="Arial" w:hAnsi="Arial" w:cs="Arial"/>
          <w:sz w:val="24"/>
        </w:rPr>
        <w:t xml:space="preserve"> </w:t>
      </w:r>
    </w:p>
    <w:p w14:paraId="70073FC0" w14:textId="32B97D3C" w:rsidR="00C91FAD" w:rsidRDefault="00D225DC" w:rsidP="00E12440">
      <w:pPr>
        <w:spacing w:after="0"/>
      </w:pPr>
      <w:r>
        <w:rPr>
          <w:rFonts w:ascii="Arial" w:eastAsia="Arial" w:hAnsi="Arial" w:cs="Arial"/>
          <w:sz w:val="24"/>
        </w:rPr>
        <w:t xml:space="preserve"> </w:t>
      </w:r>
      <w:r>
        <w:rPr>
          <w:rFonts w:ascii="Arial" w:eastAsia="Arial" w:hAnsi="Arial" w:cs="Arial"/>
          <w:sz w:val="24"/>
        </w:rPr>
        <w:tab/>
        <w:t xml:space="preserve"> </w:t>
      </w:r>
    </w:p>
    <w:p w14:paraId="6125A55B" w14:textId="195B8C7B" w:rsidR="00C91FAD" w:rsidRDefault="00D225DC" w:rsidP="00944200">
      <w:pPr>
        <w:pStyle w:val="Heading1"/>
        <w:numPr>
          <w:ilvl w:val="0"/>
          <w:numId w:val="16"/>
        </w:numPr>
      </w:pPr>
      <w:bookmarkStart w:id="1" w:name="_Toc60741"/>
      <w:r>
        <w:lastRenderedPageBreak/>
        <w:t xml:space="preserve">Introduction  </w:t>
      </w:r>
      <w:bookmarkEnd w:id="1"/>
    </w:p>
    <w:p w14:paraId="3AE25ECC" w14:textId="77777777" w:rsidR="00944200" w:rsidRPr="00944200" w:rsidRDefault="00944200" w:rsidP="00944200"/>
    <w:p w14:paraId="7A60B3B1" w14:textId="77777777" w:rsidR="009934EB" w:rsidRDefault="00944200">
      <w:pPr>
        <w:spacing w:after="4" w:line="335" w:lineRule="auto"/>
        <w:ind w:left="-5" w:right="4" w:hanging="10"/>
        <w:rPr>
          <w:rFonts w:ascii="Arial" w:eastAsia="Arial" w:hAnsi="Arial" w:cs="Arial"/>
          <w:sz w:val="24"/>
        </w:rPr>
      </w:pPr>
      <w:r>
        <w:rPr>
          <w:rFonts w:ascii="Arial" w:eastAsia="Arial" w:hAnsi="Arial" w:cs="Arial"/>
          <w:sz w:val="24"/>
        </w:rPr>
        <w:t>Skin Solutions Aesthetic Clinic Ltd (</w:t>
      </w:r>
      <w:proofErr w:type="spellStart"/>
      <w:r>
        <w:rPr>
          <w:rFonts w:ascii="Arial" w:eastAsia="Arial" w:hAnsi="Arial" w:cs="Arial"/>
          <w:sz w:val="24"/>
        </w:rPr>
        <w:t>SSACLtd</w:t>
      </w:r>
      <w:proofErr w:type="spellEnd"/>
      <w:r>
        <w:rPr>
          <w:rFonts w:ascii="Arial" w:eastAsia="Arial" w:hAnsi="Arial" w:cs="Arial"/>
          <w:sz w:val="24"/>
        </w:rPr>
        <w:t>)</w:t>
      </w:r>
      <w:r w:rsidR="00D225DC">
        <w:rPr>
          <w:rFonts w:ascii="Arial" w:eastAsia="Arial" w:hAnsi="Arial" w:cs="Arial"/>
          <w:sz w:val="24"/>
        </w:rPr>
        <w:t xml:space="preserve"> recognises that patients</w:t>
      </w:r>
      <w:r w:rsidR="009934EB">
        <w:rPr>
          <w:rFonts w:ascii="Arial" w:eastAsia="Arial" w:hAnsi="Arial" w:cs="Arial"/>
          <w:sz w:val="24"/>
        </w:rPr>
        <w:t xml:space="preserve">/clients </w:t>
      </w:r>
      <w:r w:rsidR="00D225DC">
        <w:rPr>
          <w:rFonts w:ascii="Arial" w:eastAsia="Arial" w:hAnsi="Arial" w:cs="Arial"/>
          <w:sz w:val="24"/>
        </w:rPr>
        <w:t xml:space="preserve">have a fundamental legal and ethical right to determine what happens to their own bodies and how information about them is used. </w:t>
      </w:r>
    </w:p>
    <w:p w14:paraId="5BC9F2C0" w14:textId="77777777" w:rsidR="009934EB" w:rsidRDefault="009934EB">
      <w:pPr>
        <w:spacing w:after="4" w:line="335" w:lineRule="auto"/>
        <w:ind w:left="-5" w:right="4" w:hanging="10"/>
        <w:rPr>
          <w:rFonts w:ascii="Arial" w:eastAsia="Arial" w:hAnsi="Arial" w:cs="Arial"/>
          <w:sz w:val="24"/>
        </w:rPr>
      </w:pPr>
    </w:p>
    <w:p w14:paraId="7C457097" w14:textId="0E83705C" w:rsidR="00C91FAD" w:rsidRDefault="00D225DC">
      <w:pPr>
        <w:spacing w:after="4" w:line="335" w:lineRule="auto"/>
        <w:ind w:left="-5" w:right="4" w:hanging="10"/>
      </w:pPr>
      <w:r>
        <w:rPr>
          <w:rFonts w:ascii="Arial" w:eastAsia="Arial" w:hAnsi="Arial" w:cs="Arial"/>
          <w:sz w:val="24"/>
        </w:rPr>
        <w:t xml:space="preserve">Valid </w:t>
      </w:r>
      <w:r w:rsidR="009934EB">
        <w:rPr>
          <w:rFonts w:ascii="Arial" w:eastAsia="Arial" w:hAnsi="Arial" w:cs="Arial"/>
          <w:sz w:val="24"/>
        </w:rPr>
        <w:t xml:space="preserve">informed </w:t>
      </w:r>
      <w:r>
        <w:rPr>
          <w:rFonts w:ascii="Arial" w:eastAsia="Arial" w:hAnsi="Arial" w:cs="Arial"/>
          <w:sz w:val="24"/>
        </w:rPr>
        <w:t>consent to treatment is therefore central in all forms of care</w:t>
      </w:r>
      <w:r w:rsidR="009934EB">
        <w:rPr>
          <w:rFonts w:ascii="Arial" w:eastAsia="Arial" w:hAnsi="Arial" w:cs="Arial"/>
          <w:sz w:val="24"/>
        </w:rPr>
        <w:t xml:space="preserve"> </w:t>
      </w:r>
      <w:r w:rsidR="00D131C1">
        <w:rPr>
          <w:rFonts w:ascii="Arial" w:eastAsia="Arial" w:hAnsi="Arial" w:cs="Arial"/>
          <w:sz w:val="24"/>
        </w:rPr>
        <w:t>and tre</w:t>
      </w:r>
      <w:r w:rsidR="00742069">
        <w:rPr>
          <w:rFonts w:ascii="Arial" w:eastAsia="Arial" w:hAnsi="Arial" w:cs="Arial"/>
          <w:sz w:val="24"/>
        </w:rPr>
        <w:t>at</w:t>
      </w:r>
      <w:r w:rsidR="00D131C1">
        <w:rPr>
          <w:rFonts w:ascii="Arial" w:eastAsia="Arial" w:hAnsi="Arial" w:cs="Arial"/>
          <w:sz w:val="24"/>
        </w:rPr>
        <w:t>ments provided within the clinic</w:t>
      </w:r>
      <w:r>
        <w:rPr>
          <w:rFonts w:ascii="Arial" w:eastAsia="Arial" w:hAnsi="Arial" w:cs="Arial"/>
          <w:sz w:val="24"/>
        </w:rPr>
        <w:t xml:space="preserve">. </w:t>
      </w:r>
      <w:r w:rsidR="00D131C1">
        <w:rPr>
          <w:rFonts w:ascii="Arial" w:eastAsia="Arial" w:hAnsi="Arial" w:cs="Arial"/>
          <w:sz w:val="24"/>
        </w:rPr>
        <w:t>In addition to the</w:t>
      </w:r>
      <w:r>
        <w:rPr>
          <w:rFonts w:ascii="Arial" w:eastAsia="Arial" w:hAnsi="Arial" w:cs="Arial"/>
          <w:sz w:val="24"/>
        </w:rPr>
        <w:t xml:space="preserve"> legal obligation</w:t>
      </w:r>
      <w:r w:rsidR="00D131C1">
        <w:rPr>
          <w:rFonts w:ascii="Arial" w:eastAsia="Arial" w:hAnsi="Arial" w:cs="Arial"/>
          <w:sz w:val="24"/>
        </w:rPr>
        <w:t xml:space="preserve">, gaining consent is </w:t>
      </w:r>
      <w:r>
        <w:rPr>
          <w:rFonts w:ascii="Arial" w:eastAsia="Arial" w:hAnsi="Arial" w:cs="Arial"/>
          <w:sz w:val="24"/>
        </w:rPr>
        <w:t xml:space="preserve">also courtesy between </w:t>
      </w:r>
      <w:r w:rsidR="00D131C1">
        <w:rPr>
          <w:rFonts w:ascii="Arial" w:eastAsia="Arial" w:hAnsi="Arial" w:cs="Arial"/>
          <w:sz w:val="24"/>
        </w:rPr>
        <w:t>practitioners/clinicians</w:t>
      </w:r>
      <w:r>
        <w:rPr>
          <w:rFonts w:ascii="Arial" w:eastAsia="Arial" w:hAnsi="Arial" w:cs="Arial"/>
          <w:sz w:val="24"/>
        </w:rPr>
        <w:t xml:space="preserve"> and patients. Patients who lack capacity have a right to receive treatment when it is then their best interests, even when they object providing there is no legal basis for not doing so (such as a valid and applicable Advance Decision to Refuse Treatment or conflict with the decision of a person who holds </w:t>
      </w:r>
      <w:r w:rsidR="00123B13">
        <w:rPr>
          <w:rFonts w:ascii="Arial" w:eastAsia="Arial" w:hAnsi="Arial" w:cs="Arial"/>
          <w:sz w:val="24"/>
        </w:rPr>
        <w:t xml:space="preserve">the client’s </w:t>
      </w:r>
      <w:r>
        <w:rPr>
          <w:rFonts w:ascii="Arial" w:eastAsia="Arial" w:hAnsi="Arial" w:cs="Arial"/>
          <w:sz w:val="24"/>
        </w:rPr>
        <w:t>Lasting Power of Attorney</w:t>
      </w:r>
      <w:r w:rsidR="00123B13">
        <w:rPr>
          <w:rFonts w:ascii="Arial" w:eastAsia="Arial" w:hAnsi="Arial" w:cs="Arial"/>
          <w:sz w:val="24"/>
        </w:rPr>
        <w:t xml:space="preserve"> (LPA) for their </w:t>
      </w:r>
      <w:r w:rsidR="00123B13">
        <w:rPr>
          <w:rFonts w:ascii="Arial" w:eastAsia="Arial" w:hAnsi="Arial" w:cs="Arial"/>
          <w:sz w:val="24"/>
        </w:rPr>
        <w:t>Personal Welfare</w:t>
      </w:r>
      <w:r w:rsidR="00123B13">
        <w:rPr>
          <w:rFonts w:ascii="Arial" w:eastAsia="Arial" w:hAnsi="Arial" w:cs="Arial"/>
          <w:sz w:val="24"/>
        </w:rPr>
        <w:t>,</w:t>
      </w:r>
      <w:r>
        <w:rPr>
          <w:rFonts w:ascii="Arial" w:eastAsia="Arial" w:hAnsi="Arial" w:cs="Arial"/>
          <w:sz w:val="24"/>
        </w:rPr>
        <w:t xml:space="preserve"> or Court Deputyship for personal welfare decisions. </w:t>
      </w:r>
    </w:p>
    <w:p w14:paraId="0EFD5D93" w14:textId="77777777" w:rsidR="00C91FAD" w:rsidRDefault="00D225DC">
      <w:pPr>
        <w:spacing w:after="191"/>
      </w:pPr>
      <w:r>
        <w:rPr>
          <w:rFonts w:ascii="Arial" w:eastAsia="Arial" w:hAnsi="Arial" w:cs="Arial"/>
          <w:sz w:val="24"/>
        </w:rPr>
        <w:t xml:space="preserve"> </w:t>
      </w:r>
    </w:p>
    <w:p w14:paraId="28FB88AD" w14:textId="77777777" w:rsidR="00C91FAD" w:rsidRDefault="00D225DC">
      <w:pPr>
        <w:pStyle w:val="Heading1"/>
        <w:ind w:left="355"/>
      </w:pPr>
      <w:bookmarkStart w:id="2" w:name="_Toc60742"/>
      <w:r>
        <w:t xml:space="preserve">2. Purpose  </w:t>
      </w:r>
      <w:bookmarkEnd w:id="2"/>
    </w:p>
    <w:p w14:paraId="54B71822" w14:textId="77777777" w:rsidR="00C91FAD" w:rsidRDefault="00D225DC">
      <w:pPr>
        <w:spacing w:after="74"/>
      </w:pPr>
      <w:r>
        <w:rPr>
          <w:rFonts w:ascii="Arial" w:eastAsia="Arial" w:hAnsi="Arial" w:cs="Arial"/>
          <w:sz w:val="24"/>
        </w:rPr>
        <w:t xml:space="preserve"> </w:t>
      </w:r>
    </w:p>
    <w:p w14:paraId="1BDF04FD" w14:textId="32BE9F25" w:rsidR="00331B3A" w:rsidRDefault="00D225DC">
      <w:pPr>
        <w:spacing w:after="4" w:line="335" w:lineRule="auto"/>
        <w:ind w:left="-5" w:right="4" w:hanging="10"/>
        <w:rPr>
          <w:rFonts w:ascii="Arial" w:eastAsia="Arial" w:hAnsi="Arial" w:cs="Arial"/>
          <w:sz w:val="24"/>
        </w:rPr>
      </w:pPr>
      <w:r>
        <w:rPr>
          <w:rFonts w:ascii="Arial" w:eastAsia="Arial" w:hAnsi="Arial" w:cs="Arial"/>
          <w:sz w:val="24"/>
        </w:rPr>
        <w:t xml:space="preserve">The Department of Health </w:t>
      </w:r>
      <w:r w:rsidR="005A7084">
        <w:rPr>
          <w:rFonts w:ascii="Arial" w:eastAsia="Arial" w:hAnsi="Arial" w:cs="Arial"/>
          <w:sz w:val="24"/>
        </w:rPr>
        <w:t xml:space="preserve">(DH) </w:t>
      </w:r>
      <w:r>
        <w:rPr>
          <w:rFonts w:ascii="Arial" w:eastAsia="Arial" w:hAnsi="Arial" w:cs="Arial"/>
          <w:sz w:val="24"/>
        </w:rPr>
        <w:t>has issued a range of guidance documents on consent</w:t>
      </w:r>
      <w:r w:rsidR="005A7084">
        <w:rPr>
          <w:rFonts w:ascii="Arial" w:eastAsia="Arial" w:hAnsi="Arial" w:cs="Arial"/>
          <w:sz w:val="24"/>
        </w:rPr>
        <w:t xml:space="preserve">. </w:t>
      </w:r>
      <w:r w:rsidR="005A0511">
        <w:rPr>
          <w:rFonts w:ascii="Arial" w:eastAsia="Arial" w:hAnsi="Arial" w:cs="Arial"/>
          <w:sz w:val="24"/>
        </w:rPr>
        <w:t xml:space="preserve">Within </w:t>
      </w:r>
      <w:proofErr w:type="spellStart"/>
      <w:r w:rsidR="005A0511">
        <w:rPr>
          <w:rFonts w:ascii="Arial" w:eastAsia="Arial" w:hAnsi="Arial" w:cs="Arial"/>
          <w:sz w:val="24"/>
        </w:rPr>
        <w:t>SSACLtd</w:t>
      </w:r>
      <w:proofErr w:type="spellEnd"/>
      <w:r w:rsidR="005A0511">
        <w:rPr>
          <w:rFonts w:ascii="Arial" w:eastAsia="Arial" w:hAnsi="Arial" w:cs="Arial"/>
          <w:sz w:val="24"/>
        </w:rPr>
        <w:t xml:space="preserve">, </w:t>
      </w:r>
      <w:r w:rsidR="00EF212D">
        <w:rPr>
          <w:rFonts w:ascii="Arial" w:eastAsia="Arial" w:hAnsi="Arial" w:cs="Arial"/>
          <w:sz w:val="24"/>
        </w:rPr>
        <w:t xml:space="preserve">written information about the treatment, a medical questionnaire, general information questionnaire and aftercare information is sent to the </w:t>
      </w:r>
      <w:r w:rsidR="002C611F">
        <w:rPr>
          <w:rFonts w:ascii="Arial" w:eastAsia="Arial" w:hAnsi="Arial" w:cs="Arial"/>
          <w:sz w:val="24"/>
        </w:rPr>
        <w:t>client for completion prior to the treatment on a</w:t>
      </w:r>
      <w:r w:rsidR="009A157E">
        <w:rPr>
          <w:rFonts w:ascii="Arial" w:eastAsia="Arial" w:hAnsi="Arial" w:cs="Arial"/>
          <w:sz w:val="24"/>
        </w:rPr>
        <w:t>n external specialised</w:t>
      </w:r>
      <w:r w:rsidR="002C611F">
        <w:rPr>
          <w:rFonts w:ascii="Arial" w:eastAsia="Arial" w:hAnsi="Arial" w:cs="Arial"/>
          <w:sz w:val="24"/>
        </w:rPr>
        <w:t xml:space="preserve"> web based GDPR compliant consent system. </w:t>
      </w:r>
      <w:r w:rsidR="008D5A05">
        <w:rPr>
          <w:rFonts w:ascii="Arial" w:eastAsia="Arial" w:hAnsi="Arial" w:cs="Arial"/>
          <w:sz w:val="24"/>
        </w:rPr>
        <w:t xml:space="preserve">When confirming the patient’s consent </w:t>
      </w:r>
      <w:proofErr w:type="gramStart"/>
      <w:r w:rsidR="008D5A05">
        <w:rPr>
          <w:rFonts w:ascii="Arial" w:eastAsia="Arial" w:hAnsi="Arial" w:cs="Arial"/>
          <w:sz w:val="24"/>
        </w:rPr>
        <w:t xml:space="preserve">and understanding, </w:t>
      </w:r>
      <w:r w:rsidR="00E33EBC">
        <w:rPr>
          <w:rFonts w:ascii="Arial" w:eastAsia="Arial" w:hAnsi="Arial" w:cs="Arial"/>
          <w:sz w:val="24"/>
        </w:rPr>
        <w:t>both the written forms and verbal conversations</w:t>
      </w:r>
      <w:proofErr w:type="gramEnd"/>
      <w:r w:rsidR="00E33EBC">
        <w:rPr>
          <w:rFonts w:ascii="Arial" w:eastAsia="Arial" w:hAnsi="Arial" w:cs="Arial"/>
          <w:sz w:val="24"/>
        </w:rPr>
        <w:t xml:space="preserve"> </w:t>
      </w:r>
      <w:r w:rsidR="008D5A05">
        <w:rPr>
          <w:rFonts w:ascii="Arial" w:eastAsia="Arial" w:hAnsi="Arial" w:cs="Arial"/>
          <w:sz w:val="24"/>
        </w:rPr>
        <w:t>use</w:t>
      </w:r>
      <w:r w:rsidR="002358B4">
        <w:rPr>
          <w:rFonts w:ascii="Arial" w:eastAsia="Arial" w:hAnsi="Arial" w:cs="Arial"/>
          <w:sz w:val="24"/>
        </w:rPr>
        <w:t xml:space="preserve"> closed and open questions</w:t>
      </w:r>
      <w:r w:rsidR="008D5A05">
        <w:rPr>
          <w:rFonts w:ascii="Arial" w:eastAsia="Arial" w:hAnsi="Arial" w:cs="Arial"/>
          <w:sz w:val="24"/>
        </w:rPr>
        <w:t xml:space="preserve"> </w:t>
      </w:r>
      <w:r w:rsidR="002358B4">
        <w:rPr>
          <w:rFonts w:ascii="Arial" w:eastAsia="Arial" w:hAnsi="Arial" w:cs="Arial"/>
          <w:sz w:val="24"/>
        </w:rPr>
        <w:t xml:space="preserve">to gather information: </w:t>
      </w:r>
      <w:r w:rsidR="008D5A05">
        <w:rPr>
          <w:rFonts w:ascii="Arial" w:eastAsia="Arial" w:hAnsi="Arial" w:cs="Arial"/>
          <w:sz w:val="24"/>
        </w:rPr>
        <w:t xml:space="preserve">for example, “tell me what you’re </w:t>
      </w:r>
      <w:r w:rsidR="002358B4">
        <w:rPr>
          <w:rFonts w:ascii="Arial" w:eastAsia="Arial" w:hAnsi="Arial" w:cs="Arial"/>
          <w:sz w:val="24"/>
        </w:rPr>
        <w:t>hoping to achieve through this treatment</w:t>
      </w:r>
      <w:r w:rsidR="008D5A05">
        <w:rPr>
          <w:rFonts w:ascii="Arial" w:eastAsia="Arial" w:hAnsi="Arial" w:cs="Arial"/>
          <w:sz w:val="24"/>
        </w:rPr>
        <w:t>”</w:t>
      </w:r>
      <w:r w:rsidR="002358B4">
        <w:rPr>
          <w:rFonts w:ascii="Arial" w:eastAsia="Arial" w:hAnsi="Arial" w:cs="Arial"/>
          <w:sz w:val="24"/>
        </w:rPr>
        <w:t xml:space="preserve">.  </w:t>
      </w:r>
      <w:r w:rsidR="002C611F">
        <w:rPr>
          <w:rFonts w:ascii="Arial" w:eastAsia="Arial" w:hAnsi="Arial" w:cs="Arial"/>
          <w:sz w:val="24"/>
        </w:rPr>
        <w:t xml:space="preserve"> This is then discussed in detail at </w:t>
      </w:r>
      <w:r w:rsidR="009A157E">
        <w:rPr>
          <w:rFonts w:ascii="Arial" w:eastAsia="Arial" w:hAnsi="Arial" w:cs="Arial"/>
          <w:sz w:val="24"/>
        </w:rPr>
        <w:t>the</w:t>
      </w:r>
      <w:r w:rsidR="002C611F">
        <w:rPr>
          <w:rFonts w:ascii="Arial" w:eastAsia="Arial" w:hAnsi="Arial" w:cs="Arial"/>
          <w:sz w:val="24"/>
        </w:rPr>
        <w:t xml:space="preserve"> consultation</w:t>
      </w:r>
      <w:r w:rsidR="00017395">
        <w:rPr>
          <w:rFonts w:ascii="Arial" w:eastAsia="Arial" w:hAnsi="Arial" w:cs="Arial"/>
          <w:sz w:val="24"/>
        </w:rPr>
        <w:t xml:space="preserve"> to ensure expectations are realistic/discuss alternative treatment options etc </w:t>
      </w:r>
      <w:r w:rsidR="002C611F">
        <w:rPr>
          <w:rFonts w:ascii="Arial" w:eastAsia="Arial" w:hAnsi="Arial" w:cs="Arial"/>
          <w:sz w:val="24"/>
        </w:rPr>
        <w:t xml:space="preserve">and </w:t>
      </w:r>
      <w:r w:rsidR="00017395">
        <w:rPr>
          <w:rFonts w:ascii="Arial" w:eastAsia="Arial" w:hAnsi="Arial" w:cs="Arial"/>
          <w:sz w:val="24"/>
        </w:rPr>
        <w:t xml:space="preserve">again </w:t>
      </w:r>
      <w:r w:rsidR="00331B3A">
        <w:rPr>
          <w:rFonts w:ascii="Arial" w:eastAsia="Arial" w:hAnsi="Arial" w:cs="Arial"/>
          <w:sz w:val="24"/>
        </w:rPr>
        <w:t xml:space="preserve">verbal consent </w:t>
      </w:r>
      <w:r w:rsidR="00017395">
        <w:rPr>
          <w:rFonts w:ascii="Arial" w:eastAsia="Arial" w:hAnsi="Arial" w:cs="Arial"/>
          <w:sz w:val="24"/>
        </w:rPr>
        <w:t xml:space="preserve">requested </w:t>
      </w:r>
      <w:r w:rsidR="00331B3A">
        <w:rPr>
          <w:rFonts w:ascii="Arial" w:eastAsia="Arial" w:hAnsi="Arial" w:cs="Arial"/>
          <w:sz w:val="24"/>
        </w:rPr>
        <w:t>prior to the commencement of treatment.</w:t>
      </w:r>
    </w:p>
    <w:p w14:paraId="05BADF0B" w14:textId="77777777" w:rsidR="00331B3A" w:rsidRDefault="00331B3A">
      <w:pPr>
        <w:spacing w:after="4" w:line="335" w:lineRule="auto"/>
        <w:ind w:left="-5" w:right="4" w:hanging="10"/>
        <w:rPr>
          <w:rFonts w:ascii="Arial" w:eastAsia="Arial" w:hAnsi="Arial" w:cs="Arial"/>
          <w:sz w:val="24"/>
        </w:rPr>
      </w:pPr>
    </w:p>
    <w:p w14:paraId="0F25AE8A" w14:textId="55CF1DE6" w:rsidR="00C91FAD" w:rsidRDefault="00D225DC">
      <w:pPr>
        <w:spacing w:after="4" w:line="335" w:lineRule="auto"/>
        <w:ind w:left="-5" w:right="4" w:hanging="10"/>
      </w:pPr>
      <w:r>
        <w:rPr>
          <w:rFonts w:ascii="Arial" w:eastAsia="Arial" w:hAnsi="Arial" w:cs="Arial"/>
          <w:sz w:val="24"/>
        </w:rPr>
        <w:t xml:space="preserve">This policy sets out the standards and procedures for use in </w:t>
      </w:r>
      <w:r w:rsidR="00742069">
        <w:rPr>
          <w:rFonts w:ascii="Arial" w:eastAsia="Arial" w:hAnsi="Arial" w:cs="Arial"/>
          <w:sz w:val="24"/>
        </w:rPr>
        <w:t>the clinic</w:t>
      </w:r>
      <w:r>
        <w:rPr>
          <w:rFonts w:ascii="Arial" w:eastAsia="Arial" w:hAnsi="Arial" w:cs="Arial"/>
          <w:sz w:val="24"/>
        </w:rPr>
        <w:t>, which aim</w:t>
      </w:r>
      <w:r w:rsidR="0068486E">
        <w:rPr>
          <w:rFonts w:ascii="Arial" w:eastAsia="Arial" w:hAnsi="Arial" w:cs="Arial"/>
          <w:sz w:val="24"/>
        </w:rPr>
        <w:t>s</w:t>
      </w:r>
      <w:r>
        <w:rPr>
          <w:rFonts w:ascii="Arial" w:eastAsia="Arial" w:hAnsi="Arial" w:cs="Arial"/>
          <w:sz w:val="24"/>
        </w:rPr>
        <w:t xml:space="preserve"> to ensure </w:t>
      </w:r>
      <w:r w:rsidR="0068486E">
        <w:rPr>
          <w:rFonts w:ascii="Arial" w:eastAsia="Arial" w:hAnsi="Arial" w:cs="Arial"/>
          <w:sz w:val="24"/>
        </w:rPr>
        <w:t>compliance from anyone wor</w:t>
      </w:r>
      <w:r w:rsidR="005A7084">
        <w:rPr>
          <w:rFonts w:ascii="Arial" w:eastAsia="Arial" w:hAnsi="Arial" w:cs="Arial"/>
          <w:sz w:val="24"/>
        </w:rPr>
        <w:t xml:space="preserve">king within the </w:t>
      </w:r>
      <w:r w:rsidR="0068486E">
        <w:rPr>
          <w:rFonts w:ascii="Arial" w:eastAsia="Arial" w:hAnsi="Arial" w:cs="Arial"/>
          <w:sz w:val="24"/>
        </w:rPr>
        <w:t>clinic</w:t>
      </w:r>
      <w:r>
        <w:rPr>
          <w:rFonts w:ascii="Arial" w:eastAsia="Arial" w:hAnsi="Arial" w:cs="Arial"/>
          <w:sz w:val="24"/>
        </w:rPr>
        <w:t xml:space="preserve">. While this document is primarily concerned with healthcare, </w:t>
      </w:r>
      <w:proofErr w:type="spellStart"/>
      <w:r w:rsidR="0068486E">
        <w:rPr>
          <w:rFonts w:ascii="Arial" w:eastAsia="Arial" w:hAnsi="Arial" w:cs="Arial"/>
          <w:sz w:val="24"/>
        </w:rPr>
        <w:t>SSACLtd</w:t>
      </w:r>
      <w:proofErr w:type="spellEnd"/>
      <w:r w:rsidR="0068486E">
        <w:rPr>
          <w:rFonts w:ascii="Arial" w:eastAsia="Arial" w:hAnsi="Arial" w:cs="Arial"/>
          <w:sz w:val="24"/>
        </w:rPr>
        <w:t xml:space="preserve"> </w:t>
      </w:r>
      <w:r w:rsidR="002416D0">
        <w:rPr>
          <w:rFonts w:ascii="Arial" w:eastAsia="Arial" w:hAnsi="Arial" w:cs="Arial"/>
          <w:sz w:val="24"/>
        </w:rPr>
        <w:t xml:space="preserve">acknowledges that many treatments provided are cosmetic rather than healthcare but aims to ensure that the policy of obtaining consent applies to everyone attending for </w:t>
      </w:r>
      <w:r w:rsidR="00657065">
        <w:rPr>
          <w:rFonts w:ascii="Arial" w:eastAsia="Arial" w:hAnsi="Arial" w:cs="Arial"/>
          <w:sz w:val="24"/>
        </w:rPr>
        <w:t>treatment.</w:t>
      </w:r>
      <w:r>
        <w:rPr>
          <w:rFonts w:ascii="Arial" w:eastAsia="Arial" w:hAnsi="Arial" w:cs="Arial"/>
          <w:sz w:val="24"/>
        </w:rPr>
        <w:t xml:space="preserve"> </w:t>
      </w:r>
    </w:p>
    <w:p w14:paraId="33A5A3F9" w14:textId="77777777" w:rsidR="00C91FAD" w:rsidRDefault="00D225DC">
      <w:pPr>
        <w:spacing w:after="195"/>
      </w:pPr>
      <w:r>
        <w:rPr>
          <w:rFonts w:ascii="Arial" w:eastAsia="Arial" w:hAnsi="Arial" w:cs="Arial"/>
          <w:color w:val="FF0000"/>
          <w:sz w:val="24"/>
        </w:rPr>
        <w:t xml:space="preserve"> </w:t>
      </w:r>
    </w:p>
    <w:p w14:paraId="74905801" w14:textId="77777777" w:rsidR="00C91FAD" w:rsidRDefault="00D225DC">
      <w:pPr>
        <w:pStyle w:val="Heading1"/>
        <w:ind w:left="355"/>
      </w:pPr>
      <w:bookmarkStart w:id="3" w:name="_Toc60743"/>
      <w:r>
        <w:t xml:space="preserve">3. Definitions </w:t>
      </w:r>
      <w:bookmarkEnd w:id="3"/>
    </w:p>
    <w:p w14:paraId="608D0251" w14:textId="77777777" w:rsidR="00C91FAD" w:rsidRDefault="00D225DC">
      <w:pPr>
        <w:spacing w:after="74"/>
      </w:pPr>
      <w:r>
        <w:rPr>
          <w:rFonts w:ascii="Arial" w:eastAsia="Arial" w:hAnsi="Arial" w:cs="Arial"/>
          <w:sz w:val="24"/>
        </w:rPr>
        <w:t xml:space="preserve"> </w:t>
      </w:r>
    </w:p>
    <w:p w14:paraId="1C9EC341" w14:textId="77777777" w:rsidR="00C91FAD" w:rsidRDefault="00D225DC">
      <w:pPr>
        <w:pStyle w:val="Heading2"/>
        <w:ind w:left="-5"/>
      </w:pPr>
      <w:r>
        <w:lastRenderedPageBreak/>
        <w:t xml:space="preserve">Valid Consent </w:t>
      </w:r>
    </w:p>
    <w:p w14:paraId="11B568B0" w14:textId="77777777" w:rsidR="00C91FAD" w:rsidRDefault="00D225DC">
      <w:pPr>
        <w:spacing w:after="76"/>
      </w:pPr>
      <w:r>
        <w:rPr>
          <w:rFonts w:ascii="Arial" w:eastAsia="Arial" w:hAnsi="Arial" w:cs="Arial"/>
          <w:sz w:val="24"/>
        </w:rPr>
        <w:t xml:space="preserve"> </w:t>
      </w:r>
    </w:p>
    <w:p w14:paraId="777DD3C4" w14:textId="77777777" w:rsidR="00C91FAD" w:rsidRDefault="00D225DC">
      <w:pPr>
        <w:spacing w:after="75"/>
        <w:ind w:left="-5" w:right="4" w:hanging="10"/>
      </w:pPr>
      <w:r>
        <w:rPr>
          <w:rFonts w:ascii="Arial" w:eastAsia="Arial" w:hAnsi="Arial" w:cs="Arial"/>
          <w:sz w:val="24"/>
        </w:rPr>
        <w:t xml:space="preserve">For the consent to be valid, the patient must: </w:t>
      </w:r>
    </w:p>
    <w:p w14:paraId="2CA09903" w14:textId="77777777" w:rsidR="00657065" w:rsidRPr="00657065" w:rsidRDefault="00D225DC">
      <w:pPr>
        <w:numPr>
          <w:ilvl w:val="0"/>
          <w:numId w:val="1"/>
        </w:numPr>
        <w:spacing w:after="4" w:line="335" w:lineRule="auto"/>
        <w:ind w:right="4" w:hanging="720"/>
      </w:pPr>
      <w:r>
        <w:rPr>
          <w:rFonts w:ascii="Arial" w:eastAsia="Arial" w:hAnsi="Arial" w:cs="Arial"/>
          <w:sz w:val="24"/>
        </w:rPr>
        <w:t>Have the mental capacity to take the decision.</w:t>
      </w:r>
    </w:p>
    <w:p w14:paraId="3132105F" w14:textId="641D1958" w:rsidR="00C91FAD" w:rsidRDefault="00D225DC">
      <w:pPr>
        <w:numPr>
          <w:ilvl w:val="0"/>
          <w:numId w:val="1"/>
        </w:numPr>
        <w:spacing w:after="4" w:line="335" w:lineRule="auto"/>
        <w:ind w:right="4" w:hanging="720"/>
      </w:pPr>
      <w:r>
        <w:rPr>
          <w:rFonts w:ascii="Arial" w:eastAsia="Arial" w:hAnsi="Arial" w:cs="Arial"/>
          <w:sz w:val="24"/>
        </w:rPr>
        <w:t>Have received sufficient information</w:t>
      </w:r>
      <w:r w:rsidR="002840BB">
        <w:rPr>
          <w:rFonts w:ascii="Arial" w:eastAsia="Arial" w:hAnsi="Arial" w:cs="Arial"/>
          <w:sz w:val="24"/>
        </w:rPr>
        <w:t xml:space="preserve"> on which to base their </w:t>
      </w:r>
      <w:proofErr w:type="gramStart"/>
      <w:r w:rsidR="002840BB">
        <w:rPr>
          <w:rFonts w:ascii="Arial" w:eastAsia="Arial" w:hAnsi="Arial" w:cs="Arial"/>
          <w:sz w:val="24"/>
        </w:rPr>
        <w:t>consent</w:t>
      </w:r>
      <w:proofErr w:type="gramEnd"/>
      <w:r>
        <w:rPr>
          <w:rFonts w:ascii="Arial" w:eastAsia="Arial" w:hAnsi="Arial" w:cs="Arial"/>
          <w:sz w:val="24"/>
        </w:rPr>
        <w:t xml:space="preserve"> </w:t>
      </w:r>
    </w:p>
    <w:p w14:paraId="68AAE440" w14:textId="77777777" w:rsidR="00C91FAD" w:rsidRDefault="00D225DC">
      <w:pPr>
        <w:numPr>
          <w:ilvl w:val="0"/>
          <w:numId w:val="1"/>
        </w:numPr>
        <w:spacing w:after="84"/>
        <w:ind w:right="4" w:hanging="720"/>
      </w:pPr>
      <w:r>
        <w:rPr>
          <w:rFonts w:ascii="Arial" w:eastAsia="Arial" w:hAnsi="Arial" w:cs="Arial"/>
          <w:sz w:val="24"/>
        </w:rPr>
        <w:t xml:space="preserve">Not be acting under duress. </w:t>
      </w:r>
    </w:p>
    <w:p w14:paraId="7F035FFC" w14:textId="77777777" w:rsidR="00C91FAD" w:rsidRDefault="00D225DC">
      <w:pPr>
        <w:spacing w:after="74"/>
      </w:pPr>
      <w:r>
        <w:rPr>
          <w:rFonts w:ascii="Arial" w:eastAsia="Arial" w:hAnsi="Arial" w:cs="Arial"/>
          <w:sz w:val="24"/>
        </w:rPr>
        <w:t xml:space="preserve"> </w:t>
      </w:r>
    </w:p>
    <w:p w14:paraId="3F86469A" w14:textId="4EB39899" w:rsidR="00C91FAD" w:rsidRDefault="00364A9D">
      <w:pPr>
        <w:spacing w:after="4" w:line="335" w:lineRule="auto"/>
        <w:ind w:left="-5" w:right="4" w:hanging="10"/>
      </w:pPr>
      <w:r>
        <w:rPr>
          <w:rFonts w:ascii="Arial" w:eastAsia="Arial" w:hAnsi="Arial" w:cs="Arial"/>
          <w:sz w:val="24"/>
        </w:rPr>
        <w:t xml:space="preserve">Valid consent </w:t>
      </w:r>
      <w:r w:rsidR="00D225DC">
        <w:rPr>
          <w:rFonts w:ascii="Arial" w:eastAsia="Arial" w:hAnsi="Arial" w:cs="Arial"/>
          <w:sz w:val="24"/>
        </w:rPr>
        <w:t xml:space="preserve">can be verbal, </w:t>
      </w:r>
      <w:proofErr w:type="gramStart"/>
      <w:r w:rsidR="00D225DC">
        <w:rPr>
          <w:rFonts w:ascii="Arial" w:eastAsia="Arial" w:hAnsi="Arial" w:cs="Arial"/>
          <w:sz w:val="24"/>
        </w:rPr>
        <w:t>implied</w:t>
      </w:r>
      <w:proofErr w:type="gramEnd"/>
      <w:r w:rsidR="00D225DC">
        <w:rPr>
          <w:rFonts w:ascii="Arial" w:eastAsia="Arial" w:hAnsi="Arial" w:cs="Arial"/>
          <w:sz w:val="24"/>
        </w:rPr>
        <w:t xml:space="preserve"> or written. Implied consent is not in itself sufficient to demonstrate an understanding about </w:t>
      </w:r>
      <w:r w:rsidR="002840BB">
        <w:rPr>
          <w:rFonts w:ascii="Arial" w:eastAsia="Arial" w:hAnsi="Arial" w:cs="Arial"/>
          <w:sz w:val="24"/>
        </w:rPr>
        <w:t>the treatment</w:t>
      </w:r>
      <w:r w:rsidR="00D225DC">
        <w:rPr>
          <w:rFonts w:ascii="Arial" w:eastAsia="Arial" w:hAnsi="Arial" w:cs="Arial"/>
          <w:sz w:val="24"/>
        </w:rPr>
        <w:t xml:space="preserve"> without evidence that sufficient information has been provided to a capacious patient. </w:t>
      </w:r>
    </w:p>
    <w:p w14:paraId="1D4F45C2" w14:textId="77777777" w:rsidR="00C91FAD" w:rsidRDefault="00D225DC">
      <w:pPr>
        <w:spacing w:after="74"/>
      </w:pPr>
      <w:r>
        <w:rPr>
          <w:rFonts w:ascii="Arial" w:eastAsia="Arial" w:hAnsi="Arial" w:cs="Arial"/>
          <w:sz w:val="24"/>
        </w:rPr>
        <w:t xml:space="preserve"> </w:t>
      </w:r>
    </w:p>
    <w:p w14:paraId="0533E5B8" w14:textId="77777777" w:rsidR="00C91FAD" w:rsidRDefault="00D225DC">
      <w:pPr>
        <w:spacing w:after="75"/>
        <w:ind w:left="-5" w:right="4" w:hanging="10"/>
      </w:pPr>
      <w:r>
        <w:rPr>
          <w:rFonts w:ascii="Arial" w:eastAsia="Arial" w:hAnsi="Arial" w:cs="Arial"/>
          <w:sz w:val="24"/>
        </w:rPr>
        <w:t xml:space="preserve">In the absence of valid consent, an intervention may be lawful: </w:t>
      </w:r>
    </w:p>
    <w:p w14:paraId="330066D6" w14:textId="77777777" w:rsidR="00C91FAD" w:rsidRDefault="00D225DC">
      <w:pPr>
        <w:numPr>
          <w:ilvl w:val="0"/>
          <w:numId w:val="1"/>
        </w:numPr>
        <w:spacing w:after="85"/>
        <w:ind w:right="4" w:hanging="720"/>
      </w:pPr>
      <w:r>
        <w:rPr>
          <w:rFonts w:ascii="Arial" w:eastAsia="Arial" w:hAnsi="Arial" w:cs="Arial"/>
          <w:sz w:val="24"/>
        </w:rPr>
        <w:t xml:space="preserve">Under the Mental Capacity Act 2005. </w:t>
      </w:r>
    </w:p>
    <w:p w14:paraId="3175F2EA" w14:textId="77777777" w:rsidR="00C91FAD" w:rsidRDefault="00D225DC">
      <w:pPr>
        <w:numPr>
          <w:ilvl w:val="0"/>
          <w:numId w:val="1"/>
        </w:numPr>
        <w:spacing w:after="82"/>
        <w:ind w:right="4" w:hanging="720"/>
      </w:pPr>
      <w:r>
        <w:rPr>
          <w:rFonts w:ascii="Arial" w:eastAsia="Arial" w:hAnsi="Arial" w:cs="Arial"/>
          <w:sz w:val="24"/>
        </w:rPr>
        <w:t xml:space="preserve">Under the Mental Health Act 1983. </w:t>
      </w:r>
    </w:p>
    <w:p w14:paraId="14F4C650" w14:textId="29419E47" w:rsidR="00C91FAD" w:rsidRDefault="00D225DC">
      <w:pPr>
        <w:numPr>
          <w:ilvl w:val="0"/>
          <w:numId w:val="1"/>
        </w:numPr>
        <w:spacing w:after="31" w:line="335" w:lineRule="auto"/>
        <w:ind w:right="4" w:hanging="720"/>
      </w:pPr>
      <w:r>
        <w:rPr>
          <w:rFonts w:ascii="Arial" w:eastAsia="Arial" w:hAnsi="Arial" w:cs="Arial"/>
          <w:sz w:val="24"/>
        </w:rPr>
        <w:t>With the consent of someone who holds parental responsibility (where the decision is ‘within the scope’ of responsibility</w:t>
      </w:r>
      <w:r w:rsidR="00037FAE">
        <w:rPr>
          <w:rFonts w:ascii="Arial" w:eastAsia="Arial" w:hAnsi="Arial" w:cs="Arial"/>
          <w:sz w:val="24"/>
        </w:rPr>
        <w:t xml:space="preserve"> – currently no </w:t>
      </w:r>
      <w:r w:rsidR="00646F66">
        <w:rPr>
          <w:rFonts w:ascii="Arial" w:eastAsia="Arial" w:hAnsi="Arial" w:cs="Arial"/>
          <w:sz w:val="24"/>
        </w:rPr>
        <w:t xml:space="preserve">medical </w:t>
      </w:r>
      <w:r w:rsidR="00037FAE">
        <w:rPr>
          <w:rFonts w:ascii="Arial" w:eastAsia="Arial" w:hAnsi="Arial" w:cs="Arial"/>
          <w:sz w:val="24"/>
        </w:rPr>
        <w:t>treatments are given to</w:t>
      </w:r>
      <w:r w:rsidR="00646F66">
        <w:rPr>
          <w:rFonts w:ascii="Arial" w:eastAsia="Arial" w:hAnsi="Arial" w:cs="Arial"/>
          <w:sz w:val="24"/>
        </w:rPr>
        <w:t xml:space="preserve"> anyone under the age of 18</w:t>
      </w:r>
      <w:r>
        <w:rPr>
          <w:rFonts w:ascii="Arial" w:eastAsia="Arial" w:hAnsi="Arial" w:cs="Arial"/>
          <w:sz w:val="24"/>
        </w:rPr>
        <w:t xml:space="preserve">). </w:t>
      </w:r>
    </w:p>
    <w:p w14:paraId="0D68B399" w14:textId="77777777" w:rsidR="00C91FAD" w:rsidRDefault="00D225DC">
      <w:pPr>
        <w:numPr>
          <w:ilvl w:val="0"/>
          <w:numId w:val="1"/>
        </w:numPr>
        <w:spacing w:after="84"/>
        <w:ind w:right="4" w:hanging="720"/>
      </w:pPr>
      <w:r>
        <w:rPr>
          <w:rFonts w:ascii="Arial" w:eastAsia="Arial" w:hAnsi="Arial" w:cs="Arial"/>
          <w:sz w:val="24"/>
        </w:rPr>
        <w:t xml:space="preserve">Following a decision of the Court of Protection or the High Court </w:t>
      </w:r>
    </w:p>
    <w:p w14:paraId="04BEA178" w14:textId="77777777" w:rsidR="00C91FAD" w:rsidRDefault="00D225DC">
      <w:pPr>
        <w:spacing w:after="74"/>
      </w:pPr>
      <w:r>
        <w:rPr>
          <w:rFonts w:ascii="Arial" w:eastAsia="Arial" w:hAnsi="Arial" w:cs="Arial"/>
          <w:sz w:val="24"/>
        </w:rPr>
        <w:t xml:space="preserve">  </w:t>
      </w:r>
    </w:p>
    <w:p w14:paraId="5663C846" w14:textId="77777777" w:rsidR="00426441" w:rsidRDefault="00D225DC">
      <w:pPr>
        <w:spacing w:after="4" w:line="335" w:lineRule="auto"/>
        <w:ind w:left="-5" w:right="4" w:hanging="10"/>
        <w:rPr>
          <w:rFonts w:ascii="Arial" w:eastAsia="Arial" w:hAnsi="Arial" w:cs="Arial"/>
          <w:sz w:val="24"/>
        </w:rPr>
      </w:pPr>
      <w:r>
        <w:rPr>
          <w:rFonts w:ascii="Arial" w:eastAsia="Arial" w:hAnsi="Arial" w:cs="Arial"/>
          <w:sz w:val="24"/>
        </w:rPr>
        <w:t>Where an adult patient lacks the mental capacity, to make the decision at the time it needs to be made, no-one else can give consent on their behalf, unless they have Lasting Power of Attorney (LPA) for Health and Wellbeing</w:t>
      </w:r>
      <w:r w:rsidR="00646F66">
        <w:rPr>
          <w:rFonts w:ascii="Arial" w:eastAsia="Arial" w:hAnsi="Arial" w:cs="Arial"/>
          <w:sz w:val="24"/>
        </w:rPr>
        <w:t xml:space="preserve">.  </w:t>
      </w:r>
      <w:r>
        <w:rPr>
          <w:rFonts w:ascii="Arial" w:eastAsia="Arial" w:hAnsi="Arial" w:cs="Arial"/>
          <w:sz w:val="24"/>
        </w:rPr>
        <w:t xml:space="preserve">In cases where no one holds a valid LPA, treatment may be given if it is in their best interests in line with the Mental Capacity Act (2005), </w:t>
      </w:r>
      <w:proofErr w:type="gramStart"/>
      <w:r>
        <w:rPr>
          <w:rFonts w:ascii="Arial" w:eastAsia="Arial" w:hAnsi="Arial" w:cs="Arial"/>
          <w:sz w:val="24"/>
        </w:rPr>
        <w:t>as long as</w:t>
      </w:r>
      <w:proofErr w:type="gramEnd"/>
      <w:r>
        <w:rPr>
          <w:rFonts w:ascii="Arial" w:eastAsia="Arial" w:hAnsi="Arial" w:cs="Arial"/>
          <w:sz w:val="24"/>
        </w:rPr>
        <w:t xml:space="preserve"> it has not been refused in advance, in a valid and applicable Advanced Decision to Refuse Treatment (ADRT).</w:t>
      </w:r>
    </w:p>
    <w:p w14:paraId="1F50D931" w14:textId="77777777" w:rsidR="00426441" w:rsidRDefault="00426441">
      <w:pPr>
        <w:spacing w:after="4" w:line="335" w:lineRule="auto"/>
        <w:ind w:left="-5" w:right="4" w:hanging="10"/>
        <w:rPr>
          <w:rFonts w:ascii="Arial" w:eastAsia="Arial" w:hAnsi="Arial" w:cs="Arial"/>
          <w:sz w:val="24"/>
        </w:rPr>
      </w:pPr>
    </w:p>
    <w:p w14:paraId="20452481" w14:textId="4A0EB59A" w:rsidR="00C91FAD" w:rsidRDefault="00426441">
      <w:pPr>
        <w:spacing w:after="4" w:line="335" w:lineRule="auto"/>
        <w:ind w:left="-5" w:right="4" w:hanging="10"/>
      </w:pPr>
      <w:r>
        <w:rPr>
          <w:rFonts w:ascii="Arial" w:eastAsia="Arial" w:hAnsi="Arial" w:cs="Arial"/>
          <w:sz w:val="24"/>
        </w:rPr>
        <w:t xml:space="preserve">Within </w:t>
      </w:r>
      <w:proofErr w:type="spellStart"/>
      <w:r>
        <w:rPr>
          <w:rFonts w:ascii="Arial" w:eastAsia="Arial" w:hAnsi="Arial" w:cs="Arial"/>
          <w:sz w:val="24"/>
        </w:rPr>
        <w:t>SSACLtd</w:t>
      </w:r>
      <w:proofErr w:type="spellEnd"/>
      <w:r>
        <w:rPr>
          <w:rFonts w:ascii="Arial" w:eastAsia="Arial" w:hAnsi="Arial" w:cs="Arial"/>
          <w:sz w:val="24"/>
        </w:rPr>
        <w:t xml:space="preserve"> it is acknowledged that this will exclude any cosmetic treatments</w:t>
      </w:r>
      <w:r w:rsidR="00372A36">
        <w:rPr>
          <w:rFonts w:ascii="Arial" w:eastAsia="Arial" w:hAnsi="Arial" w:cs="Arial"/>
          <w:sz w:val="24"/>
        </w:rPr>
        <w:t>, as</w:t>
      </w:r>
      <w:r>
        <w:rPr>
          <w:rFonts w:ascii="Arial" w:eastAsia="Arial" w:hAnsi="Arial" w:cs="Arial"/>
          <w:sz w:val="24"/>
        </w:rPr>
        <w:t xml:space="preserve"> </w:t>
      </w:r>
      <w:r w:rsidR="00372A36">
        <w:rPr>
          <w:rFonts w:ascii="Arial" w:eastAsia="Arial" w:hAnsi="Arial" w:cs="Arial"/>
          <w:sz w:val="24"/>
        </w:rPr>
        <w:t>these procedures are only offered to adults aged 18 and over with full capacity</w:t>
      </w:r>
      <w:r w:rsidR="00595BC0">
        <w:rPr>
          <w:rFonts w:ascii="Arial" w:eastAsia="Arial" w:hAnsi="Arial" w:cs="Arial"/>
          <w:sz w:val="24"/>
        </w:rPr>
        <w:t xml:space="preserve">.  There should be no instance that </w:t>
      </w:r>
      <w:r w:rsidR="00F5675C">
        <w:rPr>
          <w:rFonts w:ascii="Arial" w:eastAsia="Arial" w:hAnsi="Arial" w:cs="Arial"/>
          <w:sz w:val="24"/>
        </w:rPr>
        <w:t>anyone lacking capacity should be offered any cosmetic treatment.</w:t>
      </w:r>
    </w:p>
    <w:p w14:paraId="5FAF8378" w14:textId="460F53D4" w:rsidR="00C91FAD" w:rsidRDefault="00D225DC" w:rsidP="005A0511">
      <w:pPr>
        <w:spacing w:after="74"/>
      </w:pPr>
      <w:r>
        <w:rPr>
          <w:rFonts w:ascii="Arial" w:eastAsia="Arial" w:hAnsi="Arial" w:cs="Arial"/>
          <w:sz w:val="24"/>
        </w:rPr>
        <w:t xml:space="preserve"> </w:t>
      </w:r>
    </w:p>
    <w:p w14:paraId="6B538F32" w14:textId="77777777" w:rsidR="00C91FAD" w:rsidRDefault="00D225DC">
      <w:pPr>
        <w:pStyle w:val="Heading1"/>
        <w:ind w:left="355"/>
      </w:pPr>
      <w:bookmarkStart w:id="4" w:name="_Toc60744"/>
      <w:r>
        <w:t xml:space="preserve">4. Advocacy </w:t>
      </w:r>
      <w:bookmarkEnd w:id="4"/>
    </w:p>
    <w:p w14:paraId="7FA973FC" w14:textId="77777777" w:rsidR="00C91FAD" w:rsidRDefault="00D225DC">
      <w:pPr>
        <w:spacing w:after="74"/>
      </w:pPr>
      <w:r>
        <w:rPr>
          <w:rFonts w:ascii="Arial" w:eastAsia="Arial" w:hAnsi="Arial" w:cs="Arial"/>
          <w:sz w:val="24"/>
        </w:rPr>
        <w:t xml:space="preserve"> </w:t>
      </w:r>
    </w:p>
    <w:p w14:paraId="22D39072" w14:textId="1E4362C3" w:rsidR="00C91FAD" w:rsidRDefault="00F5675C">
      <w:pPr>
        <w:spacing w:after="4" w:line="335" w:lineRule="auto"/>
        <w:ind w:left="-5" w:right="4" w:hanging="10"/>
      </w:pPr>
      <w:r>
        <w:rPr>
          <w:rFonts w:ascii="Arial" w:eastAsia="Arial" w:hAnsi="Arial" w:cs="Arial"/>
          <w:sz w:val="24"/>
        </w:rPr>
        <w:t xml:space="preserve">Whilst this would be a very rare occurrence within </w:t>
      </w:r>
      <w:proofErr w:type="spellStart"/>
      <w:r>
        <w:rPr>
          <w:rFonts w:ascii="Arial" w:eastAsia="Arial" w:hAnsi="Arial" w:cs="Arial"/>
          <w:sz w:val="24"/>
        </w:rPr>
        <w:t>SSACLtd</w:t>
      </w:r>
      <w:proofErr w:type="spellEnd"/>
      <w:r w:rsidR="0021632A">
        <w:rPr>
          <w:rFonts w:ascii="Arial" w:eastAsia="Arial" w:hAnsi="Arial" w:cs="Arial"/>
          <w:sz w:val="24"/>
        </w:rPr>
        <w:t xml:space="preserve"> as it is acknowledged that very few treatments offered within the clinic would be considered a medical necessity, </w:t>
      </w:r>
      <w:r>
        <w:rPr>
          <w:rFonts w:ascii="Arial" w:eastAsia="Arial" w:hAnsi="Arial" w:cs="Arial"/>
          <w:sz w:val="24"/>
        </w:rPr>
        <w:t>it is included in the policy to acknowledge the circumstance for any occasion that</w:t>
      </w:r>
      <w:r w:rsidR="00D225DC">
        <w:rPr>
          <w:rFonts w:ascii="Arial" w:eastAsia="Arial" w:hAnsi="Arial" w:cs="Arial"/>
          <w:sz w:val="24"/>
        </w:rPr>
        <w:t xml:space="preserve"> it may be appropriate to instruct an Independent Mental Capacity Advocate (IMCA). </w:t>
      </w:r>
    </w:p>
    <w:p w14:paraId="29592FAB" w14:textId="77777777" w:rsidR="00C91FAD" w:rsidRDefault="00D225DC">
      <w:pPr>
        <w:spacing w:after="75"/>
      </w:pPr>
      <w:r>
        <w:rPr>
          <w:rFonts w:ascii="Arial" w:eastAsia="Arial" w:hAnsi="Arial" w:cs="Arial"/>
          <w:sz w:val="24"/>
        </w:rPr>
        <w:lastRenderedPageBreak/>
        <w:t xml:space="preserve"> </w:t>
      </w:r>
    </w:p>
    <w:p w14:paraId="5D868D2F" w14:textId="77777777" w:rsidR="00C91FAD" w:rsidRDefault="00D225DC">
      <w:pPr>
        <w:numPr>
          <w:ilvl w:val="0"/>
          <w:numId w:val="2"/>
        </w:numPr>
        <w:spacing w:after="82"/>
        <w:ind w:right="4" w:hanging="720"/>
      </w:pPr>
      <w:r>
        <w:rPr>
          <w:rFonts w:ascii="Arial" w:eastAsia="Arial" w:hAnsi="Arial" w:cs="Arial"/>
          <w:sz w:val="24"/>
        </w:rPr>
        <w:t xml:space="preserve">The person is aged 16 or </w:t>
      </w:r>
      <w:proofErr w:type="gramStart"/>
      <w:r>
        <w:rPr>
          <w:rFonts w:ascii="Arial" w:eastAsia="Arial" w:hAnsi="Arial" w:cs="Arial"/>
          <w:sz w:val="24"/>
        </w:rPr>
        <w:t>over</w:t>
      </w:r>
      <w:proofErr w:type="gramEnd"/>
      <w:r>
        <w:rPr>
          <w:rFonts w:ascii="Arial" w:eastAsia="Arial" w:hAnsi="Arial" w:cs="Arial"/>
          <w:sz w:val="24"/>
        </w:rPr>
        <w:t xml:space="preserve"> </w:t>
      </w:r>
    </w:p>
    <w:p w14:paraId="0DE32AA8" w14:textId="77777777" w:rsidR="00C91FAD" w:rsidRDefault="00D225DC">
      <w:pPr>
        <w:numPr>
          <w:ilvl w:val="0"/>
          <w:numId w:val="2"/>
        </w:numPr>
        <w:spacing w:after="4" w:line="335" w:lineRule="auto"/>
        <w:ind w:right="4" w:hanging="720"/>
      </w:pPr>
      <w:r>
        <w:rPr>
          <w:rFonts w:ascii="Arial" w:eastAsia="Arial" w:hAnsi="Arial" w:cs="Arial"/>
          <w:sz w:val="24"/>
        </w:rPr>
        <w:t xml:space="preserve">A decision needs to be made about either a long-term change in accommodation or a serious medical </w:t>
      </w:r>
      <w:proofErr w:type="gramStart"/>
      <w:r>
        <w:rPr>
          <w:rFonts w:ascii="Arial" w:eastAsia="Arial" w:hAnsi="Arial" w:cs="Arial"/>
          <w:sz w:val="24"/>
        </w:rPr>
        <w:t>treatment</w:t>
      </w:r>
      <w:proofErr w:type="gramEnd"/>
      <w:r>
        <w:rPr>
          <w:rFonts w:ascii="Arial" w:eastAsia="Arial" w:hAnsi="Arial" w:cs="Arial"/>
          <w:sz w:val="24"/>
        </w:rPr>
        <w:t xml:space="preserve"> </w:t>
      </w:r>
    </w:p>
    <w:p w14:paraId="5EE815B1" w14:textId="77777777" w:rsidR="00C91FAD" w:rsidRDefault="00D225DC">
      <w:pPr>
        <w:numPr>
          <w:ilvl w:val="0"/>
          <w:numId w:val="2"/>
        </w:numPr>
        <w:spacing w:after="4" w:line="335" w:lineRule="auto"/>
        <w:ind w:right="4" w:hanging="720"/>
      </w:pPr>
      <w:r>
        <w:rPr>
          <w:rFonts w:ascii="Arial" w:eastAsia="Arial" w:hAnsi="Arial" w:cs="Arial"/>
          <w:sz w:val="24"/>
        </w:rPr>
        <w:t xml:space="preserve">The person lacks capacity to make the specific decision, and there is no one independent of services, such as a family member or friend who is ‘appropriate to consult’. </w:t>
      </w:r>
    </w:p>
    <w:p w14:paraId="08951D04" w14:textId="77777777" w:rsidR="00C91FAD" w:rsidRDefault="00D225DC">
      <w:pPr>
        <w:spacing w:after="74"/>
      </w:pPr>
      <w:r>
        <w:rPr>
          <w:rFonts w:ascii="Arial" w:eastAsia="Arial" w:hAnsi="Arial" w:cs="Arial"/>
          <w:sz w:val="24"/>
        </w:rPr>
        <w:t xml:space="preserve"> </w:t>
      </w:r>
    </w:p>
    <w:p w14:paraId="5B86E3A4" w14:textId="77777777" w:rsidR="00C91FAD" w:rsidRDefault="00D225DC">
      <w:pPr>
        <w:spacing w:after="4" w:line="335" w:lineRule="auto"/>
        <w:ind w:left="-5" w:right="4" w:hanging="10"/>
      </w:pPr>
      <w:r>
        <w:rPr>
          <w:rFonts w:ascii="Arial" w:eastAsia="Arial" w:hAnsi="Arial" w:cs="Arial"/>
          <w:sz w:val="24"/>
        </w:rPr>
        <w:t xml:space="preserve">In Lincolnshire, Total Voice provide the IMCA service, information is available here: </w:t>
      </w:r>
      <w:hyperlink r:id="rId8">
        <w:r>
          <w:rPr>
            <w:rFonts w:ascii="Arial" w:eastAsia="Arial" w:hAnsi="Arial" w:cs="Arial"/>
            <w:color w:val="0000FF"/>
            <w:sz w:val="24"/>
            <w:u w:val="single" w:color="0000FF"/>
          </w:rPr>
          <w:t>http://www.totalvoicelincolnshire.org/</w:t>
        </w:r>
      </w:hyperlink>
      <w:hyperlink r:id="rId9">
        <w:r>
          <w:rPr>
            <w:rFonts w:ascii="Arial" w:eastAsia="Arial" w:hAnsi="Arial" w:cs="Arial"/>
            <w:sz w:val="24"/>
          </w:rPr>
          <w:t xml:space="preserve"> </w:t>
        </w:r>
      </w:hyperlink>
    </w:p>
    <w:p w14:paraId="60D7E577" w14:textId="77777777" w:rsidR="00C91FAD" w:rsidRDefault="00D225DC">
      <w:pPr>
        <w:spacing w:after="198"/>
      </w:pPr>
      <w:r>
        <w:rPr>
          <w:rFonts w:ascii="Arial" w:eastAsia="Arial" w:hAnsi="Arial" w:cs="Arial"/>
          <w:sz w:val="24"/>
        </w:rPr>
        <w:t xml:space="preserve"> </w:t>
      </w:r>
    </w:p>
    <w:p w14:paraId="31D624C2" w14:textId="0C03515E" w:rsidR="00C91FAD" w:rsidRDefault="000130E0">
      <w:pPr>
        <w:pStyle w:val="Heading1"/>
        <w:ind w:left="355"/>
      </w:pPr>
      <w:bookmarkStart w:id="5" w:name="_Toc60746"/>
      <w:r>
        <w:t>5</w:t>
      </w:r>
      <w:r w:rsidR="00D225DC">
        <w:t xml:space="preserve">. Documentation </w:t>
      </w:r>
      <w:bookmarkEnd w:id="5"/>
    </w:p>
    <w:p w14:paraId="7F4CFD77" w14:textId="77777777" w:rsidR="00C91FAD" w:rsidRDefault="00D225DC">
      <w:pPr>
        <w:spacing w:after="74"/>
      </w:pPr>
      <w:r>
        <w:rPr>
          <w:rFonts w:ascii="Arial" w:eastAsia="Arial" w:hAnsi="Arial" w:cs="Arial"/>
          <w:sz w:val="24"/>
        </w:rPr>
        <w:t xml:space="preserve"> </w:t>
      </w:r>
    </w:p>
    <w:p w14:paraId="47A4BA03" w14:textId="4D337C48" w:rsidR="00C91FAD" w:rsidRDefault="00D225DC">
      <w:pPr>
        <w:spacing w:after="4" w:line="335" w:lineRule="auto"/>
        <w:ind w:left="-5" w:right="4" w:hanging="10"/>
      </w:pPr>
      <w:r>
        <w:rPr>
          <w:rFonts w:ascii="Arial" w:eastAsia="Arial" w:hAnsi="Arial" w:cs="Arial"/>
          <w:sz w:val="24"/>
        </w:rPr>
        <w:t xml:space="preserve">For significant procedures, it is essential for </w:t>
      </w:r>
      <w:r w:rsidR="000130E0">
        <w:rPr>
          <w:rFonts w:ascii="Arial" w:eastAsia="Arial" w:hAnsi="Arial" w:cs="Arial"/>
          <w:sz w:val="24"/>
        </w:rPr>
        <w:t>practitioners</w:t>
      </w:r>
      <w:r>
        <w:rPr>
          <w:rFonts w:ascii="Arial" w:eastAsia="Arial" w:hAnsi="Arial" w:cs="Arial"/>
          <w:sz w:val="24"/>
        </w:rPr>
        <w:t xml:space="preserve"> to </w:t>
      </w:r>
      <w:proofErr w:type="gramStart"/>
      <w:r>
        <w:rPr>
          <w:rFonts w:ascii="Arial" w:eastAsia="Arial" w:hAnsi="Arial" w:cs="Arial"/>
          <w:sz w:val="24"/>
        </w:rPr>
        <w:t>document clearly</w:t>
      </w:r>
      <w:proofErr w:type="gramEnd"/>
      <w:r>
        <w:rPr>
          <w:rFonts w:ascii="Arial" w:eastAsia="Arial" w:hAnsi="Arial" w:cs="Arial"/>
          <w:sz w:val="24"/>
        </w:rPr>
        <w:t xml:space="preserve"> a patient’s agreement to the intervention. This may be done either through the use of a consent </w:t>
      </w:r>
      <w:proofErr w:type="gramStart"/>
      <w:r>
        <w:rPr>
          <w:rFonts w:ascii="Arial" w:eastAsia="Arial" w:hAnsi="Arial" w:cs="Arial"/>
          <w:sz w:val="24"/>
        </w:rPr>
        <w:t>form  or</w:t>
      </w:r>
      <w:proofErr w:type="gramEnd"/>
      <w:r>
        <w:rPr>
          <w:rFonts w:ascii="Arial" w:eastAsia="Arial" w:hAnsi="Arial" w:cs="Arial"/>
          <w:sz w:val="24"/>
        </w:rPr>
        <w:t xml:space="preserve"> through documenting in the patient’s notes (written or electronic) that they have given verbal consent. </w:t>
      </w:r>
    </w:p>
    <w:p w14:paraId="1580E1A1" w14:textId="77777777" w:rsidR="00C91FAD" w:rsidRDefault="00D225DC">
      <w:pPr>
        <w:spacing w:after="197"/>
      </w:pPr>
      <w:r>
        <w:rPr>
          <w:rFonts w:ascii="Arial" w:eastAsia="Arial" w:hAnsi="Arial" w:cs="Arial"/>
          <w:sz w:val="24"/>
        </w:rPr>
        <w:t xml:space="preserve"> </w:t>
      </w:r>
    </w:p>
    <w:p w14:paraId="0C5C9D7B" w14:textId="2AFBE539" w:rsidR="00C91FAD" w:rsidRDefault="00260C6E">
      <w:pPr>
        <w:pStyle w:val="Heading1"/>
        <w:ind w:left="355"/>
      </w:pPr>
      <w:bookmarkStart w:id="6" w:name="_Toc60747"/>
      <w:r>
        <w:t>6</w:t>
      </w:r>
      <w:r w:rsidR="00D225DC">
        <w:t xml:space="preserve">. Written Consent </w:t>
      </w:r>
      <w:bookmarkEnd w:id="6"/>
    </w:p>
    <w:p w14:paraId="58122FCE" w14:textId="77777777" w:rsidR="00C91FAD" w:rsidRDefault="00D225DC">
      <w:pPr>
        <w:spacing w:after="74"/>
      </w:pPr>
      <w:r>
        <w:rPr>
          <w:rFonts w:ascii="Arial" w:eastAsia="Arial" w:hAnsi="Arial" w:cs="Arial"/>
          <w:sz w:val="24"/>
        </w:rPr>
        <w:t xml:space="preserve"> </w:t>
      </w:r>
    </w:p>
    <w:p w14:paraId="4CC0CD8C" w14:textId="3184B56A" w:rsidR="00C91FAD" w:rsidRDefault="00D225DC">
      <w:pPr>
        <w:spacing w:after="4" w:line="335" w:lineRule="auto"/>
        <w:ind w:left="-5" w:right="4" w:hanging="10"/>
        <w:rPr>
          <w:rFonts w:ascii="Arial" w:eastAsia="Arial" w:hAnsi="Arial" w:cs="Arial"/>
          <w:sz w:val="24"/>
        </w:rPr>
      </w:pPr>
      <w:r>
        <w:rPr>
          <w:rFonts w:ascii="Arial" w:eastAsia="Arial" w:hAnsi="Arial" w:cs="Arial"/>
          <w:sz w:val="24"/>
        </w:rPr>
        <w:t xml:space="preserve">A signature on a form is evidence that the patient has given consent but is not proof of valid consent. If a patient </w:t>
      </w:r>
      <w:r w:rsidR="00BB770C">
        <w:rPr>
          <w:rFonts w:ascii="Arial" w:eastAsia="Arial" w:hAnsi="Arial" w:cs="Arial"/>
          <w:sz w:val="24"/>
        </w:rPr>
        <w:t>receives</w:t>
      </w:r>
      <w:r>
        <w:rPr>
          <w:rFonts w:ascii="Arial" w:eastAsia="Arial" w:hAnsi="Arial" w:cs="Arial"/>
          <w:sz w:val="24"/>
        </w:rPr>
        <w:t xml:space="preserve"> too little information, the consent may not be valid, despite the signature. Patients </w:t>
      </w:r>
      <w:r w:rsidR="00BB770C">
        <w:rPr>
          <w:rFonts w:ascii="Arial" w:eastAsia="Arial" w:hAnsi="Arial" w:cs="Arial"/>
          <w:sz w:val="24"/>
        </w:rPr>
        <w:t>can</w:t>
      </w:r>
      <w:r>
        <w:rPr>
          <w:rFonts w:ascii="Arial" w:eastAsia="Arial" w:hAnsi="Arial" w:cs="Arial"/>
          <w:sz w:val="24"/>
        </w:rPr>
        <w:t xml:space="preserve"> withdraw consent </w:t>
      </w:r>
      <w:r w:rsidR="00BB770C">
        <w:rPr>
          <w:rFonts w:ascii="Arial" w:eastAsia="Arial" w:hAnsi="Arial" w:cs="Arial"/>
          <w:sz w:val="24"/>
        </w:rPr>
        <w:t>at any time before or during a treatment</w:t>
      </w:r>
      <w:r w:rsidR="00413901">
        <w:rPr>
          <w:rFonts w:ascii="Arial" w:eastAsia="Arial" w:hAnsi="Arial" w:cs="Arial"/>
          <w:sz w:val="24"/>
        </w:rPr>
        <w:t xml:space="preserve">, even </w:t>
      </w:r>
      <w:r>
        <w:rPr>
          <w:rFonts w:ascii="Arial" w:eastAsia="Arial" w:hAnsi="Arial" w:cs="Arial"/>
          <w:sz w:val="24"/>
        </w:rPr>
        <w:t>after they have signed a form</w:t>
      </w:r>
      <w:r w:rsidR="00413901">
        <w:rPr>
          <w:rFonts w:ascii="Arial" w:eastAsia="Arial" w:hAnsi="Arial" w:cs="Arial"/>
          <w:sz w:val="24"/>
        </w:rPr>
        <w:t xml:space="preserve"> or given verbal consent</w:t>
      </w:r>
      <w:r>
        <w:rPr>
          <w:rFonts w:ascii="Arial" w:eastAsia="Arial" w:hAnsi="Arial" w:cs="Arial"/>
          <w:sz w:val="24"/>
        </w:rPr>
        <w:t xml:space="preserve">: the signature is evidence of the process of consent-giving, not a binding contract. </w:t>
      </w:r>
    </w:p>
    <w:p w14:paraId="1E25F26E" w14:textId="77777777" w:rsidR="00413901" w:rsidRDefault="00413901">
      <w:pPr>
        <w:spacing w:after="4" w:line="335" w:lineRule="auto"/>
        <w:ind w:left="-5" w:right="4" w:hanging="10"/>
      </w:pPr>
    </w:p>
    <w:p w14:paraId="50D279AB" w14:textId="5558893F" w:rsidR="00C91FAD" w:rsidRDefault="00413901" w:rsidP="00413901">
      <w:pPr>
        <w:spacing w:after="33" w:line="335" w:lineRule="auto"/>
        <w:ind w:left="-5" w:right="4" w:hanging="10"/>
      </w:pPr>
      <w:r>
        <w:rPr>
          <w:rFonts w:ascii="Arial" w:eastAsia="Arial" w:hAnsi="Arial" w:cs="Arial"/>
          <w:sz w:val="24"/>
        </w:rPr>
        <w:t xml:space="preserve">Whilst </w:t>
      </w:r>
      <w:proofErr w:type="gramStart"/>
      <w:r w:rsidR="00D225DC">
        <w:rPr>
          <w:rFonts w:ascii="Arial" w:eastAsia="Arial" w:hAnsi="Arial" w:cs="Arial"/>
          <w:sz w:val="24"/>
        </w:rPr>
        <w:t>It</w:t>
      </w:r>
      <w:proofErr w:type="gramEnd"/>
      <w:r w:rsidR="00D225DC">
        <w:rPr>
          <w:rFonts w:ascii="Arial" w:eastAsia="Arial" w:hAnsi="Arial" w:cs="Arial"/>
          <w:sz w:val="24"/>
        </w:rPr>
        <w:t xml:space="preserve"> is rarely a legal requirement to seek written consent</w:t>
      </w:r>
      <w:r w:rsidR="00A034C6">
        <w:rPr>
          <w:rFonts w:ascii="Arial" w:eastAsia="Arial" w:hAnsi="Arial" w:cs="Arial"/>
          <w:sz w:val="24"/>
        </w:rPr>
        <w:t xml:space="preserve"> or usually necessary to document a patient’s consent to </w:t>
      </w:r>
      <w:r w:rsidR="00373278">
        <w:rPr>
          <w:rFonts w:ascii="Arial" w:eastAsia="Arial" w:hAnsi="Arial" w:cs="Arial"/>
          <w:sz w:val="24"/>
        </w:rPr>
        <w:t>routine/low risk procedures</w:t>
      </w:r>
      <w:r w:rsidR="00D225DC">
        <w:rPr>
          <w:rFonts w:ascii="Arial" w:eastAsia="Arial" w:hAnsi="Arial" w:cs="Arial"/>
          <w:sz w:val="24"/>
        </w:rPr>
        <w:t xml:space="preserve">, it is </w:t>
      </w:r>
      <w:r>
        <w:rPr>
          <w:rFonts w:ascii="Arial" w:eastAsia="Arial" w:hAnsi="Arial" w:cs="Arial"/>
          <w:sz w:val="24"/>
        </w:rPr>
        <w:t xml:space="preserve">considered </w:t>
      </w:r>
      <w:r w:rsidR="00D225DC">
        <w:rPr>
          <w:rFonts w:ascii="Arial" w:eastAsia="Arial" w:hAnsi="Arial" w:cs="Arial"/>
          <w:sz w:val="24"/>
        </w:rPr>
        <w:t xml:space="preserve">good practice </w:t>
      </w:r>
      <w:r>
        <w:rPr>
          <w:rFonts w:ascii="Arial" w:eastAsia="Arial" w:hAnsi="Arial" w:cs="Arial"/>
          <w:sz w:val="24"/>
        </w:rPr>
        <w:t xml:space="preserve">within </w:t>
      </w:r>
      <w:proofErr w:type="spellStart"/>
      <w:r>
        <w:rPr>
          <w:rFonts w:ascii="Arial" w:eastAsia="Arial" w:hAnsi="Arial" w:cs="Arial"/>
          <w:sz w:val="24"/>
        </w:rPr>
        <w:t>SSACLtd</w:t>
      </w:r>
      <w:proofErr w:type="spellEnd"/>
      <w:r>
        <w:rPr>
          <w:rFonts w:ascii="Arial" w:eastAsia="Arial" w:hAnsi="Arial" w:cs="Arial"/>
          <w:sz w:val="24"/>
        </w:rPr>
        <w:t xml:space="preserve"> for all treatments offered.</w:t>
      </w:r>
      <w:r w:rsidR="00D225DC">
        <w:rPr>
          <w:rFonts w:ascii="Arial" w:eastAsia="Arial" w:hAnsi="Arial" w:cs="Arial"/>
          <w:sz w:val="24"/>
        </w:rPr>
        <w:t xml:space="preserve"> </w:t>
      </w:r>
    </w:p>
    <w:p w14:paraId="4370632A" w14:textId="77777777" w:rsidR="00A034C6" w:rsidRDefault="00A034C6">
      <w:pPr>
        <w:spacing w:after="4" w:line="335" w:lineRule="auto"/>
        <w:ind w:left="-5" w:right="4" w:hanging="10"/>
        <w:rPr>
          <w:rFonts w:ascii="Arial" w:eastAsia="Arial" w:hAnsi="Arial" w:cs="Arial"/>
          <w:sz w:val="24"/>
        </w:rPr>
      </w:pPr>
    </w:p>
    <w:p w14:paraId="35927037" w14:textId="5416C0DB" w:rsidR="00C91FAD" w:rsidRDefault="00D225DC">
      <w:pPr>
        <w:spacing w:after="4" w:line="335" w:lineRule="auto"/>
        <w:ind w:left="-5" w:right="4" w:hanging="10"/>
      </w:pPr>
      <w:r>
        <w:rPr>
          <w:rFonts w:ascii="Arial" w:eastAsia="Arial" w:hAnsi="Arial" w:cs="Arial"/>
          <w:sz w:val="24"/>
        </w:rPr>
        <w:t xml:space="preserve">Completed forms </w:t>
      </w:r>
      <w:r w:rsidR="00A034C6">
        <w:rPr>
          <w:rFonts w:ascii="Arial" w:eastAsia="Arial" w:hAnsi="Arial" w:cs="Arial"/>
          <w:sz w:val="24"/>
        </w:rPr>
        <w:t xml:space="preserve">are kept on an external database, a copy emailed to the patient.  </w:t>
      </w:r>
    </w:p>
    <w:p w14:paraId="16C232E6" w14:textId="717BBB91" w:rsidR="00C91FAD" w:rsidRDefault="00D225DC" w:rsidP="00373278">
      <w:pPr>
        <w:spacing w:after="114"/>
      </w:pPr>
      <w:r>
        <w:rPr>
          <w:rFonts w:ascii="Arial" w:eastAsia="Arial" w:hAnsi="Arial" w:cs="Arial"/>
          <w:sz w:val="24"/>
        </w:rPr>
        <w:t xml:space="preserve"> </w:t>
      </w:r>
    </w:p>
    <w:p w14:paraId="33275EC6" w14:textId="1307F7AB" w:rsidR="00C91FAD" w:rsidRDefault="00373278">
      <w:pPr>
        <w:pStyle w:val="Heading1"/>
        <w:ind w:left="705" w:hanging="360"/>
      </w:pPr>
      <w:bookmarkStart w:id="7" w:name="_Toc60748"/>
      <w:r>
        <w:t>7</w:t>
      </w:r>
      <w:r w:rsidR="00D225DC">
        <w:t xml:space="preserve">. Procedures to follow when patients lack capacity to give or withhold consent </w:t>
      </w:r>
      <w:bookmarkEnd w:id="7"/>
    </w:p>
    <w:p w14:paraId="086B94C5" w14:textId="77777777" w:rsidR="00C91FAD" w:rsidRDefault="00D225DC">
      <w:pPr>
        <w:spacing w:after="74"/>
      </w:pPr>
      <w:r>
        <w:rPr>
          <w:rFonts w:ascii="Arial" w:eastAsia="Arial" w:hAnsi="Arial" w:cs="Arial"/>
          <w:sz w:val="24"/>
        </w:rPr>
        <w:t xml:space="preserve"> </w:t>
      </w:r>
    </w:p>
    <w:p w14:paraId="2236FDF2" w14:textId="53A7F721" w:rsidR="00C91FAD" w:rsidRDefault="00D225DC">
      <w:pPr>
        <w:spacing w:after="4" w:line="335" w:lineRule="auto"/>
        <w:ind w:left="-5" w:right="4" w:hanging="10"/>
      </w:pPr>
      <w:r>
        <w:rPr>
          <w:rFonts w:ascii="Arial" w:eastAsia="Arial" w:hAnsi="Arial" w:cs="Arial"/>
          <w:sz w:val="24"/>
        </w:rPr>
        <w:lastRenderedPageBreak/>
        <w:t xml:space="preserve">Where an adult patient does not have the capacity to give or withhold consent to a significant intervention, </w:t>
      </w:r>
      <w:r w:rsidR="0065619B">
        <w:rPr>
          <w:rFonts w:ascii="Arial" w:eastAsia="Arial" w:hAnsi="Arial" w:cs="Arial"/>
          <w:sz w:val="24"/>
        </w:rPr>
        <w:t>t</w:t>
      </w:r>
      <w:r>
        <w:rPr>
          <w:rFonts w:ascii="Arial" w:eastAsia="Arial" w:hAnsi="Arial" w:cs="Arial"/>
          <w:sz w:val="24"/>
        </w:rPr>
        <w:t xml:space="preserve">he </w:t>
      </w:r>
      <w:r w:rsidR="0065619B">
        <w:rPr>
          <w:rFonts w:ascii="Arial" w:eastAsia="Arial" w:hAnsi="Arial" w:cs="Arial"/>
          <w:sz w:val="24"/>
        </w:rPr>
        <w:t xml:space="preserve">patient records should indicate why </w:t>
      </w:r>
      <w:r>
        <w:rPr>
          <w:rFonts w:ascii="Arial" w:eastAsia="Arial" w:hAnsi="Arial" w:cs="Arial"/>
          <w:sz w:val="24"/>
        </w:rPr>
        <w:t xml:space="preserve">the health professional believes the treatment to be in the patient’s best interests, and the involvement of people close to the patient, or Independent Mental Capacity Advocate (IMCA) where appropriate. </w:t>
      </w:r>
      <w:r w:rsidR="00697774">
        <w:rPr>
          <w:rFonts w:ascii="Arial" w:eastAsia="Arial" w:hAnsi="Arial" w:cs="Arial"/>
          <w:sz w:val="24"/>
        </w:rPr>
        <w:t xml:space="preserve">In general terms, the expectation of the director within </w:t>
      </w:r>
      <w:proofErr w:type="spellStart"/>
      <w:r w:rsidR="00697774">
        <w:rPr>
          <w:rFonts w:ascii="Arial" w:eastAsia="Arial" w:hAnsi="Arial" w:cs="Arial"/>
          <w:sz w:val="24"/>
        </w:rPr>
        <w:t>SSACLtd</w:t>
      </w:r>
      <w:proofErr w:type="spellEnd"/>
      <w:r w:rsidR="00697774">
        <w:rPr>
          <w:rFonts w:ascii="Arial" w:eastAsia="Arial" w:hAnsi="Arial" w:cs="Arial"/>
          <w:sz w:val="24"/>
        </w:rPr>
        <w:t xml:space="preserve"> would be to direct the patient/family/carers to primary care.</w:t>
      </w:r>
      <w:r>
        <w:rPr>
          <w:rFonts w:ascii="Arial" w:eastAsia="Arial" w:hAnsi="Arial" w:cs="Arial"/>
          <w:sz w:val="24"/>
        </w:rPr>
        <w:t xml:space="preserve"> </w:t>
      </w:r>
    </w:p>
    <w:p w14:paraId="32958740" w14:textId="1A51329F" w:rsidR="00C91FAD" w:rsidRDefault="00D225DC" w:rsidP="0065619B">
      <w:pPr>
        <w:spacing w:after="74"/>
      </w:pPr>
      <w:r>
        <w:rPr>
          <w:rFonts w:ascii="Arial" w:eastAsia="Arial" w:hAnsi="Arial" w:cs="Arial"/>
          <w:sz w:val="24"/>
        </w:rPr>
        <w:t xml:space="preserve"> </w:t>
      </w:r>
    </w:p>
    <w:p w14:paraId="4A4EF5EA" w14:textId="77777777" w:rsidR="00C91FAD" w:rsidRDefault="00D225DC">
      <w:pPr>
        <w:spacing w:after="76"/>
      </w:pPr>
      <w:r>
        <w:rPr>
          <w:rFonts w:ascii="Arial" w:eastAsia="Arial" w:hAnsi="Arial" w:cs="Arial"/>
          <w:b/>
          <w:sz w:val="24"/>
        </w:rPr>
        <w:t xml:space="preserve"> </w:t>
      </w:r>
    </w:p>
    <w:p w14:paraId="523D00D3" w14:textId="77777777" w:rsidR="00C91FAD" w:rsidRDefault="00D225DC">
      <w:pPr>
        <w:pStyle w:val="Heading2"/>
        <w:ind w:left="-5"/>
      </w:pPr>
      <w:r>
        <w:t xml:space="preserve">Single stage process </w:t>
      </w:r>
    </w:p>
    <w:p w14:paraId="0955914C" w14:textId="77777777" w:rsidR="00C91FAD" w:rsidRDefault="00D225DC">
      <w:pPr>
        <w:spacing w:after="74"/>
      </w:pPr>
      <w:r>
        <w:rPr>
          <w:rFonts w:ascii="Arial" w:eastAsia="Arial" w:hAnsi="Arial" w:cs="Arial"/>
          <w:sz w:val="24"/>
        </w:rPr>
        <w:t xml:space="preserve"> </w:t>
      </w:r>
    </w:p>
    <w:p w14:paraId="4680B92D" w14:textId="0696C03E" w:rsidR="00C91FAD" w:rsidRDefault="00D225DC" w:rsidP="00697774">
      <w:pPr>
        <w:spacing w:after="4" w:line="335" w:lineRule="auto"/>
        <w:ind w:left="-5" w:right="4" w:hanging="10"/>
      </w:pPr>
      <w:r>
        <w:rPr>
          <w:rFonts w:ascii="Arial" w:eastAsia="Arial" w:hAnsi="Arial" w:cs="Arial"/>
          <w:sz w:val="24"/>
        </w:rPr>
        <w:t>In many cases, it will be appropriate for a health professional to initiate a procedure immediately after discussing it with the patient</w:t>
      </w:r>
      <w:r w:rsidR="00697774">
        <w:rPr>
          <w:rFonts w:ascii="Arial" w:eastAsia="Arial" w:hAnsi="Arial" w:cs="Arial"/>
          <w:sz w:val="24"/>
        </w:rPr>
        <w:t xml:space="preserve"> and this is the case with </w:t>
      </w:r>
      <w:proofErr w:type="gramStart"/>
      <w:r w:rsidR="00697774">
        <w:rPr>
          <w:rFonts w:ascii="Arial" w:eastAsia="Arial" w:hAnsi="Arial" w:cs="Arial"/>
          <w:sz w:val="24"/>
        </w:rPr>
        <w:t>the majority of</w:t>
      </w:r>
      <w:proofErr w:type="gramEnd"/>
      <w:r w:rsidR="00697774">
        <w:rPr>
          <w:rFonts w:ascii="Arial" w:eastAsia="Arial" w:hAnsi="Arial" w:cs="Arial"/>
          <w:sz w:val="24"/>
        </w:rPr>
        <w:t xml:space="preserve"> interventions within </w:t>
      </w:r>
      <w:proofErr w:type="spellStart"/>
      <w:r w:rsidR="00697774">
        <w:rPr>
          <w:rFonts w:ascii="Arial" w:eastAsia="Arial" w:hAnsi="Arial" w:cs="Arial"/>
          <w:sz w:val="24"/>
        </w:rPr>
        <w:t>SSACLtd</w:t>
      </w:r>
      <w:proofErr w:type="spellEnd"/>
      <w:r w:rsidR="00697774">
        <w:rPr>
          <w:rFonts w:ascii="Arial" w:eastAsia="Arial" w:hAnsi="Arial" w:cs="Arial"/>
          <w:sz w:val="24"/>
        </w:rPr>
        <w:t>.</w:t>
      </w:r>
    </w:p>
    <w:p w14:paraId="534CD6B4" w14:textId="77777777" w:rsidR="00C91FAD" w:rsidRDefault="00D225DC">
      <w:pPr>
        <w:spacing w:after="74"/>
      </w:pPr>
      <w:r>
        <w:rPr>
          <w:rFonts w:ascii="Arial" w:eastAsia="Arial" w:hAnsi="Arial" w:cs="Arial"/>
          <w:sz w:val="24"/>
        </w:rPr>
        <w:t xml:space="preserve"> </w:t>
      </w:r>
    </w:p>
    <w:p w14:paraId="45D58BAF" w14:textId="77777777" w:rsidR="00C91FAD" w:rsidRDefault="00D225DC">
      <w:pPr>
        <w:pStyle w:val="Heading2"/>
        <w:ind w:left="-5"/>
      </w:pPr>
      <w:r>
        <w:t xml:space="preserve">Two or more stage process </w:t>
      </w:r>
    </w:p>
    <w:p w14:paraId="2C5C9FAD" w14:textId="77777777" w:rsidR="00C91FAD" w:rsidRDefault="00D225DC">
      <w:pPr>
        <w:spacing w:after="76"/>
      </w:pPr>
      <w:r>
        <w:rPr>
          <w:rFonts w:ascii="Arial" w:eastAsia="Arial" w:hAnsi="Arial" w:cs="Arial"/>
          <w:sz w:val="24"/>
        </w:rPr>
        <w:t xml:space="preserve"> </w:t>
      </w:r>
    </w:p>
    <w:p w14:paraId="29B7D4D4" w14:textId="77777777" w:rsidR="00A023B0" w:rsidRDefault="00D225DC">
      <w:pPr>
        <w:spacing w:after="4" w:line="335" w:lineRule="auto"/>
        <w:ind w:left="-5" w:right="4" w:hanging="10"/>
        <w:rPr>
          <w:rFonts w:ascii="Arial" w:eastAsia="Arial" w:hAnsi="Arial" w:cs="Arial"/>
          <w:sz w:val="24"/>
        </w:rPr>
      </w:pPr>
      <w:r>
        <w:rPr>
          <w:rFonts w:ascii="Arial" w:eastAsia="Arial" w:hAnsi="Arial" w:cs="Arial"/>
          <w:sz w:val="24"/>
        </w:rPr>
        <w:t xml:space="preserve">In </w:t>
      </w:r>
      <w:r w:rsidR="00697774">
        <w:rPr>
          <w:rFonts w:ascii="Arial" w:eastAsia="Arial" w:hAnsi="Arial" w:cs="Arial"/>
          <w:sz w:val="24"/>
        </w:rPr>
        <w:t>some</w:t>
      </w:r>
      <w:r>
        <w:rPr>
          <w:rFonts w:ascii="Arial" w:eastAsia="Arial" w:hAnsi="Arial" w:cs="Arial"/>
          <w:sz w:val="24"/>
        </w:rPr>
        <w:t xml:space="preserve"> </w:t>
      </w:r>
      <w:proofErr w:type="gramStart"/>
      <w:r>
        <w:rPr>
          <w:rFonts w:ascii="Arial" w:eastAsia="Arial" w:hAnsi="Arial" w:cs="Arial"/>
          <w:sz w:val="24"/>
        </w:rPr>
        <w:t>cases</w:t>
      </w:r>
      <w:proofErr w:type="gramEnd"/>
      <w:r>
        <w:rPr>
          <w:rFonts w:ascii="Arial" w:eastAsia="Arial" w:hAnsi="Arial" w:cs="Arial"/>
          <w:sz w:val="24"/>
        </w:rPr>
        <w:t xml:space="preserve"> </w:t>
      </w:r>
      <w:proofErr w:type="spellStart"/>
      <w:r w:rsidR="00697774">
        <w:rPr>
          <w:rFonts w:ascii="Arial" w:eastAsia="Arial" w:hAnsi="Arial" w:cs="Arial"/>
          <w:sz w:val="24"/>
        </w:rPr>
        <w:t>eg</w:t>
      </w:r>
      <w:proofErr w:type="spellEnd"/>
      <w:r w:rsidR="00697774">
        <w:rPr>
          <w:rFonts w:ascii="Arial" w:eastAsia="Arial" w:hAnsi="Arial" w:cs="Arial"/>
          <w:sz w:val="24"/>
        </w:rPr>
        <w:t xml:space="preserve"> </w:t>
      </w:r>
      <w:r w:rsidR="00A52F89">
        <w:rPr>
          <w:rFonts w:ascii="Arial" w:eastAsia="Arial" w:hAnsi="Arial" w:cs="Arial"/>
          <w:sz w:val="24"/>
        </w:rPr>
        <w:t>administration of botulinum toxin for cosmetic purposes</w:t>
      </w:r>
      <w:r w:rsidR="006058FA">
        <w:rPr>
          <w:rFonts w:ascii="Arial" w:eastAsia="Arial" w:hAnsi="Arial" w:cs="Arial"/>
          <w:sz w:val="24"/>
        </w:rPr>
        <w:t>,</w:t>
      </w:r>
      <w:r w:rsidR="00A52F89">
        <w:rPr>
          <w:rFonts w:ascii="Arial" w:eastAsia="Arial" w:hAnsi="Arial" w:cs="Arial"/>
          <w:sz w:val="24"/>
        </w:rPr>
        <w:t xml:space="preserve"> a consultation is carried out </w:t>
      </w:r>
      <w:r w:rsidR="006058FA">
        <w:rPr>
          <w:rFonts w:ascii="Arial" w:eastAsia="Arial" w:hAnsi="Arial" w:cs="Arial"/>
          <w:sz w:val="24"/>
        </w:rPr>
        <w:t xml:space="preserve">on a separate day to treatment.  This </w:t>
      </w:r>
      <w:r w:rsidR="00A023B0">
        <w:rPr>
          <w:rFonts w:ascii="Arial" w:eastAsia="Arial" w:hAnsi="Arial" w:cs="Arial"/>
          <w:sz w:val="24"/>
        </w:rPr>
        <w:t>ensures:</w:t>
      </w:r>
    </w:p>
    <w:p w14:paraId="387004B6" w14:textId="77777777" w:rsidR="00A023B0" w:rsidRDefault="00A52F89" w:rsidP="00A023B0">
      <w:pPr>
        <w:spacing w:after="4" w:line="335" w:lineRule="auto"/>
        <w:ind w:left="-5" w:right="4" w:firstLine="725"/>
        <w:rPr>
          <w:rFonts w:ascii="Arial" w:eastAsia="Arial" w:hAnsi="Arial" w:cs="Arial"/>
          <w:sz w:val="24"/>
        </w:rPr>
      </w:pPr>
      <w:r>
        <w:rPr>
          <w:rFonts w:ascii="Arial" w:eastAsia="Arial" w:hAnsi="Arial" w:cs="Arial"/>
          <w:sz w:val="24"/>
        </w:rPr>
        <w:t xml:space="preserve">a </w:t>
      </w:r>
      <w:proofErr w:type="gramStart"/>
      <w:r>
        <w:rPr>
          <w:rFonts w:ascii="Arial" w:eastAsia="Arial" w:hAnsi="Arial" w:cs="Arial"/>
          <w:sz w:val="24"/>
        </w:rPr>
        <w:t>face to face</w:t>
      </w:r>
      <w:proofErr w:type="gramEnd"/>
      <w:r>
        <w:rPr>
          <w:rFonts w:ascii="Arial" w:eastAsia="Arial" w:hAnsi="Arial" w:cs="Arial"/>
          <w:sz w:val="24"/>
        </w:rPr>
        <w:t xml:space="preserve"> assessment is completed </w:t>
      </w:r>
      <w:r w:rsidR="006058FA">
        <w:rPr>
          <w:rFonts w:ascii="Arial" w:eastAsia="Arial" w:hAnsi="Arial" w:cs="Arial"/>
          <w:sz w:val="24"/>
        </w:rPr>
        <w:t xml:space="preserve">as required by the NMC </w:t>
      </w:r>
      <w:r w:rsidR="00A023B0">
        <w:rPr>
          <w:rFonts w:ascii="Arial" w:eastAsia="Arial" w:hAnsi="Arial" w:cs="Arial"/>
          <w:sz w:val="24"/>
        </w:rPr>
        <w:t>to allow for the issuing of a prescription for the medication</w:t>
      </w:r>
    </w:p>
    <w:p w14:paraId="16CFC13C" w14:textId="77777777" w:rsidR="007F6B95" w:rsidRDefault="00A023B0" w:rsidP="00A023B0">
      <w:pPr>
        <w:spacing w:after="4" w:line="335" w:lineRule="auto"/>
        <w:ind w:left="-5" w:right="4" w:firstLine="725"/>
        <w:rPr>
          <w:rFonts w:ascii="Arial" w:eastAsia="Arial" w:hAnsi="Arial" w:cs="Arial"/>
          <w:sz w:val="24"/>
        </w:rPr>
      </w:pPr>
      <w:r>
        <w:rPr>
          <w:rFonts w:ascii="Arial" w:eastAsia="Arial" w:hAnsi="Arial" w:cs="Arial"/>
          <w:sz w:val="24"/>
        </w:rPr>
        <w:t xml:space="preserve">a ‘cooling off period’ is </w:t>
      </w:r>
      <w:r w:rsidR="007F6B95">
        <w:rPr>
          <w:rFonts w:ascii="Arial" w:eastAsia="Arial" w:hAnsi="Arial" w:cs="Arial"/>
          <w:sz w:val="24"/>
        </w:rPr>
        <w:t xml:space="preserve">given to allow the client to change their </w:t>
      </w:r>
      <w:proofErr w:type="gramStart"/>
      <w:r w:rsidR="007F6B95">
        <w:rPr>
          <w:rFonts w:ascii="Arial" w:eastAsia="Arial" w:hAnsi="Arial" w:cs="Arial"/>
          <w:sz w:val="24"/>
        </w:rPr>
        <w:t>mind</w:t>
      </w:r>
      <w:proofErr w:type="gramEnd"/>
    </w:p>
    <w:p w14:paraId="78668749" w14:textId="6F7A20B8" w:rsidR="00C91FAD" w:rsidRDefault="00D225DC" w:rsidP="007F6B95">
      <w:pPr>
        <w:spacing w:after="4" w:line="335" w:lineRule="auto"/>
        <w:ind w:right="4"/>
      </w:pPr>
      <w:r>
        <w:rPr>
          <w:rFonts w:ascii="Arial" w:eastAsia="Arial" w:hAnsi="Arial" w:cs="Arial"/>
          <w:sz w:val="24"/>
        </w:rPr>
        <w:t xml:space="preserve">The consent process will therefore have at least two stages: the first being the provision of information, discussion of options and initial (oral) decision, and the second being confirmation that the patient still wants to go ahead. </w:t>
      </w:r>
    </w:p>
    <w:p w14:paraId="1060FAC0" w14:textId="77777777" w:rsidR="00C91FAD" w:rsidRDefault="00D225DC">
      <w:pPr>
        <w:spacing w:after="74"/>
      </w:pPr>
      <w:r>
        <w:rPr>
          <w:rFonts w:ascii="Arial" w:eastAsia="Arial" w:hAnsi="Arial" w:cs="Arial"/>
          <w:sz w:val="24"/>
        </w:rPr>
        <w:t xml:space="preserve"> </w:t>
      </w:r>
    </w:p>
    <w:p w14:paraId="1E4B254B" w14:textId="01353E51" w:rsidR="00C91FAD" w:rsidRDefault="00C91FAD">
      <w:pPr>
        <w:spacing w:after="74"/>
      </w:pPr>
    </w:p>
    <w:p w14:paraId="04F47C94" w14:textId="77777777" w:rsidR="00C91FAD" w:rsidRDefault="00D225DC">
      <w:pPr>
        <w:pStyle w:val="Heading2"/>
        <w:ind w:left="-5"/>
      </w:pPr>
      <w:r>
        <w:t xml:space="preserve">Emergencies </w:t>
      </w:r>
    </w:p>
    <w:p w14:paraId="325BDB7C" w14:textId="77777777" w:rsidR="00C91FAD" w:rsidRDefault="00D225DC">
      <w:pPr>
        <w:spacing w:after="74"/>
      </w:pPr>
      <w:r>
        <w:rPr>
          <w:rFonts w:ascii="Arial" w:eastAsia="Arial" w:hAnsi="Arial" w:cs="Arial"/>
          <w:sz w:val="24"/>
        </w:rPr>
        <w:t xml:space="preserve"> </w:t>
      </w:r>
    </w:p>
    <w:p w14:paraId="08FFF3D9" w14:textId="1AC60E7E" w:rsidR="00C91FAD" w:rsidRDefault="00356290">
      <w:pPr>
        <w:spacing w:after="4" w:line="335" w:lineRule="auto"/>
        <w:ind w:left="-5" w:right="4" w:hanging="10"/>
      </w:pPr>
      <w:r>
        <w:rPr>
          <w:rFonts w:ascii="Arial" w:eastAsia="Arial" w:hAnsi="Arial" w:cs="Arial"/>
          <w:sz w:val="24"/>
        </w:rPr>
        <w:t xml:space="preserve">On rare occasions </w:t>
      </w:r>
      <w:r w:rsidR="00790EFD">
        <w:rPr>
          <w:rFonts w:ascii="Arial" w:eastAsia="Arial" w:hAnsi="Arial" w:cs="Arial"/>
          <w:sz w:val="24"/>
        </w:rPr>
        <w:t xml:space="preserve">emergencies may occur </w:t>
      </w:r>
      <w:proofErr w:type="spellStart"/>
      <w:proofErr w:type="gramStart"/>
      <w:r w:rsidR="00790EFD">
        <w:rPr>
          <w:rFonts w:ascii="Arial" w:eastAsia="Arial" w:hAnsi="Arial" w:cs="Arial"/>
          <w:sz w:val="24"/>
        </w:rPr>
        <w:t>eg</w:t>
      </w:r>
      <w:proofErr w:type="spellEnd"/>
      <w:proofErr w:type="gramEnd"/>
      <w:r w:rsidR="00790EFD">
        <w:rPr>
          <w:rFonts w:ascii="Arial" w:eastAsia="Arial" w:hAnsi="Arial" w:cs="Arial"/>
          <w:sz w:val="24"/>
        </w:rPr>
        <w:t xml:space="preserve"> anaphylaxis or vascular occlusion and</w:t>
      </w:r>
      <w:r w:rsidR="00893A46">
        <w:rPr>
          <w:rFonts w:ascii="Arial" w:eastAsia="Arial" w:hAnsi="Arial" w:cs="Arial"/>
          <w:sz w:val="24"/>
        </w:rPr>
        <w:t xml:space="preserve"> </w:t>
      </w:r>
      <w:r w:rsidR="00D225DC">
        <w:rPr>
          <w:rFonts w:ascii="Arial" w:eastAsia="Arial" w:hAnsi="Arial" w:cs="Arial"/>
          <w:sz w:val="24"/>
        </w:rPr>
        <w:t xml:space="preserve">the two stages (discussion of options and confirmation that the patient wishes to go ahead) will follow straight on from each other, and it may </w:t>
      </w:r>
      <w:r w:rsidR="00893A46">
        <w:rPr>
          <w:rFonts w:ascii="Arial" w:eastAsia="Arial" w:hAnsi="Arial" w:cs="Arial"/>
          <w:sz w:val="24"/>
        </w:rPr>
        <w:t>be</w:t>
      </w:r>
      <w:r w:rsidR="00D225DC">
        <w:rPr>
          <w:rFonts w:ascii="Arial" w:eastAsia="Arial" w:hAnsi="Arial" w:cs="Arial"/>
          <w:sz w:val="24"/>
        </w:rPr>
        <w:t xml:space="preserve"> </w:t>
      </w:r>
      <w:r w:rsidR="00893A46">
        <w:rPr>
          <w:rFonts w:ascii="Arial" w:eastAsia="Arial" w:hAnsi="Arial" w:cs="Arial"/>
          <w:sz w:val="24"/>
        </w:rPr>
        <w:t>in</w:t>
      </w:r>
      <w:r w:rsidR="00D225DC">
        <w:rPr>
          <w:rFonts w:ascii="Arial" w:eastAsia="Arial" w:hAnsi="Arial" w:cs="Arial"/>
          <w:sz w:val="24"/>
        </w:rPr>
        <w:t xml:space="preserve">appropriate to </w:t>
      </w:r>
      <w:r w:rsidR="00893A46">
        <w:rPr>
          <w:rFonts w:ascii="Arial" w:eastAsia="Arial" w:hAnsi="Arial" w:cs="Arial"/>
          <w:sz w:val="24"/>
        </w:rPr>
        <w:t xml:space="preserve">gather written </w:t>
      </w:r>
      <w:r w:rsidR="00722632">
        <w:rPr>
          <w:rFonts w:ascii="Arial" w:eastAsia="Arial" w:hAnsi="Arial" w:cs="Arial"/>
          <w:sz w:val="24"/>
        </w:rPr>
        <w:t xml:space="preserve">or verbal </w:t>
      </w:r>
      <w:r w:rsidR="00D225DC">
        <w:rPr>
          <w:rFonts w:ascii="Arial" w:eastAsia="Arial" w:hAnsi="Arial" w:cs="Arial"/>
          <w:sz w:val="24"/>
        </w:rPr>
        <w:t>consent</w:t>
      </w:r>
      <w:r w:rsidR="00722632">
        <w:rPr>
          <w:rFonts w:ascii="Arial" w:eastAsia="Arial" w:hAnsi="Arial" w:cs="Arial"/>
          <w:sz w:val="24"/>
        </w:rPr>
        <w:t xml:space="preserve"> and treatment should commence immediately.  </w:t>
      </w:r>
      <w:r w:rsidR="00D225DC">
        <w:rPr>
          <w:rFonts w:ascii="Arial" w:eastAsia="Arial" w:hAnsi="Arial" w:cs="Arial"/>
          <w:sz w:val="24"/>
        </w:rPr>
        <w:t>The urgency of the patient’s situation may limit the quantity of information that they can be given but should not affect its quality.</w:t>
      </w:r>
    </w:p>
    <w:p w14:paraId="5E3A9077" w14:textId="77777777" w:rsidR="00C91FAD" w:rsidRDefault="00D225DC">
      <w:pPr>
        <w:spacing w:after="77"/>
      </w:pPr>
      <w:r>
        <w:rPr>
          <w:rFonts w:ascii="Arial" w:eastAsia="Arial" w:hAnsi="Arial" w:cs="Arial"/>
          <w:sz w:val="24"/>
        </w:rPr>
        <w:t xml:space="preserve"> </w:t>
      </w:r>
    </w:p>
    <w:p w14:paraId="07C50DC2" w14:textId="77777777" w:rsidR="00C91FAD" w:rsidRDefault="00D225DC">
      <w:pPr>
        <w:pStyle w:val="Heading2"/>
        <w:ind w:left="-5"/>
      </w:pPr>
      <w:r>
        <w:t xml:space="preserve">Children under 16 </w:t>
      </w:r>
    </w:p>
    <w:p w14:paraId="2DAD8DDD" w14:textId="77777777" w:rsidR="00C91FAD" w:rsidRDefault="00D225DC">
      <w:pPr>
        <w:spacing w:after="74"/>
      </w:pPr>
      <w:r>
        <w:rPr>
          <w:rFonts w:ascii="Arial" w:eastAsia="Arial" w:hAnsi="Arial" w:cs="Arial"/>
          <w:sz w:val="24"/>
        </w:rPr>
        <w:t xml:space="preserve"> </w:t>
      </w:r>
    </w:p>
    <w:p w14:paraId="07777734" w14:textId="50396B84" w:rsidR="00C91FAD" w:rsidRDefault="00722632">
      <w:pPr>
        <w:spacing w:after="197"/>
      </w:pPr>
      <w:r>
        <w:rPr>
          <w:rFonts w:ascii="Arial" w:eastAsia="Arial" w:hAnsi="Arial" w:cs="Arial"/>
          <w:sz w:val="24"/>
        </w:rPr>
        <w:lastRenderedPageBreak/>
        <w:t xml:space="preserve">Medical treatment for anyone under 18 is not provided with </w:t>
      </w:r>
      <w:proofErr w:type="spellStart"/>
      <w:r>
        <w:rPr>
          <w:rFonts w:ascii="Arial" w:eastAsia="Arial" w:hAnsi="Arial" w:cs="Arial"/>
          <w:sz w:val="24"/>
        </w:rPr>
        <w:t>SSACLtd</w:t>
      </w:r>
      <w:proofErr w:type="spellEnd"/>
      <w:r>
        <w:rPr>
          <w:rFonts w:ascii="Arial" w:eastAsia="Arial" w:hAnsi="Arial" w:cs="Arial"/>
          <w:sz w:val="24"/>
        </w:rPr>
        <w:t xml:space="preserve">.  </w:t>
      </w:r>
      <w:r w:rsidR="0064482B">
        <w:rPr>
          <w:rFonts w:ascii="Arial" w:eastAsia="Arial" w:hAnsi="Arial" w:cs="Arial"/>
          <w:sz w:val="24"/>
        </w:rPr>
        <w:t xml:space="preserve">Cosmetic aesthetic treatment is not </w:t>
      </w:r>
      <w:r w:rsidR="00155B7C">
        <w:rPr>
          <w:rFonts w:ascii="Arial" w:eastAsia="Arial" w:hAnsi="Arial" w:cs="Arial"/>
          <w:sz w:val="24"/>
        </w:rPr>
        <w:t>provided to anyone under 18 to comply with legislation.</w:t>
      </w:r>
    </w:p>
    <w:p w14:paraId="0D24C848" w14:textId="77777777" w:rsidR="00C91FAD" w:rsidRDefault="00D225DC">
      <w:pPr>
        <w:pStyle w:val="Heading1"/>
        <w:tabs>
          <w:tab w:val="center" w:pos="582"/>
          <w:tab w:val="center" w:pos="3287"/>
        </w:tabs>
        <w:ind w:left="0" w:firstLine="0"/>
      </w:pPr>
      <w:bookmarkStart w:id="8" w:name="_Toc60750"/>
      <w:r>
        <w:rPr>
          <w:rFonts w:ascii="Calibri" w:eastAsia="Calibri" w:hAnsi="Calibri" w:cs="Calibri"/>
          <w:b w:val="0"/>
          <w:color w:val="000000"/>
          <w:sz w:val="22"/>
        </w:rPr>
        <w:tab/>
      </w:r>
      <w:r>
        <w:t xml:space="preserve">10. </w:t>
      </w:r>
      <w:r>
        <w:tab/>
        <w:t xml:space="preserve">Provision of information </w:t>
      </w:r>
      <w:bookmarkEnd w:id="8"/>
    </w:p>
    <w:p w14:paraId="57242315" w14:textId="77777777" w:rsidR="00C91FAD" w:rsidRDefault="00D225DC">
      <w:pPr>
        <w:spacing w:after="76"/>
      </w:pPr>
      <w:r>
        <w:rPr>
          <w:rFonts w:ascii="Arial" w:eastAsia="Arial" w:hAnsi="Arial" w:cs="Arial"/>
          <w:sz w:val="24"/>
        </w:rPr>
        <w:t xml:space="preserve"> </w:t>
      </w:r>
    </w:p>
    <w:p w14:paraId="2062CDEC" w14:textId="6664250C" w:rsidR="00C91FAD" w:rsidRDefault="00155B7C">
      <w:pPr>
        <w:spacing w:after="4" w:line="335" w:lineRule="auto"/>
        <w:ind w:left="-5" w:right="4" w:hanging="10"/>
      </w:pPr>
      <w:r>
        <w:rPr>
          <w:rFonts w:ascii="Arial" w:eastAsia="Arial" w:hAnsi="Arial" w:cs="Arial"/>
          <w:sz w:val="24"/>
        </w:rPr>
        <w:t xml:space="preserve">To allow </w:t>
      </w:r>
      <w:r w:rsidR="00D225DC">
        <w:rPr>
          <w:rFonts w:ascii="Arial" w:eastAsia="Arial" w:hAnsi="Arial" w:cs="Arial"/>
          <w:sz w:val="24"/>
        </w:rPr>
        <w:t xml:space="preserve">patients </w:t>
      </w:r>
      <w:r>
        <w:rPr>
          <w:rFonts w:ascii="Arial" w:eastAsia="Arial" w:hAnsi="Arial" w:cs="Arial"/>
          <w:sz w:val="24"/>
        </w:rPr>
        <w:t>to</w:t>
      </w:r>
      <w:r w:rsidR="00D225DC">
        <w:rPr>
          <w:rFonts w:ascii="Arial" w:eastAsia="Arial" w:hAnsi="Arial" w:cs="Arial"/>
          <w:sz w:val="24"/>
        </w:rPr>
        <w:t xml:space="preserve"> come to a decision about treatment, they need comprehens</w:t>
      </w:r>
      <w:r>
        <w:rPr>
          <w:rFonts w:ascii="Arial" w:eastAsia="Arial" w:hAnsi="Arial" w:cs="Arial"/>
          <w:sz w:val="24"/>
        </w:rPr>
        <w:t xml:space="preserve">ive and understandable (to their level of understanding) </w:t>
      </w:r>
      <w:r w:rsidR="00D225DC">
        <w:rPr>
          <w:rFonts w:ascii="Arial" w:eastAsia="Arial" w:hAnsi="Arial" w:cs="Arial"/>
          <w:sz w:val="24"/>
        </w:rPr>
        <w:t>information about the</w:t>
      </w:r>
      <w:r w:rsidR="004512FF">
        <w:rPr>
          <w:rFonts w:ascii="Arial" w:eastAsia="Arial" w:hAnsi="Arial" w:cs="Arial"/>
          <w:sz w:val="24"/>
        </w:rPr>
        <w:t xml:space="preserve"> </w:t>
      </w:r>
      <w:r w:rsidR="00D225DC">
        <w:rPr>
          <w:rFonts w:ascii="Arial" w:eastAsia="Arial" w:hAnsi="Arial" w:cs="Arial"/>
          <w:sz w:val="24"/>
        </w:rPr>
        <w:t>treatment</w:t>
      </w:r>
      <w:r w:rsidR="004512FF">
        <w:rPr>
          <w:rFonts w:ascii="Arial" w:eastAsia="Arial" w:hAnsi="Arial" w:cs="Arial"/>
          <w:sz w:val="24"/>
        </w:rPr>
        <w:t xml:space="preserve"> requested which includes</w:t>
      </w:r>
      <w:r w:rsidR="00D225DC">
        <w:rPr>
          <w:rFonts w:ascii="Arial" w:eastAsia="Arial" w:hAnsi="Arial" w:cs="Arial"/>
          <w:sz w:val="24"/>
        </w:rPr>
        <w:t xml:space="preserve"> their risks and benefits</w:t>
      </w:r>
      <w:r w:rsidR="004512FF">
        <w:rPr>
          <w:rFonts w:ascii="Arial" w:eastAsia="Arial" w:hAnsi="Arial" w:cs="Arial"/>
          <w:sz w:val="24"/>
        </w:rPr>
        <w:t xml:space="preserve">.  </w:t>
      </w:r>
      <w:r w:rsidR="00D225DC">
        <w:rPr>
          <w:rFonts w:ascii="Arial" w:eastAsia="Arial" w:hAnsi="Arial" w:cs="Arial"/>
          <w:sz w:val="24"/>
        </w:rPr>
        <w:t xml:space="preserve">Once </w:t>
      </w:r>
      <w:r w:rsidR="00E56B0E">
        <w:rPr>
          <w:rFonts w:ascii="Arial" w:eastAsia="Arial" w:hAnsi="Arial" w:cs="Arial"/>
          <w:sz w:val="24"/>
        </w:rPr>
        <w:t xml:space="preserve">the treatment has been </w:t>
      </w:r>
      <w:proofErr w:type="gramStart"/>
      <w:r w:rsidR="004512FF">
        <w:rPr>
          <w:rFonts w:ascii="Arial" w:eastAsia="Arial" w:hAnsi="Arial" w:cs="Arial"/>
          <w:sz w:val="24"/>
        </w:rPr>
        <w:t>undertaken</w:t>
      </w:r>
      <w:r w:rsidR="00E56B0E">
        <w:rPr>
          <w:rFonts w:ascii="Arial" w:eastAsia="Arial" w:hAnsi="Arial" w:cs="Arial"/>
          <w:sz w:val="24"/>
        </w:rPr>
        <w:t xml:space="preserve">, </w:t>
      </w:r>
      <w:r w:rsidR="00D225DC">
        <w:rPr>
          <w:rFonts w:ascii="Arial" w:eastAsia="Arial" w:hAnsi="Arial" w:cs="Arial"/>
          <w:sz w:val="24"/>
        </w:rPr>
        <w:t xml:space="preserve"> patients</w:t>
      </w:r>
      <w:proofErr w:type="gramEnd"/>
      <w:r w:rsidR="00D225DC">
        <w:rPr>
          <w:rFonts w:ascii="Arial" w:eastAsia="Arial" w:hAnsi="Arial" w:cs="Arial"/>
          <w:sz w:val="24"/>
        </w:rPr>
        <w:t xml:space="preserve"> </w:t>
      </w:r>
      <w:r w:rsidR="00E56B0E">
        <w:rPr>
          <w:rFonts w:ascii="Arial" w:eastAsia="Arial" w:hAnsi="Arial" w:cs="Arial"/>
          <w:sz w:val="24"/>
        </w:rPr>
        <w:t>require i</w:t>
      </w:r>
      <w:r w:rsidR="00D225DC">
        <w:rPr>
          <w:rFonts w:ascii="Arial" w:eastAsia="Arial" w:hAnsi="Arial" w:cs="Arial"/>
          <w:sz w:val="24"/>
        </w:rPr>
        <w:t xml:space="preserve">nformation about </w:t>
      </w:r>
      <w:r w:rsidR="00E56B0E">
        <w:rPr>
          <w:rFonts w:ascii="Arial" w:eastAsia="Arial" w:hAnsi="Arial" w:cs="Arial"/>
          <w:sz w:val="24"/>
        </w:rPr>
        <w:t xml:space="preserve">after care, </w:t>
      </w:r>
      <w:r w:rsidR="00D225DC">
        <w:rPr>
          <w:rFonts w:ascii="Arial" w:eastAsia="Arial" w:hAnsi="Arial" w:cs="Arial"/>
          <w:sz w:val="24"/>
        </w:rPr>
        <w:t>what will happen</w:t>
      </w:r>
      <w:r w:rsidR="004C0946">
        <w:rPr>
          <w:rFonts w:ascii="Arial" w:eastAsia="Arial" w:hAnsi="Arial" w:cs="Arial"/>
          <w:sz w:val="24"/>
        </w:rPr>
        <w:t>,</w:t>
      </w:r>
      <w:r w:rsidR="00D225DC">
        <w:rPr>
          <w:rFonts w:ascii="Arial" w:eastAsia="Arial" w:hAnsi="Arial" w:cs="Arial"/>
          <w:sz w:val="24"/>
        </w:rPr>
        <w:t xml:space="preserve"> where to go</w:t>
      </w:r>
      <w:r w:rsidR="004C0946">
        <w:rPr>
          <w:rFonts w:ascii="Arial" w:eastAsia="Arial" w:hAnsi="Arial" w:cs="Arial"/>
          <w:sz w:val="24"/>
        </w:rPr>
        <w:t xml:space="preserve"> in the event of an unexpected occurrence etc.  </w:t>
      </w:r>
      <w:r w:rsidR="005F14FF">
        <w:rPr>
          <w:rFonts w:ascii="Arial" w:eastAsia="Arial" w:hAnsi="Arial" w:cs="Arial"/>
          <w:sz w:val="24"/>
        </w:rPr>
        <w:t xml:space="preserve">At </w:t>
      </w:r>
      <w:proofErr w:type="spellStart"/>
      <w:r w:rsidR="005F14FF">
        <w:rPr>
          <w:rFonts w:ascii="Arial" w:eastAsia="Arial" w:hAnsi="Arial" w:cs="Arial"/>
          <w:sz w:val="24"/>
        </w:rPr>
        <w:t>SSACLtd</w:t>
      </w:r>
      <w:proofErr w:type="spellEnd"/>
      <w:r w:rsidR="005F14FF">
        <w:rPr>
          <w:rFonts w:ascii="Arial" w:eastAsia="Arial" w:hAnsi="Arial" w:cs="Arial"/>
          <w:sz w:val="24"/>
        </w:rPr>
        <w:t xml:space="preserve"> all patients/clients are provided with an electronic version of </w:t>
      </w:r>
      <w:proofErr w:type="gramStart"/>
      <w:r w:rsidR="005F14FF">
        <w:rPr>
          <w:rFonts w:ascii="Arial" w:eastAsia="Arial" w:hAnsi="Arial" w:cs="Arial"/>
          <w:sz w:val="24"/>
        </w:rPr>
        <w:t>this</w:t>
      </w:r>
      <w:proofErr w:type="gramEnd"/>
      <w:r w:rsidR="005F14FF">
        <w:rPr>
          <w:rFonts w:ascii="Arial" w:eastAsia="Arial" w:hAnsi="Arial" w:cs="Arial"/>
          <w:sz w:val="24"/>
        </w:rPr>
        <w:t xml:space="preserve"> and aftercare leaflets are also provided on our website.</w:t>
      </w:r>
    </w:p>
    <w:p w14:paraId="0982A2CA" w14:textId="77777777" w:rsidR="00C91FAD" w:rsidRDefault="00D225DC">
      <w:pPr>
        <w:spacing w:after="76"/>
      </w:pPr>
      <w:r>
        <w:rPr>
          <w:rFonts w:ascii="Arial" w:eastAsia="Arial" w:hAnsi="Arial" w:cs="Arial"/>
          <w:sz w:val="24"/>
        </w:rPr>
        <w:t xml:space="preserve"> </w:t>
      </w:r>
    </w:p>
    <w:p w14:paraId="5E0293FB" w14:textId="7438A813" w:rsidR="00C91FAD" w:rsidRDefault="00C91FAD">
      <w:pPr>
        <w:spacing w:after="74"/>
      </w:pPr>
    </w:p>
    <w:p w14:paraId="23F3F0FB" w14:textId="77777777" w:rsidR="00C91FAD" w:rsidRDefault="00D225DC">
      <w:pPr>
        <w:pStyle w:val="Heading2"/>
        <w:ind w:left="-5"/>
      </w:pPr>
      <w:r>
        <w:t xml:space="preserve">Provision for patients whose first language is not </w:t>
      </w:r>
      <w:proofErr w:type="gramStart"/>
      <w:r>
        <w:t>English</w:t>
      </w:r>
      <w:proofErr w:type="gramEnd"/>
      <w:r>
        <w:t xml:space="preserve"> </w:t>
      </w:r>
    </w:p>
    <w:p w14:paraId="60709D21" w14:textId="77777777" w:rsidR="00C91FAD" w:rsidRDefault="00D225DC">
      <w:pPr>
        <w:spacing w:after="74"/>
      </w:pPr>
      <w:r>
        <w:rPr>
          <w:rFonts w:ascii="Arial" w:eastAsia="Arial" w:hAnsi="Arial" w:cs="Arial"/>
          <w:sz w:val="24"/>
        </w:rPr>
        <w:t xml:space="preserve"> </w:t>
      </w:r>
    </w:p>
    <w:p w14:paraId="18C28505" w14:textId="641BF707" w:rsidR="00C91FAD" w:rsidRDefault="005F14FF" w:rsidP="002B408D">
      <w:pPr>
        <w:spacing w:after="4" w:line="335" w:lineRule="auto"/>
        <w:ind w:left="-5" w:right="4" w:hanging="10"/>
      </w:pPr>
      <w:proofErr w:type="spellStart"/>
      <w:r>
        <w:rPr>
          <w:rFonts w:ascii="Arial" w:eastAsia="Arial" w:hAnsi="Arial" w:cs="Arial"/>
          <w:sz w:val="24"/>
        </w:rPr>
        <w:t>SSACLtd</w:t>
      </w:r>
      <w:proofErr w:type="spellEnd"/>
      <w:r w:rsidR="00D225DC">
        <w:rPr>
          <w:rFonts w:ascii="Arial" w:eastAsia="Arial" w:hAnsi="Arial" w:cs="Arial"/>
          <w:sz w:val="24"/>
        </w:rPr>
        <w:t xml:space="preserve"> are committed to ensuring that patients whose first language is not English receive the information they need and are able to communicate appropriately with healthcare staff. </w:t>
      </w:r>
      <w:r w:rsidR="00CC3C1B">
        <w:rPr>
          <w:rFonts w:ascii="Arial" w:eastAsia="Arial" w:hAnsi="Arial" w:cs="Arial"/>
          <w:sz w:val="24"/>
        </w:rPr>
        <w:t>Practitioners should make</w:t>
      </w:r>
      <w:r w:rsidR="001A6483">
        <w:rPr>
          <w:rFonts w:ascii="Arial" w:eastAsia="Arial" w:hAnsi="Arial" w:cs="Arial"/>
          <w:sz w:val="24"/>
        </w:rPr>
        <w:t xml:space="preserve"> attempts at obtaining written information leaflets in the required language.  </w:t>
      </w:r>
      <w:r w:rsidR="00D225DC">
        <w:rPr>
          <w:rFonts w:ascii="Arial" w:eastAsia="Arial" w:hAnsi="Arial" w:cs="Arial"/>
          <w:sz w:val="24"/>
        </w:rPr>
        <w:t>If the patient insists that their family/friend translates for them this should clearly be documented. Children should never be used to translate. It is important to consider safeguarding as part of your assessment in these situations. To be able to give valid consent, the person needs to understand the treatment</w:t>
      </w:r>
      <w:r w:rsidR="002B408D">
        <w:rPr>
          <w:rFonts w:ascii="Arial" w:eastAsia="Arial" w:hAnsi="Arial" w:cs="Arial"/>
          <w:sz w:val="24"/>
        </w:rPr>
        <w:t>.</w:t>
      </w:r>
      <w:r w:rsidR="00D225DC">
        <w:rPr>
          <w:rFonts w:ascii="Arial" w:eastAsia="Arial" w:hAnsi="Arial" w:cs="Arial"/>
          <w:sz w:val="24"/>
        </w:rPr>
        <w:t xml:space="preserve"> </w:t>
      </w:r>
    </w:p>
    <w:p w14:paraId="17A87DFD" w14:textId="44DAA514" w:rsidR="00C91FAD" w:rsidRDefault="00D225DC" w:rsidP="002B408D">
      <w:pPr>
        <w:spacing w:after="76"/>
      </w:pPr>
      <w:r>
        <w:rPr>
          <w:rFonts w:ascii="Arial" w:eastAsia="Arial" w:hAnsi="Arial" w:cs="Arial"/>
          <w:sz w:val="24"/>
        </w:rPr>
        <w:t xml:space="preserve"> </w:t>
      </w:r>
    </w:p>
    <w:p w14:paraId="35F60351" w14:textId="77777777" w:rsidR="00C91FAD" w:rsidRDefault="00D225DC">
      <w:pPr>
        <w:spacing w:after="200"/>
      </w:pPr>
      <w:r>
        <w:rPr>
          <w:rFonts w:ascii="Arial" w:eastAsia="Arial" w:hAnsi="Arial" w:cs="Arial"/>
          <w:sz w:val="24"/>
        </w:rPr>
        <w:t xml:space="preserve"> </w:t>
      </w:r>
    </w:p>
    <w:p w14:paraId="39E9FAF1" w14:textId="77777777" w:rsidR="00C91FAD" w:rsidRDefault="00D225DC">
      <w:pPr>
        <w:pStyle w:val="Heading1"/>
        <w:tabs>
          <w:tab w:val="center" w:pos="582"/>
          <w:tab w:val="center" w:pos="3474"/>
        </w:tabs>
        <w:ind w:left="0" w:firstLine="0"/>
      </w:pPr>
      <w:bookmarkStart w:id="9" w:name="_Toc60751"/>
      <w:r>
        <w:rPr>
          <w:rFonts w:ascii="Calibri" w:eastAsia="Calibri" w:hAnsi="Calibri" w:cs="Calibri"/>
          <w:b w:val="0"/>
          <w:color w:val="000000"/>
          <w:sz w:val="22"/>
        </w:rPr>
        <w:tab/>
      </w:r>
      <w:r>
        <w:t xml:space="preserve">11. </w:t>
      </w:r>
      <w:r>
        <w:tab/>
        <w:t xml:space="preserve">Roles and Responsibilities </w:t>
      </w:r>
      <w:bookmarkEnd w:id="9"/>
    </w:p>
    <w:p w14:paraId="60DEDC64" w14:textId="053D8D75" w:rsidR="00C91FAD" w:rsidRDefault="00C91FAD">
      <w:pPr>
        <w:spacing w:after="76"/>
      </w:pPr>
    </w:p>
    <w:p w14:paraId="60B9DBA4" w14:textId="77777777" w:rsidR="00C91FAD" w:rsidRDefault="00D225DC">
      <w:pPr>
        <w:spacing w:after="4" w:line="335" w:lineRule="auto"/>
        <w:ind w:left="-5" w:right="4" w:hanging="10"/>
      </w:pPr>
      <w:r>
        <w:rPr>
          <w:rFonts w:ascii="Arial" w:eastAsia="Arial" w:hAnsi="Arial" w:cs="Arial"/>
          <w:sz w:val="24"/>
        </w:rPr>
        <w:t xml:space="preserve">Clinicians are responsible for ensuring that they obtain consent from each patient and that the patient has sufficient information on the benefits, risks, and alternatives of the proposed treatment on which to make an informed decision. Clinicians are responsible for recording that consent has been discussed and the outcome recorded, and for ensuring that records of any concerns relating to consent are kept up to </w:t>
      </w:r>
      <w:proofErr w:type="gramStart"/>
      <w:r>
        <w:rPr>
          <w:rFonts w:ascii="Arial" w:eastAsia="Arial" w:hAnsi="Arial" w:cs="Arial"/>
          <w:sz w:val="24"/>
        </w:rPr>
        <w:t>date</w:t>
      </w:r>
      <w:proofErr w:type="gramEnd"/>
      <w:r>
        <w:rPr>
          <w:rFonts w:ascii="Arial" w:eastAsia="Arial" w:hAnsi="Arial" w:cs="Arial"/>
          <w:sz w:val="24"/>
        </w:rPr>
        <w:t xml:space="preserve"> </w:t>
      </w:r>
    </w:p>
    <w:p w14:paraId="552C1152" w14:textId="77777777" w:rsidR="00C91FAD" w:rsidRDefault="00D225DC">
      <w:pPr>
        <w:spacing w:after="75"/>
      </w:pPr>
      <w:r>
        <w:rPr>
          <w:rFonts w:ascii="Arial" w:eastAsia="Arial" w:hAnsi="Arial" w:cs="Arial"/>
          <w:sz w:val="24"/>
        </w:rPr>
        <w:t xml:space="preserve"> </w:t>
      </w:r>
    </w:p>
    <w:p w14:paraId="0EC470C6" w14:textId="43612CB3" w:rsidR="00C91FAD" w:rsidRDefault="00D225DC" w:rsidP="002B408D">
      <w:pPr>
        <w:spacing w:after="4" w:line="335" w:lineRule="auto"/>
        <w:ind w:left="-5" w:right="4" w:hanging="10"/>
        <w:rPr>
          <w:rFonts w:ascii="Arial" w:eastAsia="Arial" w:hAnsi="Arial" w:cs="Arial"/>
          <w:sz w:val="24"/>
        </w:rPr>
      </w:pPr>
      <w:r>
        <w:rPr>
          <w:rFonts w:ascii="Arial" w:eastAsia="Arial" w:hAnsi="Arial" w:cs="Arial"/>
          <w:sz w:val="24"/>
        </w:rPr>
        <w:t xml:space="preserve">The health professional carrying out the procedure is ultimately responsible for ensuring that the patient is genuinely consenting to what is being done: it is they who will be held responsible in law if this is challenged later. </w:t>
      </w:r>
    </w:p>
    <w:p w14:paraId="3CBF9486" w14:textId="77777777" w:rsidR="00E12440" w:rsidRDefault="00E12440" w:rsidP="002B408D">
      <w:pPr>
        <w:spacing w:after="4" w:line="335" w:lineRule="auto"/>
        <w:ind w:left="-5" w:right="4" w:hanging="10"/>
      </w:pPr>
    </w:p>
    <w:p w14:paraId="791323FF" w14:textId="77777777" w:rsidR="002B408D" w:rsidRDefault="00D225DC">
      <w:pPr>
        <w:pStyle w:val="Heading1"/>
        <w:tabs>
          <w:tab w:val="center" w:pos="582"/>
          <w:tab w:val="center" w:pos="4461"/>
        </w:tabs>
        <w:ind w:left="0" w:firstLine="0"/>
        <w:rPr>
          <w:rFonts w:ascii="Calibri" w:eastAsia="Calibri" w:hAnsi="Calibri" w:cs="Calibri"/>
          <w:b w:val="0"/>
          <w:color w:val="000000"/>
          <w:sz w:val="22"/>
        </w:rPr>
      </w:pPr>
      <w:bookmarkStart w:id="10" w:name="_Toc60752"/>
      <w:r>
        <w:rPr>
          <w:rFonts w:ascii="Calibri" w:eastAsia="Calibri" w:hAnsi="Calibri" w:cs="Calibri"/>
          <w:b w:val="0"/>
          <w:color w:val="000000"/>
          <w:sz w:val="22"/>
        </w:rPr>
        <w:lastRenderedPageBreak/>
        <w:tab/>
      </w:r>
    </w:p>
    <w:p w14:paraId="2127207E" w14:textId="6E58F0E9" w:rsidR="00C91FAD" w:rsidRDefault="002B408D">
      <w:pPr>
        <w:pStyle w:val="Heading1"/>
        <w:tabs>
          <w:tab w:val="center" w:pos="582"/>
          <w:tab w:val="center" w:pos="4461"/>
        </w:tabs>
        <w:ind w:left="0" w:firstLine="0"/>
      </w:pPr>
      <w:r>
        <w:rPr>
          <w:rFonts w:ascii="Calibri" w:eastAsia="Calibri" w:hAnsi="Calibri" w:cs="Calibri"/>
          <w:b w:val="0"/>
          <w:color w:val="000000"/>
          <w:sz w:val="22"/>
        </w:rPr>
        <w:tab/>
      </w:r>
      <w:r w:rsidR="00D225DC">
        <w:t xml:space="preserve">12. </w:t>
      </w:r>
      <w:r w:rsidR="00D225DC">
        <w:tab/>
        <w:t xml:space="preserve">Special Circumstances around Consent </w:t>
      </w:r>
      <w:bookmarkEnd w:id="10"/>
    </w:p>
    <w:p w14:paraId="75163CF7" w14:textId="77777777" w:rsidR="00C91FAD" w:rsidRDefault="00D225DC">
      <w:pPr>
        <w:spacing w:after="74"/>
      </w:pPr>
      <w:r>
        <w:rPr>
          <w:rFonts w:ascii="Arial" w:eastAsia="Arial" w:hAnsi="Arial" w:cs="Arial"/>
          <w:sz w:val="24"/>
        </w:rPr>
        <w:t xml:space="preserve"> </w:t>
      </w:r>
    </w:p>
    <w:p w14:paraId="712DBC99" w14:textId="77777777" w:rsidR="00C91FAD" w:rsidRDefault="00D225DC">
      <w:pPr>
        <w:pStyle w:val="Heading2"/>
        <w:ind w:left="-5"/>
      </w:pPr>
      <w:r>
        <w:t xml:space="preserve">Refusal of Consent </w:t>
      </w:r>
    </w:p>
    <w:p w14:paraId="02A936F1" w14:textId="77777777" w:rsidR="00C91FAD" w:rsidRDefault="00D225DC">
      <w:pPr>
        <w:spacing w:after="0"/>
      </w:pPr>
      <w:r>
        <w:rPr>
          <w:rFonts w:ascii="Arial" w:eastAsia="Arial" w:hAnsi="Arial" w:cs="Arial"/>
          <w:b/>
          <w:sz w:val="25"/>
        </w:rPr>
        <w:t xml:space="preserve"> </w:t>
      </w:r>
    </w:p>
    <w:p w14:paraId="6FF7F571" w14:textId="022101DF" w:rsidR="00C91FAD" w:rsidRDefault="002B408D">
      <w:pPr>
        <w:spacing w:after="76"/>
        <w:ind w:left="-5" w:right="4" w:hanging="10"/>
      </w:pPr>
      <w:r>
        <w:rPr>
          <w:rFonts w:ascii="Arial" w:eastAsia="Arial" w:hAnsi="Arial" w:cs="Arial"/>
          <w:sz w:val="24"/>
        </w:rPr>
        <w:t xml:space="preserve">It is unlikely within </w:t>
      </w:r>
      <w:proofErr w:type="spellStart"/>
      <w:r>
        <w:rPr>
          <w:rFonts w:ascii="Arial" w:eastAsia="Arial" w:hAnsi="Arial" w:cs="Arial"/>
          <w:sz w:val="24"/>
        </w:rPr>
        <w:t>SSACLtd</w:t>
      </w:r>
      <w:proofErr w:type="spellEnd"/>
      <w:r>
        <w:rPr>
          <w:rFonts w:ascii="Arial" w:eastAsia="Arial" w:hAnsi="Arial" w:cs="Arial"/>
          <w:sz w:val="24"/>
        </w:rPr>
        <w:t xml:space="preserve"> that </w:t>
      </w:r>
      <w:r w:rsidR="00712BA2">
        <w:rPr>
          <w:rFonts w:ascii="Arial" w:eastAsia="Arial" w:hAnsi="Arial" w:cs="Arial"/>
          <w:sz w:val="24"/>
        </w:rPr>
        <w:t xml:space="preserve">patients would be brought to us for medical treatments and </w:t>
      </w:r>
      <w:proofErr w:type="gramStart"/>
      <w:r w:rsidR="00712BA2">
        <w:rPr>
          <w:rFonts w:ascii="Arial" w:eastAsia="Arial" w:hAnsi="Arial" w:cs="Arial"/>
          <w:sz w:val="24"/>
        </w:rPr>
        <w:t>treatment</w:t>
      </w:r>
      <w:proofErr w:type="gramEnd"/>
      <w:r w:rsidR="00712BA2">
        <w:rPr>
          <w:rFonts w:ascii="Arial" w:eastAsia="Arial" w:hAnsi="Arial" w:cs="Arial"/>
          <w:sz w:val="24"/>
        </w:rPr>
        <w:t xml:space="preserve"> for cosmetic aesthetics would not be provided to those lacking capacity due to it not being </w:t>
      </w:r>
      <w:r w:rsidR="00F32455">
        <w:rPr>
          <w:rFonts w:ascii="Arial" w:eastAsia="Arial" w:hAnsi="Arial" w:cs="Arial"/>
          <w:sz w:val="24"/>
        </w:rPr>
        <w:t>‘in the patient’s best interest’.</w:t>
      </w:r>
    </w:p>
    <w:p w14:paraId="168FE82A" w14:textId="77777777" w:rsidR="00C91FAD" w:rsidRDefault="00D225DC">
      <w:pPr>
        <w:spacing w:after="74"/>
      </w:pPr>
      <w:r>
        <w:rPr>
          <w:rFonts w:ascii="Arial" w:eastAsia="Arial" w:hAnsi="Arial" w:cs="Arial"/>
          <w:sz w:val="24"/>
        </w:rPr>
        <w:t xml:space="preserve"> </w:t>
      </w:r>
    </w:p>
    <w:p w14:paraId="29CA4D54" w14:textId="77777777" w:rsidR="00C91FAD" w:rsidRDefault="00D225DC">
      <w:pPr>
        <w:pStyle w:val="Heading2"/>
        <w:ind w:left="-5"/>
      </w:pPr>
      <w:r>
        <w:t xml:space="preserve">Religious Beliefs and Culture </w:t>
      </w:r>
    </w:p>
    <w:p w14:paraId="51056096" w14:textId="77777777" w:rsidR="00C91FAD" w:rsidRDefault="00D225DC">
      <w:pPr>
        <w:spacing w:after="74"/>
      </w:pPr>
      <w:r>
        <w:rPr>
          <w:rFonts w:ascii="Arial" w:eastAsia="Arial" w:hAnsi="Arial" w:cs="Arial"/>
          <w:b/>
          <w:sz w:val="24"/>
        </w:rPr>
        <w:t xml:space="preserve"> </w:t>
      </w:r>
    </w:p>
    <w:p w14:paraId="3DB7BAA7" w14:textId="4D57BE70" w:rsidR="00C91FAD" w:rsidRDefault="00D225DC" w:rsidP="00F32455">
      <w:pPr>
        <w:spacing w:after="4" w:line="335" w:lineRule="auto"/>
        <w:ind w:left="-5" w:right="4" w:hanging="10"/>
      </w:pPr>
      <w:r>
        <w:rPr>
          <w:rFonts w:ascii="Arial" w:eastAsia="Arial" w:hAnsi="Arial" w:cs="Arial"/>
          <w:sz w:val="24"/>
        </w:rPr>
        <w:t xml:space="preserve">Religious beliefs and culture must be </w:t>
      </w:r>
      <w:proofErr w:type="gramStart"/>
      <w:r>
        <w:rPr>
          <w:rFonts w:ascii="Arial" w:eastAsia="Arial" w:hAnsi="Arial" w:cs="Arial"/>
          <w:sz w:val="24"/>
        </w:rPr>
        <w:t>taken into account</w:t>
      </w:r>
      <w:proofErr w:type="gramEnd"/>
      <w:r>
        <w:rPr>
          <w:rFonts w:ascii="Arial" w:eastAsia="Arial" w:hAnsi="Arial" w:cs="Arial"/>
          <w:sz w:val="24"/>
        </w:rPr>
        <w:t xml:space="preserve"> when consenting for treatment and this must be explored with the patient. </w:t>
      </w:r>
    </w:p>
    <w:p w14:paraId="2935188C" w14:textId="4D532F4D" w:rsidR="00C91FAD" w:rsidRDefault="00C91FAD">
      <w:pPr>
        <w:spacing w:after="74"/>
      </w:pPr>
    </w:p>
    <w:p w14:paraId="2377E6F0" w14:textId="77777777" w:rsidR="00F32455" w:rsidRDefault="00D225DC">
      <w:pPr>
        <w:spacing w:after="4" w:line="335" w:lineRule="auto"/>
        <w:ind w:left="-5" w:right="125" w:hanging="10"/>
        <w:rPr>
          <w:rFonts w:ascii="Arial" w:eastAsia="Arial" w:hAnsi="Arial" w:cs="Arial"/>
          <w:b/>
          <w:sz w:val="24"/>
        </w:rPr>
      </w:pPr>
      <w:r>
        <w:rPr>
          <w:rFonts w:ascii="Arial" w:eastAsia="Arial" w:hAnsi="Arial" w:cs="Arial"/>
          <w:b/>
          <w:sz w:val="24"/>
        </w:rPr>
        <w:t xml:space="preserve">Clinical photography and conventional or digital video and audio recordings </w:t>
      </w:r>
    </w:p>
    <w:p w14:paraId="30E156D0" w14:textId="77777777" w:rsidR="00F32455" w:rsidRDefault="00F32455">
      <w:pPr>
        <w:spacing w:after="4" w:line="335" w:lineRule="auto"/>
        <w:ind w:left="-5" w:right="125" w:hanging="10"/>
        <w:rPr>
          <w:rFonts w:ascii="Arial" w:eastAsia="Arial" w:hAnsi="Arial" w:cs="Arial"/>
          <w:b/>
          <w:sz w:val="24"/>
        </w:rPr>
      </w:pPr>
    </w:p>
    <w:p w14:paraId="1ACB921C" w14:textId="7EF628D5" w:rsidR="00C91FAD" w:rsidRDefault="00F32455" w:rsidP="0034652B">
      <w:pPr>
        <w:spacing w:after="4" w:line="335" w:lineRule="auto"/>
        <w:ind w:left="-5" w:right="125" w:hanging="10"/>
      </w:pPr>
      <w:r w:rsidRPr="00F32455">
        <w:rPr>
          <w:rFonts w:ascii="Arial" w:eastAsia="Arial" w:hAnsi="Arial" w:cs="Arial"/>
          <w:bCs/>
          <w:sz w:val="24"/>
        </w:rPr>
        <w:t>Photographs or v</w:t>
      </w:r>
      <w:r w:rsidR="00D225DC" w:rsidRPr="00F32455">
        <w:rPr>
          <w:rFonts w:ascii="Arial" w:eastAsia="Arial" w:hAnsi="Arial" w:cs="Arial"/>
          <w:bCs/>
          <w:sz w:val="24"/>
        </w:rPr>
        <w:t>ideo</w:t>
      </w:r>
      <w:r w:rsidR="00D225DC">
        <w:rPr>
          <w:rFonts w:ascii="Arial" w:eastAsia="Arial" w:hAnsi="Arial" w:cs="Arial"/>
          <w:sz w:val="24"/>
        </w:rPr>
        <w:t xml:space="preserve"> recordings of treatment </w:t>
      </w:r>
      <w:r>
        <w:rPr>
          <w:rFonts w:ascii="Arial" w:eastAsia="Arial" w:hAnsi="Arial" w:cs="Arial"/>
          <w:sz w:val="24"/>
        </w:rPr>
        <w:t xml:space="preserve">are required for insurance purposes and attached to patient </w:t>
      </w:r>
      <w:r w:rsidR="00B13CEE">
        <w:rPr>
          <w:rFonts w:ascii="Arial" w:eastAsia="Arial" w:hAnsi="Arial" w:cs="Arial"/>
          <w:sz w:val="24"/>
        </w:rPr>
        <w:t xml:space="preserve">records.  For this, consent is asked on both the written consent form and again verbally prior to taking photographs. There is a separate question on the consent form to ask if the photographs or videos may be used </w:t>
      </w:r>
      <w:r w:rsidR="0034652B">
        <w:rPr>
          <w:rFonts w:ascii="Arial" w:eastAsia="Arial" w:hAnsi="Arial" w:cs="Arial"/>
          <w:sz w:val="24"/>
        </w:rPr>
        <w:t xml:space="preserve">(anonymised or not) for training, </w:t>
      </w:r>
      <w:proofErr w:type="gramStart"/>
      <w:r w:rsidR="0034652B">
        <w:rPr>
          <w:rFonts w:ascii="Arial" w:eastAsia="Arial" w:hAnsi="Arial" w:cs="Arial"/>
          <w:sz w:val="24"/>
        </w:rPr>
        <w:t>education</w:t>
      </w:r>
      <w:proofErr w:type="gramEnd"/>
      <w:r w:rsidR="0034652B">
        <w:rPr>
          <w:rFonts w:ascii="Arial" w:eastAsia="Arial" w:hAnsi="Arial" w:cs="Arial"/>
          <w:sz w:val="24"/>
        </w:rPr>
        <w:t xml:space="preserve"> and marketing purposes.  </w:t>
      </w:r>
      <w:r w:rsidR="00B13CEE">
        <w:rPr>
          <w:rFonts w:ascii="Arial" w:eastAsia="Arial" w:hAnsi="Arial" w:cs="Arial"/>
          <w:sz w:val="24"/>
        </w:rPr>
        <w:t xml:space="preserve"> </w:t>
      </w:r>
    </w:p>
    <w:p w14:paraId="0EB10DD9" w14:textId="77777777" w:rsidR="00C91FAD" w:rsidRDefault="00D225DC">
      <w:pPr>
        <w:spacing w:after="196"/>
      </w:pPr>
      <w:r>
        <w:rPr>
          <w:rFonts w:ascii="Arial" w:eastAsia="Arial" w:hAnsi="Arial" w:cs="Arial"/>
          <w:sz w:val="24"/>
        </w:rPr>
        <w:t xml:space="preserve"> </w:t>
      </w:r>
    </w:p>
    <w:p w14:paraId="396CF0DC" w14:textId="69B09B07" w:rsidR="00C91FAD" w:rsidRDefault="00D225DC">
      <w:pPr>
        <w:pStyle w:val="Heading1"/>
        <w:tabs>
          <w:tab w:val="center" w:pos="582"/>
          <w:tab w:val="center" w:pos="3216"/>
        </w:tabs>
        <w:ind w:left="0" w:firstLine="0"/>
      </w:pPr>
      <w:bookmarkStart w:id="11" w:name="_Toc60754"/>
      <w:r>
        <w:rPr>
          <w:rFonts w:ascii="Calibri" w:eastAsia="Calibri" w:hAnsi="Calibri" w:cs="Calibri"/>
          <w:b w:val="0"/>
          <w:color w:val="000000"/>
          <w:sz w:val="22"/>
        </w:rPr>
        <w:tab/>
      </w:r>
      <w:r>
        <w:t>1</w:t>
      </w:r>
      <w:r w:rsidR="0034652B">
        <w:t>3</w:t>
      </w:r>
      <w:r>
        <w:t xml:space="preserve">. </w:t>
      </w:r>
      <w:r>
        <w:tab/>
        <w:t xml:space="preserve">Monitoring Compliance </w:t>
      </w:r>
      <w:bookmarkEnd w:id="11"/>
    </w:p>
    <w:p w14:paraId="2360F626" w14:textId="77777777" w:rsidR="00C91FAD" w:rsidRDefault="00D225DC">
      <w:pPr>
        <w:spacing w:after="74"/>
      </w:pPr>
      <w:r>
        <w:rPr>
          <w:rFonts w:ascii="Arial" w:eastAsia="Arial" w:hAnsi="Arial" w:cs="Arial"/>
          <w:sz w:val="24"/>
        </w:rPr>
        <w:t xml:space="preserve"> </w:t>
      </w:r>
    </w:p>
    <w:p w14:paraId="59CFDB8E" w14:textId="1FA31C29" w:rsidR="00C91FAD" w:rsidRDefault="00D225DC">
      <w:pPr>
        <w:spacing w:after="4" w:line="335" w:lineRule="auto"/>
        <w:ind w:left="-5" w:right="4" w:hanging="10"/>
      </w:pPr>
      <w:r>
        <w:rPr>
          <w:rFonts w:ascii="Arial" w:eastAsia="Arial" w:hAnsi="Arial" w:cs="Arial"/>
          <w:sz w:val="24"/>
        </w:rPr>
        <w:t xml:space="preserve">Consent will be reviewed as </w:t>
      </w:r>
      <w:proofErr w:type="spellStart"/>
      <w:r w:rsidR="005E02EB">
        <w:rPr>
          <w:rFonts w:ascii="Arial" w:eastAsia="Arial" w:hAnsi="Arial" w:cs="Arial"/>
          <w:sz w:val="24"/>
        </w:rPr>
        <w:t>SSACLtd</w:t>
      </w:r>
      <w:proofErr w:type="spellEnd"/>
      <w:r>
        <w:rPr>
          <w:rFonts w:ascii="Arial" w:eastAsia="Arial" w:hAnsi="Arial" w:cs="Arial"/>
          <w:sz w:val="24"/>
        </w:rPr>
        <w:t xml:space="preserve"> records management audit included within the audit programme. </w:t>
      </w:r>
    </w:p>
    <w:p w14:paraId="1626C8EE" w14:textId="77777777" w:rsidR="00C91FAD" w:rsidRDefault="00D225DC">
      <w:pPr>
        <w:spacing w:after="190"/>
      </w:pPr>
      <w:r>
        <w:rPr>
          <w:rFonts w:ascii="Arial" w:eastAsia="Arial" w:hAnsi="Arial" w:cs="Arial"/>
          <w:color w:val="FF0000"/>
          <w:sz w:val="24"/>
        </w:rPr>
        <w:t xml:space="preserve"> </w:t>
      </w:r>
    </w:p>
    <w:p w14:paraId="619B12DF" w14:textId="6E8DFD9F" w:rsidR="00C91FAD" w:rsidRDefault="00D225DC" w:rsidP="005E02EB">
      <w:pPr>
        <w:pStyle w:val="Heading1"/>
        <w:tabs>
          <w:tab w:val="center" w:pos="582"/>
          <w:tab w:val="center" w:pos="2302"/>
        </w:tabs>
        <w:ind w:left="0" w:firstLine="0"/>
      </w:pPr>
      <w:bookmarkStart w:id="12" w:name="_Toc60755"/>
      <w:r>
        <w:rPr>
          <w:rFonts w:ascii="Calibri" w:eastAsia="Calibri" w:hAnsi="Calibri" w:cs="Calibri"/>
          <w:b w:val="0"/>
          <w:color w:val="000000"/>
          <w:sz w:val="22"/>
        </w:rPr>
        <w:tab/>
      </w:r>
      <w:bookmarkEnd w:id="12"/>
      <w:r w:rsidR="005E02EB">
        <w:rPr>
          <w:rFonts w:ascii="Calibri" w:eastAsia="Calibri" w:hAnsi="Calibri" w:cs="Calibri"/>
          <w:b w:val="0"/>
          <w:color w:val="000000"/>
          <w:sz w:val="22"/>
        </w:rPr>
        <w:object w:dxaOrig="1534" w:dyaOrig="991" w14:anchorId="09983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85pt" o:ole="">
            <v:imagedata r:id="rId10" o:title=""/>
          </v:shape>
          <o:OLEObject Type="Embed" ProgID="Excel.Sheet.12" ShapeID="_x0000_i1025" DrawAspect="Icon" ObjectID="_1777640116" r:id="rId11"/>
        </w:object>
      </w:r>
      <w:r w:rsidR="00AD2775">
        <w:rPr>
          <w:rFonts w:ascii="Calibri" w:eastAsia="Calibri" w:hAnsi="Calibri" w:cs="Calibri"/>
          <w:b w:val="0"/>
          <w:color w:val="000000"/>
          <w:sz w:val="22"/>
        </w:rPr>
        <w:t xml:space="preserve">   </w:t>
      </w:r>
      <w:r w:rsidR="00C07AD4">
        <w:rPr>
          <w:rFonts w:ascii="Calibri" w:eastAsia="Calibri" w:hAnsi="Calibri" w:cs="Calibri"/>
          <w:b w:val="0"/>
          <w:color w:val="000000"/>
          <w:sz w:val="22"/>
        </w:rPr>
        <w:t xml:space="preserve">  </w:t>
      </w:r>
      <w:r w:rsidR="00E12440">
        <w:rPr>
          <w:rFonts w:ascii="Calibri" w:eastAsia="Calibri" w:hAnsi="Calibri" w:cs="Calibri"/>
          <w:b w:val="0"/>
          <w:color w:val="000000"/>
          <w:sz w:val="22"/>
        </w:rPr>
        <w:object w:dxaOrig="1534" w:dyaOrig="991" w14:anchorId="126B0166">
          <v:shape id="_x0000_i1036" type="#_x0000_t75" style="width:76.85pt;height:49.85pt" o:ole="">
            <v:imagedata r:id="rId12" o:title=""/>
          </v:shape>
          <o:OLEObject Type="Embed" ProgID="AcroExch.Document.DC" ShapeID="_x0000_i1036" DrawAspect="Icon" ObjectID="_1777640117" r:id="rId13"/>
        </w:object>
      </w:r>
      <w:r w:rsidR="00C07AD4">
        <w:rPr>
          <w:rFonts w:ascii="Calibri" w:eastAsia="Calibri" w:hAnsi="Calibri" w:cs="Calibri"/>
          <w:b w:val="0"/>
          <w:color w:val="000000"/>
          <w:sz w:val="22"/>
        </w:rPr>
        <w:t xml:space="preserve">      </w:t>
      </w:r>
      <w:r w:rsidR="007A3FB0">
        <w:rPr>
          <w:rFonts w:ascii="Calibri" w:eastAsia="Calibri" w:hAnsi="Calibri" w:cs="Calibri"/>
          <w:b w:val="0"/>
          <w:color w:val="000000"/>
          <w:sz w:val="22"/>
        </w:rPr>
        <w:object w:dxaOrig="1534" w:dyaOrig="991" w14:anchorId="31782393">
          <v:shape id="_x0000_i1034" type="#_x0000_t75" style="width:76.85pt;height:49.85pt" o:ole="">
            <v:imagedata r:id="rId14" o:title=""/>
          </v:shape>
          <o:OLEObject Type="Embed" ProgID="AcroExch.Document.DC" ShapeID="_x0000_i1034" DrawAspect="Icon" ObjectID="_1777640118" r:id="rId15"/>
        </w:object>
      </w:r>
      <w:r>
        <w:rPr>
          <w:sz w:val="24"/>
        </w:rPr>
        <w:t xml:space="preserve"> </w:t>
      </w:r>
    </w:p>
    <w:sectPr w:rsidR="00C91FAD" w:rsidSect="005E02EB">
      <w:footerReference w:type="even" r:id="rId16"/>
      <w:footerReference w:type="default" r:id="rId17"/>
      <w:footerReference w:type="first" r:id="rId18"/>
      <w:pgSz w:w="11911" w:h="16841"/>
      <w:pgMar w:top="1448" w:right="1082" w:bottom="71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1EFD" w14:textId="77777777" w:rsidR="00910B80" w:rsidRDefault="00910B80">
      <w:pPr>
        <w:spacing w:after="0" w:line="240" w:lineRule="auto"/>
      </w:pPr>
      <w:r>
        <w:separator/>
      </w:r>
    </w:p>
  </w:endnote>
  <w:endnote w:type="continuationSeparator" w:id="0">
    <w:p w14:paraId="2824481F" w14:textId="77777777" w:rsidR="00910B80" w:rsidRDefault="0091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A6CD" w14:textId="1C17AE23" w:rsidR="00C91FAD" w:rsidRDefault="00D225DC">
    <w:pPr>
      <w:spacing w:after="74"/>
      <w:ind w:left="29"/>
      <w:jc w:val="center"/>
    </w:pPr>
    <w:r>
      <w:rPr>
        <w:rFonts w:ascii="Arial" w:eastAsia="Arial" w:hAnsi="Arial" w:cs="Arial"/>
        <w:sz w:val="24"/>
      </w:rPr>
      <w:t xml:space="preserve"> </w:t>
    </w:r>
  </w:p>
  <w:p w14:paraId="6E3CF630" w14:textId="77777777" w:rsidR="00C91FAD" w:rsidRDefault="00D225DC">
    <w:pPr>
      <w:spacing w:after="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E221" w14:textId="7F71DEAB" w:rsidR="00C91FAD" w:rsidRDefault="00C91FA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D753" w14:textId="77777777" w:rsidR="00C91FAD" w:rsidRDefault="00D225DC">
    <w:pPr>
      <w:spacing w:after="74"/>
      <w:ind w:left="29"/>
      <w:jc w:val="center"/>
    </w:pPr>
    <w:r>
      <w:rPr>
        <w:rFonts w:ascii="Arial" w:eastAsia="Arial" w:hAnsi="Arial" w:cs="Arial"/>
        <w:sz w:val="24"/>
      </w:rPr>
      <w:t xml:space="preserve">66 </w:t>
    </w:r>
  </w:p>
  <w:p w14:paraId="6248376F" w14:textId="77777777" w:rsidR="00C91FAD" w:rsidRDefault="00D225DC">
    <w:pPr>
      <w:spacing w:after="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7F65" w14:textId="77777777" w:rsidR="00910B80" w:rsidRDefault="00910B80">
      <w:pPr>
        <w:spacing w:after="0" w:line="240" w:lineRule="auto"/>
      </w:pPr>
      <w:r>
        <w:separator/>
      </w:r>
    </w:p>
  </w:footnote>
  <w:footnote w:type="continuationSeparator" w:id="0">
    <w:p w14:paraId="407833CF" w14:textId="77777777" w:rsidR="00910B80" w:rsidRDefault="00910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419"/>
    <w:multiLevelType w:val="hybridMultilevel"/>
    <w:tmpl w:val="E40C231E"/>
    <w:lvl w:ilvl="0" w:tplc="8FA896F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C1BE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82E9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88E1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6FA8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D4B5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48F8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A4E5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49D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CA6AA2"/>
    <w:multiLevelType w:val="hybridMultilevel"/>
    <w:tmpl w:val="27F40162"/>
    <w:lvl w:ilvl="0" w:tplc="7292B8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621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E437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C8AD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65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2476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4C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C3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4E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5E1105"/>
    <w:multiLevelType w:val="hybridMultilevel"/>
    <w:tmpl w:val="1E02A648"/>
    <w:lvl w:ilvl="0" w:tplc="980CAF5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40DA">
      <w:start w:val="1"/>
      <w:numFmt w:val="bullet"/>
      <w:lvlText w:val="o"/>
      <w:lvlJc w:val="left"/>
      <w:pPr>
        <w:ind w:left="2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4AFA8">
      <w:start w:val="1"/>
      <w:numFmt w:val="bullet"/>
      <w:lvlText w:val="▪"/>
      <w:lvlJc w:val="left"/>
      <w:pPr>
        <w:ind w:left="3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86B28E">
      <w:start w:val="1"/>
      <w:numFmt w:val="bullet"/>
      <w:lvlText w:val="•"/>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C6A00">
      <w:start w:val="1"/>
      <w:numFmt w:val="bullet"/>
      <w:lvlText w:val="o"/>
      <w:lvlJc w:val="left"/>
      <w:pPr>
        <w:ind w:left="4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21854">
      <w:start w:val="1"/>
      <w:numFmt w:val="bullet"/>
      <w:lvlText w:val="▪"/>
      <w:lvlJc w:val="left"/>
      <w:pPr>
        <w:ind w:left="5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8641E">
      <w:start w:val="1"/>
      <w:numFmt w:val="bullet"/>
      <w:lvlText w:val="•"/>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8FBDA">
      <w:start w:val="1"/>
      <w:numFmt w:val="bullet"/>
      <w:lvlText w:val="o"/>
      <w:lvlJc w:val="left"/>
      <w:pPr>
        <w:ind w:left="6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0EAAA">
      <w:start w:val="1"/>
      <w:numFmt w:val="bullet"/>
      <w:lvlText w:val="▪"/>
      <w:lvlJc w:val="left"/>
      <w:pPr>
        <w:ind w:left="7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BB34BB"/>
    <w:multiLevelType w:val="hybridMultilevel"/>
    <w:tmpl w:val="58587CB2"/>
    <w:lvl w:ilvl="0" w:tplc="2772C7E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0E958">
      <w:start w:val="1"/>
      <w:numFmt w:val="bullet"/>
      <w:lvlText w:val="o"/>
      <w:lvlJc w:val="left"/>
      <w:pPr>
        <w:ind w:left="2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8EAE70">
      <w:start w:val="1"/>
      <w:numFmt w:val="bullet"/>
      <w:lvlText w:val="▪"/>
      <w:lvlJc w:val="left"/>
      <w:pPr>
        <w:ind w:left="3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40F194">
      <w:start w:val="1"/>
      <w:numFmt w:val="bullet"/>
      <w:lvlText w:val="•"/>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45080">
      <w:start w:val="1"/>
      <w:numFmt w:val="bullet"/>
      <w:lvlText w:val="o"/>
      <w:lvlJc w:val="left"/>
      <w:pPr>
        <w:ind w:left="4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6A8BC">
      <w:start w:val="1"/>
      <w:numFmt w:val="bullet"/>
      <w:lvlText w:val="▪"/>
      <w:lvlJc w:val="left"/>
      <w:pPr>
        <w:ind w:left="5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964A7C">
      <w:start w:val="1"/>
      <w:numFmt w:val="bullet"/>
      <w:lvlText w:val="•"/>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452D8">
      <w:start w:val="1"/>
      <w:numFmt w:val="bullet"/>
      <w:lvlText w:val="o"/>
      <w:lvlJc w:val="left"/>
      <w:pPr>
        <w:ind w:left="6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00F026">
      <w:start w:val="1"/>
      <w:numFmt w:val="bullet"/>
      <w:lvlText w:val="▪"/>
      <w:lvlJc w:val="left"/>
      <w:pPr>
        <w:ind w:left="7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0A40BB"/>
    <w:multiLevelType w:val="hybridMultilevel"/>
    <w:tmpl w:val="F5AA06EA"/>
    <w:lvl w:ilvl="0" w:tplc="9CB0A2A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C6B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BA6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E045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C2C6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62A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E1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EB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07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9E7D50"/>
    <w:multiLevelType w:val="hybridMultilevel"/>
    <w:tmpl w:val="802C8944"/>
    <w:lvl w:ilvl="0" w:tplc="5CA48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B2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44F0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B022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E02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9A0D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2EC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29D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3EAA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0C0673"/>
    <w:multiLevelType w:val="hybridMultilevel"/>
    <w:tmpl w:val="4EC8CBEE"/>
    <w:lvl w:ilvl="0" w:tplc="14F429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423D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B246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7016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6BF6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E79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A52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0EF4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D20A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430D07"/>
    <w:multiLevelType w:val="hybridMultilevel"/>
    <w:tmpl w:val="37F05266"/>
    <w:lvl w:ilvl="0" w:tplc="830C05C8">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3A01D88"/>
    <w:multiLevelType w:val="hybridMultilevel"/>
    <w:tmpl w:val="54E4018A"/>
    <w:lvl w:ilvl="0" w:tplc="42BCB1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40B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26A19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B43A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2D9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4A34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EEC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0FF6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58FE2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B91C52"/>
    <w:multiLevelType w:val="hybridMultilevel"/>
    <w:tmpl w:val="56CAEC5A"/>
    <w:lvl w:ilvl="0" w:tplc="C7326284">
      <w:start w:val="1"/>
      <w:numFmt w:val="bullet"/>
      <w:lvlText w:val="•"/>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8ED8C">
      <w:start w:val="1"/>
      <w:numFmt w:val="bullet"/>
      <w:lvlText w:val="o"/>
      <w:lvlJc w:val="left"/>
      <w:pPr>
        <w:ind w:left="2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380AA8">
      <w:start w:val="1"/>
      <w:numFmt w:val="bullet"/>
      <w:lvlText w:val="▪"/>
      <w:lvlJc w:val="left"/>
      <w:pPr>
        <w:ind w:left="3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0F914">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83A6A">
      <w:start w:val="1"/>
      <w:numFmt w:val="bullet"/>
      <w:lvlText w:val="o"/>
      <w:lvlJc w:val="left"/>
      <w:pPr>
        <w:ind w:left="4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30E42C">
      <w:start w:val="1"/>
      <w:numFmt w:val="bullet"/>
      <w:lvlText w:val="▪"/>
      <w:lvlJc w:val="left"/>
      <w:pPr>
        <w:ind w:left="5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5AF8CC">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6F02A">
      <w:start w:val="1"/>
      <w:numFmt w:val="bullet"/>
      <w:lvlText w:val="o"/>
      <w:lvlJc w:val="left"/>
      <w:pPr>
        <w:ind w:left="6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B0F076">
      <w:start w:val="1"/>
      <w:numFmt w:val="bullet"/>
      <w:lvlText w:val="▪"/>
      <w:lvlJc w:val="left"/>
      <w:pPr>
        <w:ind w:left="7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6A696E"/>
    <w:multiLevelType w:val="hybridMultilevel"/>
    <w:tmpl w:val="D6842CEE"/>
    <w:lvl w:ilvl="0" w:tplc="05A04EA2">
      <w:start w:val="1"/>
      <w:numFmt w:val="bullet"/>
      <w:lvlText w:val="•"/>
      <w:lvlJc w:val="left"/>
      <w:pPr>
        <w:ind w:left="1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C06B6C">
      <w:start w:val="1"/>
      <w:numFmt w:val="bullet"/>
      <w:lvlText w:val="o"/>
      <w:lvlJc w:val="left"/>
      <w:pPr>
        <w:ind w:left="2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CC5A2">
      <w:start w:val="1"/>
      <w:numFmt w:val="bullet"/>
      <w:lvlText w:val="▪"/>
      <w:lvlJc w:val="left"/>
      <w:pPr>
        <w:ind w:left="3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EDDB4">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A84A4">
      <w:start w:val="1"/>
      <w:numFmt w:val="bullet"/>
      <w:lvlText w:val="o"/>
      <w:lvlJc w:val="left"/>
      <w:pPr>
        <w:ind w:left="4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8DF74">
      <w:start w:val="1"/>
      <w:numFmt w:val="bullet"/>
      <w:lvlText w:val="▪"/>
      <w:lvlJc w:val="left"/>
      <w:pPr>
        <w:ind w:left="5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C48180">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CB034">
      <w:start w:val="1"/>
      <w:numFmt w:val="bullet"/>
      <w:lvlText w:val="o"/>
      <w:lvlJc w:val="left"/>
      <w:pPr>
        <w:ind w:left="6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3C1CB0">
      <w:start w:val="1"/>
      <w:numFmt w:val="bullet"/>
      <w:lvlText w:val="▪"/>
      <w:lvlJc w:val="left"/>
      <w:pPr>
        <w:ind w:left="7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F86EF6"/>
    <w:multiLevelType w:val="hybridMultilevel"/>
    <w:tmpl w:val="39B43420"/>
    <w:lvl w:ilvl="0" w:tplc="2BF4893E">
      <w:start w:val="1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44F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80A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CA3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285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EEA9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E2C4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6E37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3876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5565BA"/>
    <w:multiLevelType w:val="hybridMultilevel"/>
    <w:tmpl w:val="A2C4CD76"/>
    <w:lvl w:ilvl="0" w:tplc="AE5CA7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486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E64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00DE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0E0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D694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6E85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A673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70E71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8A4995"/>
    <w:multiLevelType w:val="hybridMultilevel"/>
    <w:tmpl w:val="31FAADD2"/>
    <w:lvl w:ilvl="0" w:tplc="055046C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2A714">
      <w:start w:val="1"/>
      <w:numFmt w:val="bullet"/>
      <w:lvlText w:val="o"/>
      <w:lvlJc w:val="left"/>
      <w:pPr>
        <w:ind w:left="2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80D01A">
      <w:start w:val="1"/>
      <w:numFmt w:val="bullet"/>
      <w:lvlText w:val="▪"/>
      <w:lvlJc w:val="left"/>
      <w:pPr>
        <w:ind w:left="3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CC234E">
      <w:start w:val="1"/>
      <w:numFmt w:val="bullet"/>
      <w:lvlText w:val="•"/>
      <w:lvlJc w:val="left"/>
      <w:pPr>
        <w:ind w:left="4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827F2">
      <w:start w:val="1"/>
      <w:numFmt w:val="bullet"/>
      <w:lvlText w:val="o"/>
      <w:lvlJc w:val="left"/>
      <w:pPr>
        <w:ind w:left="4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545436">
      <w:start w:val="1"/>
      <w:numFmt w:val="bullet"/>
      <w:lvlText w:val="▪"/>
      <w:lvlJc w:val="left"/>
      <w:pPr>
        <w:ind w:left="5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42AA8">
      <w:start w:val="1"/>
      <w:numFmt w:val="bullet"/>
      <w:lvlText w:val="•"/>
      <w:lvlJc w:val="left"/>
      <w:pPr>
        <w:ind w:left="6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6CA56">
      <w:start w:val="1"/>
      <w:numFmt w:val="bullet"/>
      <w:lvlText w:val="o"/>
      <w:lvlJc w:val="left"/>
      <w:pPr>
        <w:ind w:left="6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2C558">
      <w:start w:val="1"/>
      <w:numFmt w:val="bullet"/>
      <w:lvlText w:val="▪"/>
      <w:lvlJc w:val="left"/>
      <w:pPr>
        <w:ind w:left="7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C36A35"/>
    <w:multiLevelType w:val="hybridMultilevel"/>
    <w:tmpl w:val="A0903352"/>
    <w:lvl w:ilvl="0" w:tplc="4CD864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E5B8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56DC4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4E15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6988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216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C3F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82A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30B9A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DB3317"/>
    <w:multiLevelType w:val="hybridMultilevel"/>
    <w:tmpl w:val="7BDC4E16"/>
    <w:lvl w:ilvl="0" w:tplc="23FCBE2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C08CA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B6A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2AA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9E38E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0C232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6C91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4D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AA0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82980301">
    <w:abstractNumId w:val="12"/>
  </w:num>
  <w:num w:numId="2" w16cid:durableId="48305889">
    <w:abstractNumId w:val="6"/>
  </w:num>
  <w:num w:numId="3" w16cid:durableId="1400522680">
    <w:abstractNumId w:val="0"/>
  </w:num>
  <w:num w:numId="4" w16cid:durableId="885945795">
    <w:abstractNumId w:val="8"/>
  </w:num>
  <w:num w:numId="5" w16cid:durableId="439376998">
    <w:abstractNumId w:val="15"/>
  </w:num>
  <w:num w:numId="6" w16cid:durableId="1226798706">
    <w:abstractNumId w:val="14"/>
  </w:num>
  <w:num w:numId="7" w16cid:durableId="2020228569">
    <w:abstractNumId w:val="4"/>
  </w:num>
  <w:num w:numId="8" w16cid:durableId="1443500369">
    <w:abstractNumId w:val="11"/>
  </w:num>
  <w:num w:numId="9" w16cid:durableId="259685309">
    <w:abstractNumId w:val="9"/>
  </w:num>
  <w:num w:numId="10" w16cid:durableId="1961718781">
    <w:abstractNumId w:val="10"/>
  </w:num>
  <w:num w:numId="11" w16cid:durableId="1739936946">
    <w:abstractNumId w:val="13"/>
  </w:num>
  <w:num w:numId="12" w16cid:durableId="894854634">
    <w:abstractNumId w:val="3"/>
  </w:num>
  <w:num w:numId="13" w16cid:durableId="1875802628">
    <w:abstractNumId w:val="2"/>
  </w:num>
  <w:num w:numId="14" w16cid:durableId="563569797">
    <w:abstractNumId w:val="1"/>
  </w:num>
  <w:num w:numId="15" w16cid:durableId="735394953">
    <w:abstractNumId w:val="5"/>
  </w:num>
  <w:num w:numId="16" w16cid:durableId="1811828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AD"/>
    <w:rsid w:val="000130E0"/>
    <w:rsid w:val="00017395"/>
    <w:rsid w:val="00037FAE"/>
    <w:rsid w:val="00123B13"/>
    <w:rsid w:val="00155B7C"/>
    <w:rsid w:val="001A6483"/>
    <w:rsid w:val="0021367A"/>
    <w:rsid w:val="0021632A"/>
    <w:rsid w:val="002358B4"/>
    <w:rsid w:val="002416D0"/>
    <w:rsid w:val="00260C6E"/>
    <w:rsid w:val="002840BB"/>
    <w:rsid w:val="002B408D"/>
    <w:rsid w:val="002C611F"/>
    <w:rsid w:val="002D12FD"/>
    <w:rsid w:val="00331B3A"/>
    <w:rsid w:val="0034652B"/>
    <w:rsid w:val="00356290"/>
    <w:rsid w:val="00364A9D"/>
    <w:rsid w:val="00372A36"/>
    <w:rsid w:val="00373278"/>
    <w:rsid w:val="00413901"/>
    <w:rsid w:val="00426441"/>
    <w:rsid w:val="004512FF"/>
    <w:rsid w:val="004C0946"/>
    <w:rsid w:val="00595BC0"/>
    <w:rsid w:val="005A0511"/>
    <w:rsid w:val="005A7084"/>
    <w:rsid w:val="005D1A31"/>
    <w:rsid w:val="005E02EB"/>
    <w:rsid w:val="005F14FF"/>
    <w:rsid w:val="006058FA"/>
    <w:rsid w:val="006157AB"/>
    <w:rsid w:val="0064482B"/>
    <w:rsid w:val="00646F66"/>
    <w:rsid w:val="0065619B"/>
    <w:rsid w:val="00657065"/>
    <w:rsid w:val="0068486E"/>
    <w:rsid w:val="00697774"/>
    <w:rsid w:val="00712BA2"/>
    <w:rsid w:val="00722632"/>
    <w:rsid w:val="00742069"/>
    <w:rsid w:val="00790EFD"/>
    <w:rsid w:val="007A3FB0"/>
    <w:rsid w:val="007F6B95"/>
    <w:rsid w:val="00882FE1"/>
    <w:rsid w:val="00893A46"/>
    <w:rsid w:val="008D5A05"/>
    <w:rsid w:val="00910B80"/>
    <w:rsid w:val="00944200"/>
    <w:rsid w:val="009934EB"/>
    <w:rsid w:val="009A157E"/>
    <w:rsid w:val="00A023B0"/>
    <w:rsid w:val="00A034C6"/>
    <w:rsid w:val="00A52F89"/>
    <w:rsid w:val="00A56618"/>
    <w:rsid w:val="00AD2775"/>
    <w:rsid w:val="00B13CEE"/>
    <w:rsid w:val="00B9796D"/>
    <w:rsid w:val="00BB770C"/>
    <w:rsid w:val="00C07AD4"/>
    <w:rsid w:val="00C91FAD"/>
    <w:rsid w:val="00CC3C1B"/>
    <w:rsid w:val="00CC6064"/>
    <w:rsid w:val="00D131C1"/>
    <w:rsid w:val="00D225DC"/>
    <w:rsid w:val="00D573C8"/>
    <w:rsid w:val="00E12440"/>
    <w:rsid w:val="00E33EBC"/>
    <w:rsid w:val="00E56B0E"/>
    <w:rsid w:val="00EA0D74"/>
    <w:rsid w:val="00EF212D"/>
    <w:rsid w:val="00F32455"/>
    <w:rsid w:val="00F5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C428"/>
  <w15:docId w15:val="{4DD5FC2E-BCFD-4490-AA2B-3E0D6065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8" w:lineRule="auto"/>
      <w:ind w:left="10" w:hanging="10"/>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75"/>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49" w:lineRule="auto"/>
      <w:ind w:left="1061"/>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line="249" w:lineRule="auto"/>
      <w:ind w:left="1143" w:hanging="10"/>
      <w:jc w:val="both"/>
      <w:outlineLvl w:val="3"/>
    </w:pPr>
    <w:rPr>
      <w:rFonts w:ascii="Arial" w:eastAsia="Arial" w:hAnsi="Arial" w:cs="Arial"/>
      <w:b/>
      <w:i/>
      <w:color w:val="000000"/>
    </w:rPr>
  </w:style>
  <w:style w:type="paragraph" w:styleId="Heading5">
    <w:name w:val="heading 5"/>
    <w:next w:val="Normal"/>
    <w:link w:val="Heading5Char"/>
    <w:uiPriority w:val="9"/>
    <w:unhideWhenUsed/>
    <w:qFormat/>
    <w:pPr>
      <w:keepNext/>
      <w:keepLines/>
      <w:spacing w:after="5" w:line="249" w:lineRule="auto"/>
      <w:ind w:left="1143" w:hanging="10"/>
      <w:jc w:val="both"/>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i/>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5Char">
    <w:name w:val="Heading 5 Char"/>
    <w:link w:val="Heading5"/>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70C0"/>
      <w:sz w:val="32"/>
    </w:rPr>
  </w:style>
  <w:style w:type="character" w:customStyle="1" w:styleId="Heading3Char">
    <w:name w:val="Heading 3 Char"/>
    <w:link w:val="Heading3"/>
    <w:rPr>
      <w:rFonts w:ascii="Arial" w:eastAsia="Arial" w:hAnsi="Arial" w:cs="Arial"/>
      <w:b/>
      <w:color w:val="000000"/>
      <w:sz w:val="22"/>
    </w:rPr>
  </w:style>
  <w:style w:type="paragraph" w:styleId="TOC1">
    <w:name w:val="toc 1"/>
    <w:hidden/>
    <w:pPr>
      <w:spacing w:after="4" w:line="332" w:lineRule="auto"/>
      <w:ind w:left="25"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2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4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talvoicelincolnshire.org/" TargetMode="Externa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talvoicelincolnshire.org/"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cp:lastModifiedBy>HEWINSON, Karen (LINCOLNSHIRE COMMUNITY HEALTH SERVICES NHS TRUST)</cp:lastModifiedBy>
  <cp:revision>2</cp:revision>
  <dcterms:created xsi:type="dcterms:W3CDTF">2024-05-19T15:07:00Z</dcterms:created>
  <dcterms:modified xsi:type="dcterms:W3CDTF">2024-05-19T15:07:00Z</dcterms:modified>
</cp:coreProperties>
</file>