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Arial" w:cs="Arial" w:eastAsia="Arial" w:hAnsi="Arial"/>
          <w:b/>
          <w:bCs/>
          <w:sz w:val="36"/>
          <w:szCs w:val="36"/>
        </w:rPr>
        <w:t xml:space="preserve">Rigid Orthodontic Devices and Neurological Implications</w:t>
      </w:r>
    </w:p>
    <w:p>
      <w:pPr>
        <w:spacing w:after="120" w:before="0"/>
        <w:jc w:val="center"/>
      </w:pPr>
      <w:r>
        <w:rPr>
          <w:rFonts w:ascii="Arial" w:cs="Arial" w:eastAsia="Arial" w:hAnsi="Arial"/>
          <w:b/>
          <w:bCs/>
          <w:sz w:val="36"/>
          <w:szCs w:val="36"/>
        </w:rPr>
        <w:t xml:space="preserve">in the Craniofacial Complex</w:t>
      </w:r>
    </w:p>
    <w:p>
      <w:pPr>
        <w:spacing w:after="400" w:before="60"/>
        <w:jc w:val="center"/>
      </w:pPr>
      <w:r>
        <w:rPr>
          <w:rFonts w:ascii="Arial" w:cs="Arial" w:eastAsia="Arial" w:hAnsi="Arial"/>
          <w:i/>
          <w:iCs/>
          <w:sz w:val="26"/>
          <w:szCs w:val="26"/>
        </w:rPr>
        <w:t xml:space="preserve">An Integrative Literature Review</w:t>
      </w:r>
    </w:p>
    <w:p>
      <w:pPr>
        <w:spacing w:after="600" w:before="0"/>
        <w:jc w:val="center"/>
      </w:pPr>
      <w:r>
        <w:rPr>
          <w:rFonts w:ascii="Arial" w:cs="Arial" w:eastAsia="Arial" w:hAnsi="Arial"/>
          <w:color w:val="555555"/>
          <w:sz w:val="22"/>
          <w:szCs w:val="22"/>
        </w:rPr>
        <w:t xml:space="preserve">Prepared within the Framework of Neurofunctional Dental Medicine</w:t>
      </w:r>
    </w:p>
    <w:p>
      <w:pPr>
        <w:pStyle w:val="Heading1"/>
        <w:spacing w:after="180" w:before="360"/>
      </w:pPr>
      <w:r>
        <w:rPr>
          <w:rFonts w:ascii="Arial" w:cs="Arial" w:eastAsia="Arial" w:hAnsi="Arial"/>
          <w:b/>
          <w:bCs/>
          <w:sz w:val="30"/>
          <w:szCs w:val="30"/>
        </w:rPr>
        <w:t xml:space="preserve">Abstract</w:t>
      </w:r>
    </w:p>
    <w:p>
      <w:pPr>
        <w:spacing w:after="80" w:before="80" w:line="360"/>
        <w:jc w:val="both"/>
      </w:pPr>
      <w:r>
        <w:rPr>
          <w:rFonts w:ascii="Arial" w:cs="Arial" w:eastAsia="Arial" w:hAnsi="Arial"/>
          <w:sz w:val="22"/>
          <w:szCs w:val="22"/>
        </w:rPr>
        <w:t xml:space="preserve">Rigid orthodontic and dentofacial orthopedic appliances impose mechanical loads on the craniofacial skeleton that extend well beyond the dentoalveolar complex. This integrative literature review synthesizes findings from primary sources to examine the biomechanical, histological, and neurological consequences of such loading. Peptan, Lopez, Kopher, and Mao (2008) demonstrated that brief cyclic forces induce significant sutural widening and anabolic bone modeling. Martinez-Maza, Rosas, and Nieto-Díaz (2013) revealed that postnatal facial bone modeling shifts from a downward to a forward growth vector across the lifespan, with craniofacial sutures coordinating these transitions in response to both biological milestones and external mechanical stimuli. Williams et al. (2011) showed that bruxism produces dramatically amplified temporal bone displacement in patients with multiple sclerosis, implicating intracranial pressure dynamics and sutural hypermobility in neurological sequelae. A fourth body of evidence on RPE and MARPE demonstrates that the mechanical pursuit of airway expansion propagates forces through the pterygoid processes, spheno-occipital synchondrosis, sella turcica, and temporal bone — placing neurovascular foramina and intracranial structures at unacknowledged mechanical risk. A fifth evidence stream, anchored in the Neurofunctional Dental Medicine framework, introduces the SWITCH test — a chair-side proprioceptive neurofunctional assessment developed within the Neurofunctional Dental Medicine framework developed by Dr. Angie Tenholder — as a clinical decision-making tool for differentiating patients suited to dynamic neurofunctional appliance therapy from those who may tolerably receive rigid expansion, and as a longitudinal monitoring instrument for detecting iatrogenic neural circuit disruption during active expansion treatment. Together, these five lines of evidence argue for a paradigm in which appliance-driven airway modification is evaluated as a neurological intervention, and clinical monitoring of its neurofunctional consequences is embedded in standard care protocols.</w:t>
      </w:r>
    </w:p>
    <w:p>
      <w:pPr>
        <w:spacing w:after="80" w:before="80"/>
      </w:pPr>
      <w:r>
        <w:t xml:space="preserve"/>
      </w:r>
    </w:p>
    <w:p>
      <w:pPr>
        <w:pStyle w:val="Heading1"/>
        <w:spacing w:after="180" w:before="360"/>
      </w:pPr>
      <w:r>
        <w:rPr>
          <w:rFonts w:ascii="Arial" w:cs="Arial" w:eastAsia="Arial" w:hAnsi="Arial"/>
          <w:b/>
          <w:bCs/>
          <w:sz w:val="30"/>
          <w:szCs w:val="30"/>
        </w:rPr>
        <w:t xml:space="preserve">Introduction</w:t>
      </w:r>
    </w:p>
    <w:p>
      <w:pPr>
        <w:spacing w:after="80" w:before="80" w:line="360"/>
        <w:jc w:val="both"/>
      </w:pPr>
      <w:r>
        <w:rPr>
          <w:rFonts w:ascii="Arial" w:cs="Arial" w:eastAsia="Arial" w:hAnsi="Arial"/>
          <w:sz w:val="22"/>
          <w:szCs w:val="22"/>
        </w:rPr>
        <w:t xml:space="preserve">The craniofacial skeleton is not a static architectural structure but a dynamically responsive biological system whose shape, density, and neurological integration are continuously modulated by mechanical forces. Conventional orthodontics and dentofacial orthopedics have long relied on this adaptability, applying static or quasi-static loads to move teeth and redirect skeletal growth. However, the application of rigid appliances — including fixed palatal expanders, functional appliances, and mandibular repositioning devices — introduces force patterns that differ meaningfully from physiological loading in terms of duration, direction, magnitude, and oscillatory character.</w:t>
      </w:r>
    </w:p>
    <w:p>
      <w:pPr>
        <w:spacing w:after="80" w:before="80" w:line="360"/>
        <w:jc w:val="both"/>
      </w:pPr>
      <w:r>
        <w:rPr>
          <w:rFonts w:ascii="Arial" w:cs="Arial" w:eastAsia="Arial" w:hAnsi="Arial"/>
          <w:sz w:val="22"/>
          <w:szCs w:val="22"/>
        </w:rPr>
        <w:t xml:space="preserve">In recent decades, rapid palatal expansion (RPE) and its miniscrew-assisted variant (MARPE) have been reframed not merely as orthodontic correctors of transverse maxillary deficiency, but as interventions for sleep-disordered breathing and upper airway obstruction. The airway benefit is real. The neurological risks, however, have been undercharacterized. Finite element analysis studies document stress propagation to the pterygoid plates, sella turcica, spheno-occipital synchondrosis, and temporal bone; clinical case series document zygomatic and orbital fractures; and the Williams et al. data demonstrate that altered sutural compliance amplifies jaw-generated intracranial forces by sixfold in neurologically vulnerable patients. Yet the field has lacked a practical clinical decision framework for matching patients to appropriate appliance strategy based on their neurological readiness, or for monitoring the neurofunctional consequences of expansion during treatment.</w:t>
      </w:r>
    </w:p>
    <w:p>
      <w:pPr>
        <w:spacing w:after="80" w:before="80" w:line="360"/>
        <w:jc w:val="both"/>
      </w:pPr>
      <w:r>
        <w:rPr>
          <w:rFonts w:ascii="Arial" w:cs="Arial" w:eastAsia="Arial" w:hAnsi="Arial"/>
          <w:sz w:val="22"/>
          <w:szCs w:val="22"/>
        </w:rPr>
        <w:t xml:space="preserve">This review synthesizes evidence across five domains to address that gap. The first three sources — Peptan et al., Martinez-Maza et al., and Williams et al. — establish the mechanobiological, developmental, and neurological foundations. The fourth domain — the RPE/MARPE biomechanics literature — identifies the specific mechanisms by which rigid expansion risks neurological harm. The fifth domain introduces the SWITCH test within the Neurofunctional Dental Medicine (NFDM) framework as both a pre-treatment triage tool and a longitudinal monitoring protocol, and contextualizes the dynamic neurofunctional appliance approach — exemplified by the Advanced Lightwire Functional (ALF) appliance and the TORNADO device family — as the mechanobiologically coherent alternative to rigid expansion in neurologically sensitive patients.</w:t>
      </w:r>
    </w:p>
    <w:p>
      <w:pPr>
        <w:spacing w:after="80" w:before="80"/>
      </w:pPr>
      <w:r>
        <w:t xml:space="preserve"/>
      </w:r>
    </w:p>
    <w:p>
      <w:pPr>
        <w:pStyle w:val="Heading1"/>
        <w:spacing w:after="180" w:before="360"/>
      </w:pPr>
      <w:r>
        <w:rPr>
          <w:rFonts w:ascii="Arial" w:cs="Arial" w:eastAsia="Arial" w:hAnsi="Arial"/>
          <w:b/>
          <w:bCs/>
          <w:sz w:val="30"/>
          <w:szCs w:val="30"/>
        </w:rPr>
        <w:t xml:space="preserve">Source 1: Sutural Mechanobiology and the Response to Cyclic Loading</w:t>
      </w:r>
    </w:p>
    <w:p>
      <w:pPr>
        <w:spacing w:after="80" w:before="80" w:line="360"/>
        <w:jc w:val="both"/>
      </w:pPr>
      <w:r>
        <w:rPr>
          <w:rFonts w:ascii="Arial" w:cs="Arial" w:eastAsia="Arial" w:hAnsi="Arial"/>
          <w:i/>
          <w:iCs/>
          <w:sz w:val="22"/>
          <w:szCs w:val="22"/>
        </w:rPr>
        <w:t xml:space="preserve">Peptan AI, Lopez A, Kopher RA, Mao JJ. Responses of intramembranous bone and sutures upon in vivo cyclic tensile and compressive loading. Bone. 2008;42(2):432–438.</w:t>
      </w:r>
    </w:p>
    <w:p>
      <w:pPr>
        <w:spacing w:after="80" w:before="80"/>
      </w:pPr>
      <w:r>
        <w:t xml:space="preserve"/>
      </w:r>
    </w:p>
    <w:p>
      <w:pPr>
        <w:pStyle w:val="Heading2"/>
        <w:spacing w:after="140" w:before="280"/>
      </w:pPr>
      <w:r>
        <w:rPr>
          <w:rFonts w:ascii="Arial" w:cs="Arial" w:eastAsia="Arial" w:hAnsi="Arial"/>
          <w:b/>
          <w:bCs/>
          <w:sz w:val="26"/>
          <w:szCs w:val="26"/>
        </w:rPr>
        <w:t xml:space="preserve">Overview and Key Findings</w:t>
      </w:r>
    </w:p>
    <w:p>
      <w:pPr>
        <w:spacing w:after="80" w:before="80" w:line="360"/>
        <w:jc w:val="both"/>
      </w:pPr>
      <w:r>
        <w:rPr>
          <w:rFonts w:ascii="Arial" w:cs="Arial" w:eastAsia="Arial" w:hAnsi="Arial"/>
          <w:sz w:val="22"/>
          <w:szCs w:val="22"/>
        </w:rPr>
        <w:t xml:space="preserve">Peptan and colleagues investigated how brief doses of high-frequency cyclic forces influence the mechanobiology of craniofacial sutures in a growing rabbit model. Sinusoidal tensile or compressive forces at 1 Newton and 8 Hz were applied to the maxillary incisors for 20 minutes per day over 12 consecutive days. Both tensile and compressive cyclic loading produced anabolic responses in craniofacial sutures. In the PMS, average sutural widths under loading (163–175 μm) were significantly greater than sham controls (69 μm; p &lt; 0.01), and sutural cell density nearly tripled. Tensile loading increased osteoblast-occupied surface and suppressed osteoclast surfaces, establishing a coupled anabolic-anti-catabolic response. The authors proposed that the structural complexity of craniofacial sutures converts both tensile and compressive external forces into shear stresses and fluid-flow mechanotransduction signals, activating common osteogenic pathways regardless of force polarity.</w:t>
      </w:r>
    </w:p>
    <w:p>
      <w:pPr>
        <w:pStyle w:val="Heading2"/>
        <w:spacing w:after="140" w:before="280"/>
      </w:pPr>
      <w:r>
        <w:rPr>
          <w:rFonts w:ascii="Arial" w:cs="Arial" w:eastAsia="Arial" w:hAnsi="Arial"/>
          <w:b/>
          <w:bCs/>
          <w:sz w:val="26"/>
          <w:szCs w:val="26"/>
        </w:rPr>
        <w:t xml:space="preserve">Critical Distinction: Cyclic vs. Static Loading</w:t>
      </w:r>
    </w:p>
    <w:p>
      <w:pPr>
        <w:spacing w:after="80" w:before="80" w:line="360"/>
        <w:jc w:val="both"/>
      </w:pPr>
      <w:r>
        <w:rPr>
          <w:rFonts w:ascii="Arial" w:cs="Arial" w:eastAsia="Arial" w:hAnsi="Arial"/>
          <w:sz w:val="22"/>
          <w:szCs w:val="22"/>
        </w:rPr>
        <w:t xml:space="preserve">The Peptan data establish the following mechanobiological principle that underlies the entire review: bone adaptation in craniofacial sutures requires loading that is functional and cyclical. Static, high-magnitude, sustained forces — the signature of RPE and MARPE — are not physiologically adaptive stimuli for sutural tissue. They generate stress concentrations that propagate beyond the target suture, recruit maladaptive remodeling pathways, and engage adjacent neurovascular structures in ways that brief, oscillatory, sub-Newton physiological forces do not. This distinction is the theoretical cornerstone of the case for preferring dynamic, neurofunctional appliance designs over rigid expansion in patients at neurological risk.</w:t>
      </w:r>
    </w:p>
    <w:p>
      <w:pPr>
        <w:spacing w:after="80" w:before="80"/>
      </w:pPr>
      <w:r>
        <w:t xml:space="preserve"/>
      </w:r>
    </w:p>
    <w:p>
      <w:pPr>
        <w:pStyle w:val="Heading1"/>
        <w:spacing w:after="180" w:before="360"/>
      </w:pPr>
      <w:r>
        <w:rPr>
          <w:rFonts w:ascii="Arial" w:cs="Arial" w:eastAsia="Arial" w:hAnsi="Arial"/>
          <w:b/>
          <w:bCs/>
          <w:sz w:val="30"/>
          <w:szCs w:val="30"/>
        </w:rPr>
        <w:t xml:space="preserve">Source 2: Developmental Architecture of the Human Craniofacial Skeleton</w:t>
      </w:r>
    </w:p>
    <w:p>
      <w:pPr>
        <w:spacing w:after="80" w:before="80" w:line="360"/>
        <w:jc w:val="both"/>
      </w:pPr>
      <w:r>
        <w:rPr>
          <w:rFonts w:ascii="Arial" w:cs="Arial" w:eastAsia="Arial" w:hAnsi="Arial"/>
          <w:i/>
          <w:iCs/>
          <w:sz w:val="22"/>
          <w:szCs w:val="22"/>
        </w:rPr>
        <w:t xml:space="preserve">Martinez-Maza C, Rosas A, Nieto-Díaz M. Postnatal changes in the growth dynamics of the human face revealed from bone modelling patterns. Journal of Anatomy. 2013;223(3):228–241.</w:t>
      </w:r>
    </w:p>
    <w:p>
      <w:pPr>
        <w:spacing w:after="80" w:before="80"/>
      </w:pPr>
      <w:r>
        <w:t xml:space="preserve"/>
      </w:r>
    </w:p>
    <w:p>
      <w:pPr>
        <w:pStyle w:val="Heading2"/>
        <w:spacing w:after="140" w:before="280"/>
      </w:pPr>
      <w:r>
        <w:rPr>
          <w:rFonts w:ascii="Arial" w:cs="Arial" w:eastAsia="Arial" w:hAnsi="Arial"/>
          <w:b/>
          <w:bCs/>
          <w:sz w:val="26"/>
          <w:szCs w:val="26"/>
        </w:rPr>
        <w:t xml:space="preserve">Overview and Key Findings</w:t>
      </w:r>
    </w:p>
    <w:p>
      <w:pPr>
        <w:spacing w:after="80" w:before="80" w:line="360"/>
        <w:jc w:val="both"/>
      </w:pPr>
      <w:r>
        <w:rPr>
          <w:rFonts w:ascii="Arial" w:cs="Arial" w:eastAsia="Arial" w:hAnsi="Arial"/>
          <w:sz w:val="22"/>
          <w:szCs w:val="22"/>
        </w:rPr>
        <w:t xml:space="preserve">Martinez-Maza and colleagues mapped bone formation and resorption activity across all major regions of the facial skeleton and mandible in subadult (ages 7–17) and adult (ages 24–38) specimens, revealing distinct ontogenetic shifts. In subadults, growth was predominantly downward, driven by resorptive fields in the nasomaxillary region coordinated with sutural deposition. In adults, the dominant vector shifted to forward growth. Most facial sutures — including the frontomaxillary, nasomaxillary, and zygomaticomaxillary — remained patent into the seventh and eighth decades, permitting continued incremental facial growth across the lifespan. The study contextualized craniofacial development within Moss's functional matrix framework, interpreting the adult shift toward forward facial growth as a response to the need to expand oronasopharyngeal airway dimensions. This positions the suture system as the primary mediator of biologically directed airway accommodation — a function that RPE and MARPE seek to mechanically accelerate but may simultaneously disrupt.</w:t>
      </w:r>
    </w:p>
    <w:p>
      <w:pPr>
        <w:pStyle w:val="Heading2"/>
        <w:spacing w:after="140" w:before="280"/>
      </w:pPr>
      <w:r>
        <w:rPr>
          <w:rFonts w:ascii="Arial" w:cs="Arial" w:eastAsia="Arial" w:hAnsi="Arial"/>
          <w:b/>
          <w:bCs/>
          <w:sz w:val="26"/>
          <w:szCs w:val="26"/>
        </w:rPr>
        <w:t xml:space="preserve">Developmental Timing and Appliance Selection</w:t>
      </w:r>
    </w:p>
    <w:p>
      <w:pPr>
        <w:spacing w:after="80" w:before="80" w:line="360"/>
        <w:jc w:val="both"/>
      </w:pPr>
      <w:r>
        <w:rPr>
          <w:rFonts w:ascii="Arial" w:cs="Arial" w:eastAsia="Arial" w:hAnsi="Arial"/>
          <w:sz w:val="22"/>
          <w:szCs w:val="22"/>
        </w:rPr>
        <w:t xml:space="preserve">The Martinez-Maza developmental map provides the temporal framework for understanding when different appliance strategies are most appropriate. During the subadult period of maximal sutural mechanosensitivity, the craniofacial system is most responsive to low-amplitude, biologically aligned forces — the province of dynamic neurofunctional appliances. As sutural maturation advances into late adolescence and adulthood, the window for biologically directed growth narrows and rigid orthopedic force becomes increasingly necessary for midpalatal suture separation, but correspondingly more dangerous as sutural elasticity decreases and stress concentration at remote cranial base sites increases. The SWITCH test protocol, as described in Source 5, operationalizes this developmental context by providing a clinical marker of the patient's current neurofunctional responsiveness to intraoral mechanical change — a marker that is more directly predictive of treatment suitability than chronological age alone.</w:t>
      </w:r>
    </w:p>
    <w:p>
      <w:pPr>
        <w:spacing w:after="80" w:before="80"/>
      </w:pPr>
      <w:r>
        <w:t xml:space="preserve"/>
      </w:r>
    </w:p>
    <w:p>
      <w:pPr>
        <w:pStyle w:val="Heading1"/>
        <w:spacing w:after="180" w:before="360"/>
      </w:pPr>
      <w:r>
        <w:rPr>
          <w:rFonts w:ascii="Arial" w:cs="Arial" w:eastAsia="Arial" w:hAnsi="Arial"/>
          <w:b/>
          <w:bCs/>
          <w:sz w:val="30"/>
          <w:szCs w:val="30"/>
        </w:rPr>
        <w:t xml:space="preserve">Source 3: Bruxism, Temporal Bone Hypermobility, and Neurological Vulnerability</w:t>
      </w:r>
    </w:p>
    <w:p>
      <w:pPr>
        <w:spacing w:after="80" w:before="80" w:line="360"/>
        <w:jc w:val="both"/>
      </w:pPr>
      <w:r>
        <w:rPr>
          <w:rFonts w:ascii="Arial" w:cs="Arial" w:eastAsia="Arial" w:hAnsi="Arial"/>
          <w:i/>
          <w:iCs/>
          <w:sz w:val="22"/>
          <w:szCs w:val="22"/>
        </w:rPr>
        <w:t xml:space="preserve">Williams DE, Lynch JE, Doshi V, Singh GD, Hargens AR. Bruxism and temporal bone hypermobility in patients with multiple sclerosis. CRANIO®. 2011;29(3):178–186.</w:t>
      </w:r>
    </w:p>
    <w:p>
      <w:pPr>
        <w:spacing w:after="80" w:before="80"/>
      </w:pPr>
      <w:r>
        <w:t xml:space="preserve"/>
      </w:r>
    </w:p>
    <w:p>
      <w:pPr>
        <w:pStyle w:val="Heading2"/>
        <w:spacing w:after="140" w:before="280"/>
      </w:pPr>
      <w:r>
        <w:rPr>
          <w:rFonts w:ascii="Arial" w:cs="Arial" w:eastAsia="Arial" w:hAnsi="Arial"/>
          <w:b/>
          <w:bCs/>
          <w:sz w:val="26"/>
          <w:szCs w:val="26"/>
        </w:rPr>
        <w:t xml:space="preserve">Overview and Key Findings</w:t>
      </w:r>
    </w:p>
    <w:p>
      <w:pPr>
        <w:spacing w:after="80" w:before="80" w:line="360"/>
        <w:jc w:val="both"/>
      </w:pPr>
      <w:r>
        <w:rPr>
          <w:rFonts w:ascii="Arial" w:cs="Arial" w:eastAsia="Arial" w:hAnsi="Arial"/>
          <w:sz w:val="22"/>
          <w:szCs w:val="22"/>
        </w:rPr>
        <w:t xml:space="preserve">Williams and colleagues demonstrated, using ultrasonic PPLL technology, that jaw clenching at 100 pounds produced six times greater bi-temporal intracranial expansion in MS patients than in neurologically normal controls (1.71 mm vs. 0.27 mm; p &lt; 0.001). This disparity, attributable to compromised squamosal sutural architecture in MS patients, established the principle that neurological vulnerability dramatically amplifies the intracranial mechanical consequences of jaw-generated forces.</w:t>
      </w:r>
    </w:p>
    <w:p>
      <w:pPr>
        <w:pStyle w:val="Heading2"/>
        <w:spacing w:after="140" w:before="280"/>
      </w:pPr>
      <w:r>
        <w:rPr>
          <w:rFonts w:ascii="Arial" w:cs="Arial" w:eastAsia="Arial" w:hAnsi="Arial"/>
          <w:b/>
          <w:bCs/>
          <w:sz w:val="26"/>
          <w:szCs w:val="26"/>
        </w:rPr>
        <w:t xml:space="preserve">Bridging Principle: From Bruxism to Appliance Forces</w:t>
      </w:r>
    </w:p>
    <w:p>
      <w:pPr>
        <w:spacing w:after="80" w:before="80" w:line="360"/>
        <w:jc w:val="both"/>
      </w:pPr>
      <w:r>
        <w:rPr>
          <w:rFonts w:ascii="Arial" w:cs="Arial" w:eastAsia="Arial" w:hAnsi="Arial"/>
          <w:sz w:val="22"/>
          <w:szCs w:val="22"/>
        </w:rPr>
        <w:t xml:space="preserve">The Williams finding generalizes to RPE and MARPE in two ways. First, expansion appliances generate sustained forces that far exceed jaw-clenching loads in magnitude, raising corresponding concerns about intracranial mechanical transmission in all patients, not only those with neurological disease. Second, the temporal bone mechanical involvement documented in FEA studies of MARPE — where bending of the zygomatic process of the temporal bone occurs as a direct consequence of midpalatal expansion forces — means that MARPE and bruxism both engage the squamosal sutural interface identified by Williams as the critical locus of intracranial force coupling. In patients with sleep-disordered breathing who also exhibit nocturnal bruxism, the mechanical loads on this interface from appliance forces and parafunctional forces may compound. The SWITCH test, as described below, provides a means of detecting whether this compounding is producing detectable neurofunctional consequences.</w:t>
      </w:r>
    </w:p>
    <w:p>
      <w:pPr>
        <w:spacing w:after="80" w:before="80"/>
      </w:pPr>
      <w:r>
        <w:t xml:space="preserve"/>
      </w:r>
    </w:p>
    <w:p>
      <w:pPr>
        <w:pStyle w:val="Heading1"/>
        <w:spacing w:after="180" w:before="360"/>
      </w:pPr>
      <w:r>
        <w:rPr>
          <w:rFonts w:ascii="Arial" w:cs="Arial" w:eastAsia="Arial" w:hAnsi="Arial"/>
          <w:b/>
          <w:bCs/>
          <w:sz w:val="30"/>
          <w:szCs w:val="30"/>
        </w:rPr>
        <w:t xml:space="preserve">Source 4: RPE and MARPE as Airway Interventions — Unintended Neurological Consequences</w:t>
      </w:r>
    </w:p>
    <w:p>
      <w:pPr>
        <w:spacing w:after="80" w:before="80" w:line="360"/>
        <w:jc w:val="both"/>
      </w:pPr>
      <w:r>
        <w:rPr>
          <w:rFonts w:ascii="Arial" w:cs="Arial" w:eastAsia="Arial" w:hAnsi="Arial"/>
          <w:i/>
          <w:iCs/>
          <w:sz w:val="22"/>
          <w:szCs w:val="22"/>
        </w:rPr>
        <w:t xml:space="preserve">Integrating: FEA studies of RPE/MARPE stress transmission; Baser et al. (2022); Walter et al. (2025); and the broader clinical complication literature.</w:t>
      </w:r>
    </w:p>
    <w:p>
      <w:pPr>
        <w:spacing w:after="80" w:before="80"/>
      </w:pPr>
      <w:r>
        <w:t xml:space="preserve"/>
      </w:r>
    </w:p>
    <w:p>
      <w:pPr>
        <w:pStyle w:val="Heading2"/>
        <w:spacing w:after="140" w:before="280"/>
      </w:pPr>
      <w:r>
        <w:rPr>
          <w:rFonts w:ascii="Arial" w:cs="Arial" w:eastAsia="Arial" w:hAnsi="Arial"/>
          <w:b/>
          <w:bCs/>
          <w:sz w:val="26"/>
          <w:szCs w:val="26"/>
        </w:rPr>
        <w:t xml:space="preserve">The Airway Rationale and Its Biomechanical Costs</w:t>
      </w:r>
    </w:p>
    <w:p>
      <w:pPr>
        <w:spacing w:after="80" w:before="80" w:line="360"/>
        <w:jc w:val="both"/>
      </w:pPr>
      <w:r>
        <w:rPr>
          <w:rFonts w:ascii="Arial" w:cs="Arial" w:eastAsia="Arial" w:hAnsi="Arial"/>
          <w:sz w:val="22"/>
          <w:szCs w:val="22"/>
        </w:rPr>
        <w:t xml:space="preserve">RPE widens the nasal floor by separating the midpalatal suture, improving nasal airway cross-sectional area and reducing upper airway resistance. MARPE extends this benefit into post-pubertal and adult patients where progressive sutural interdigitation limits conventional tooth-borne expansion. The airway rationale is clinically valid; evidence in pediatric sleep-disordered breathing is robust. The biomechanical costs, however, are distributed across the full craniofacial skeleton and have been substantially underreported.</w:t>
      </w:r>
    </w:p>
    <w:p>
      <w:pPr>
        <w:spacing w:after="80" w:before="80" w:line="360"/>
        <w:jc w:val="both"/>
      </w:pPr>
      <w:r>
        <w:rPr>
          <w:rFonts w:ascii="Arial" w:cs="Arial" w:eastAsia="Arial" w:hAnsi="Arial"/>
          <w:sz w:val="22"/>
          <w:szCs w:val="22"/>
        </w:rPr>
        <w:t xml:space="preserve">Multiple three-dimensional FEA studies demonstrate that RPE and MARPE forces are not confined to the midpalatal suture. Stress concentrations propagate to the pterygomaxillary fissure and pterygoid plates of the sphenoid bone; the zygomaticomaxillary suture and zygomatic arch; the nasomaxillary complex; the spheno-occipital synchondrosis (SOS); the sella turcica (ST); and the foramen rotundum, sulcus caroticus, and canalis opticus at the cranial base. The sella turcica — which houses the pituitary gland and forms the floor of the middle cranial fossa — and the carotid groove undergo measurable stress concentration during RPE simulation, raising unresolved questions about chronic mechanical stress on these neurovascular structures during sustained expansion protocols. FEA comparisons between RPE and MARPE show that bone-anchored miniscrew designs concentrate the highest stresses on the maxillary bone, pterygoid bone, and zygomatic arch, with forces reaching 100 Newtons in older adolescents and adults. Bone bending takes place in the zygomatic process of the temporal bone during miniscrew-supported maxillary expansion — directly engaging the squamosal sutural interface identified by Williams et al. as the locus of intracranial force amplification.</w:t>
      </w:r>
    </w:p>
    <w:p>
      <w:pPr>
        <w:pStyle w:val="Heading2"/>
        <w:spacing w:after="140" w:before="280"/>
      </w:pPr>
      <w:r>
        <w:rPr>
          <w:rFonts w:ascii="Arial" w:cs="Arial" w:eastAsia="Arial" w:hAnsi="Arial"/>
          <w:b/>
          <w:bCs/>
          <w:sz w:val="26"/>
          <w:szCs w:val="26"/>
        </w:rPr>
        <w:t xml:space="preserve">Documented Complications and the Intracranial Pressure Signal</w:t>
      </w:r>
    </w:p>
    <w:p>
      <w:pPr>
        <w:spacing w:after="80" w:before="80" w:line="360"/>
        <w:jc w:val="both"/>
      </w:pPr>
      <w:r>
        <w:rPr>
          <w:rFonts w:ascii="Arial" w:cs="Arial" w:eastAsia="Arial" w:hAnsi="Arial"/>
          <w:sz w:val="22"/>
          <w:szCs w:val="22"/>
        </w:rPr>
        <w:t xml:space="preserve">Walter et al. (2025) documented eleven adult MARPE/MASPE patients who developed unexpected craniofacial complications including seven asymmetric frontonasal process fractures, two orbital fractures, one zygomatic bone fracture, and one parasagittal palatine fracture — primarily in patients treated with rapid activation protocols. Frontonasal and orbital fractures place anterior cranial fossa structures, the cribriform plate (CN I), and orbital neurovascular contents at direct structural risk. The authors concluded that limiting initial activation force to 500 cN substantially reduces complication risk, implying that clinically applied forces routinely exceed this threshold.</w:t>
      </w:r>
    </w:p>
    <w:p>
      <w:pPr>
        <w:spacing w:after="80" w:before="80" w:line="360"/>
        <w:jc w:val="both"/>
      </w:pPr>
      <w:r>
        <w:rPr>
          <w:rFonts w:ascii="Arial" w:cs="Arial" w:eastAsia="Arial" w:hAnsi="Arial"/>
          <w:sz w:val="22"/>
          <w:szCs w:val="22"/>
        </w:rPr>
        <w:t xml:space="preserve">Baser et al. (2022) measured ONSD by ultrasonography before and after MARPE screw activation in 15 neurologically normal late adolescents. ONSD values increased within one minute of each activation, though the increase did not reach statistical significance in this small sample. The trend toward ONSD increase — a validated surrogate for intracranial pressure elevation, with significant correlation to intraventricular ICP measurement in clinical populations — is a finding that warrants investigation in larger cohorts, in younger pediatric patients, and in patients with neurological comorbidities, where the Williams data predict substantially amplified ICP responses. An ONSD &gt; 5.0–5.5 mm (measured at 3 mm posterior to the globe) is the established threshold for clinically significant ICP elevation; the Baser study did not report values approaching this threshold in healthy late adolescents, but the study's design was not powered to detect smaller subclinical trends.</w:t>
      </w:r>
    </w:p>
    <w:p>
      <w:pPr>
        <w:pStyle w:val="Heading2"/>
        <w:spacing w:after="140" w:before="280"/>
      </w:pPr>
      <w:r>
        <w:rPr>
          <w:rFonts w:ascii="Arial" w:cs="Arial" w:eastAsia="Arial" w:hAnsi="Arial"/>
          <w:b/>
          <w:bCs/>
          <w:sz w:val="26"/>
          <w:szCs w:val="26"/>
        </w:rPr>
        <w:t xml:space="preserve">The Vmes Afferent Disruption Pathway</w:t>
      </w:r>
    </w:p>
    <w:p>
      <w:pPr>
        <w:spacing w:after="80" w:before="80" w:line="360"/>
        <w:jc w:val="both"/>
      </w:pPr>
      <w:r>
        <w:rPr>
          <w:rFonts w:ascii="Arial" w:cs="Arial" w:eastAsia="Arial" w:hAnsi="Arial"/>
          <w:sz w:val="22"/>
          <w:szCs w:val="22"/>
        </w:rPr>
        <w:t xml:space="preserve">The mesencephalic trigeminal nucleus (Vmes/MTN), whose primary afferent cell bodies reside uniquely within the central nervous system rather than a peripheral ganglion, receives proprioceptive inputs from the periodontium, hard palate, TMJ capsule, and masticatory muscle spindles and Golgi tendon organs. Its central projections reach the trigeminal motor nucleus, the VPM thalamus, and the somatosensory cortex — and through ascending connections, the ARAS. RPE and MARPE generate sustained, non-oscillatory, high-magnitude mechanical inputs to the palate and periodontium that lie far outside the physiological range of Vmes mechanoreceptive experience. This aberrant afferent stream may: (1) sensitize Vmes neurons, contributing to masseter hyperactivity and secondary bruxism; (2) disrupt the normal masticatory proprioceptive regulation of jaw-closing muscle force; (3) generate abnormal thalamocortical somatosensory signals; and (4) through ARAS connections, alter arousal threshold and autonomic regulation — outcomes directly contrary to the therapeutic goals of airway orthodontics. The SWITCH test, introduced in Source 5, directly interrogates this Vmes afferent circuit for evidence of appropriate versus aberrant neurofunctional responsiveness.</w:t>
      </w:r>
    </w:p>
    <w:p>
      <w:pPr>
        <w:spacing w:after="80" w:before="80"/>
      </w:pPr>
      <w:r>
        <w:t xml:space="preserve"/>
      </w:r>
    </w:p>
    <w:p>
      <w:pPr>
        <w:pStyle w:val="Heading1"/>
        <w:spacing w:after="180" w:before="360"/>
      </w:pPr>
      <w:r>
        <w:rPr>
          <w:rFonts w:ascii="Arial" w:cs="Arial" w:eastAsia="Arial" w:hAnsi="Arial"/>
          <w:b/>
          <w:bCs/>
          <w:sz w:val="30"/>
          <w:szCs w:val="30"/>
        </w:rPr>
        <w:t xml:space="preserve">Source 5: The SWITCH Test and the Neurofunctional Dental Medicine Clinical Decision Framework</w:t>
      </w:r>
    </w:p>
    <w:p>
      <w:pPr>
        <w:spacing w:after="80" w:before="80" w:line="360"/>
        <w:jc w:val="both"/>
      </w:pPr>
      <w:r>
        <w:rPr>
          <w:rFonts w:ascii="Arial" w:cs="Arial" w:eastAsia="Arial" w:hAnsi="Arial"/>
          <w:i/>
          <w:iCs/>
          <w:sz w:val="22"/>
          <w:szCs w:val="22"/>
        </w:rPr>
        <w:t xml:space="preserve">Integrating: Tenholder NFDM protocol (SWITCH test as chair-side neurofunctional metric); Andrisani framework (Vmes/ARAS); principles of dynamic neurofunctional appliance design; and the ONSD monitoring literature.</w:t>
      </w:r>
    </w:p>
    <w:p>
      <w:pPr>
        <w:spacing w:after="80" w:before="80"/>
      </w:pPr>
      <w:r>
        <w:t xml:space="preserve"/>
      </w:r>
    </w:p>
    <w:p>
      <w:pPr>
        <w:pStyle w:val="Heading2"/>
        <w:spacing w:after="140" w:before="280"/>
      </w:pPr>
      <w:r>
        <w:rPr>
          <w:rFonts w:ascii="Arial" w:cs="Arial" w:eastAsia="Arial" w:hAnsi="Arial"/>
          <w:b/>
          <w:bCs/>
          <w:sz w:val="26"/>
          <w:szCs w:val="26"/>
        </w:rPr>
        <w:t xml:space="preserve">Background: The Need for a Neurofunctional Clinical Decision Tool</w:t>
      </w:r>
    </w:p>
    <w:p>
      <w:pPr>
        <w:spacing w:after="80" w:before="80" w:line="360"/>
        <w:jc w:val="both"/>
      </w:pPr>
      <w:r>
        <w:rPr>
          <w:rFonts w:ascii="Arial" w:cs="Arial" w:eastAsia="Arial" w:hAnsi="Arial"/>
          <w:sz w:val="22"/>
          <w:szCs w:val="22"/>
        </w:rPr>
        <w:t xml:space="preserve">The evidence reviewed in Sources 1–4 establishes that the choice between rigid expansion appliances and dynamic neurofunctional appliance designs is not merely a biomechanical preference — it is a neurological decision with potential consequences for brainstem circuit integrity, intracranial pressure homeostasis, and long-term neurofunctional health. Yet clinical orthodontic practice has lacked a chair-side tool capable of rapidly and directly interrogating the patient's neurofunctional status before appliance placement, or of detecting emerging neurofunctional disruption during active treatment. The SWITCH test, developed within the Neurofunctional Dental Medicine clinical framework of Dr. Angie Tenholder, represents a systematic attempt to fill this gap by leveraging the known sensitivity of the Vmes afferent circuit to intraoral mechanical perturbation as a window into broader CNS neurofunctional responsiveness.</w:t>
      </w:r>
    </w:p>
    <w:p>
      <w:pPr>
        <w:pStyle w:val="Heading2"/>
        <w:spacing w:after="140" w:before="280"/>
      </w:pPr>
      <w:r>
        <w:rPr>
          <w:rFonts w:ascii="Arial" w:cs="Arial" w:eastAsia="Arial" w:hAnsi="Arial"/>
          <w:b/>
          <w:bCs/>
          <w:sz w:val="26"/>
          <w:szCs w:val="26"/>
        </w:rPr>
        <w:t xml:space="preserve">The Vmes as the Neurofunctional Signal Generator</w:t>
      </w:r>
    </w:p>
    <w:p>
      <w:pPr>
        <w:spacing w:after="80" w:before="80" w:line="360"/>
        <w:jc w:val="both"/>
      </w:pPr>
      <w:r>
        <w:rPr>
          <w:rFonts w:ascii="Arial" w:cs="Arial" w:eastAsia="Arial" w:hAnsi="Arial"/>
          <w:sz w:val="22"/>
          <w:szCs w:val="22"/>
        </w:rPr>
        <w:t xml:space="preserve">The theoretical foundation of the SWITCH test rests on the neuroanatomy and physiology of the mesencephalic trigeminal nucleus. The Vmes is unique among all sensory nuclei in that its primary afferent cell bodies reside within the CNS proper — between the superior colliculus and midpontine level — rather than in a peripheral ganglion. It receives proprioceptive input from the periodontium and hard palate via mechanoreceptors that encode both static loading (Ruffini endings) and dynamic displacement (Meissner-type rapidly adapting fibers), from masticatory muscle spindles, and from the TMJ capsule. These afferents are electrically coupled rather than chemically synapsed, allowing high-fidelity, low-latency propagation of mechanical signals to the trigeminal motor nucleus (mediating the jaw-jerk reflex), the thalamus, somatosensory cortex, and the ARAS.</w:t>
      </w:r>
    </w:p>
    <w:p>
      <w:pPr>
        <w:spacing w:after="80" w:before="80" w:line="360"/>
        <w:jc w:val="both"/>
      </w:pPr>
      <w:r>
        <w:rPr>
          <w:rFonts w:ascii="Arial" w:cs="Arial" w:eastAsia="Arial" w:hAnsi="Arial"/>
          <w:sz w:val="22"/>
          <w:szCs w:val="22"/>
        </w:rPr>
        <w:t xml:space="preserve">The Andrisani framework for Neurofunctional Dental Medicine — developed by Giovanni and Giorgia Andrisani and incorporated by Dr. Tenholder into the scientific basis of the TORNADO device protocol — specifically identifies the Vmes as the primary afferent node through which intraoral mechanical changes modulate ARAS arousal tone and autonomic regulation. In this framework, an intraoral appliance that correctly positions and loads the dentoalveolar system in alignment with the patient's neurofunctional optimum will produce measurable and reproducible changes in CNS output: normalization of muscle tone, resolution of jaw-closing asymmetries, postural correction, and improvements in alertness and autonomic balance. An appliance that disrupts neurofunctional integration — whether through malpositioned occlusal loading, aberrant palatal tissue contact, or non-physiological sutural force — will produce opposite or absent responses in the same assessable outputs.</w:t>
      </w:r>
    </w:p>
    <w:p>
      <w:pPr>
        <w:spacing w:after="80" w:before="80" w:line="360"/>
        <w:jc w:val="both"/>
      </w:pPr>
      <w:r>
        <w:rPr>
          <w:rFonts w:ascii="Arial" w:cs="Arial" w:eastAsia="Arial" w:hAnsi="Arial"/>
          <w:sz w:val="22"/>
          <w:szCs w:val="22"/>
        </w:rPr>
        <w:t xml:space="preserve">This theoretical framework transforms the chair side into a neurofunctional laboratory: the patient's body becomes the readout instrument for whether a proposed intraoral mechanical change is neurologically compatible or disruptive.</w:t>
      </w:r>
    </w:p>
    <w:p>
      <w:pPr>
        <w:pStyle w:val="Heading2"/>
        <w:spacing w:after="140" w:before="280"/>
      </w:pPr>
      <w:r>
        <w:rPr>
          <w:rFonts w:ascii="Arial" w:cs="Arial" w:eastAsia="Arial" w:hAnsi="Arial"/>
          <w:b/>
          <w:bCs/>
          <w:sz w:val="26"/>
          <w:szCs w:val="26"/>
        </w:rPr>
        <w:t xml:space="preserve">The SWITCH Test: Protocol and Interpretation</w:t>
      </w:r>
    </w:p>
    <w:p>
      <w:pPr>
        <w:spacing w:after="80" w:before="80" w:line="360"/>
        <w:jc w:val="both"/>
      </w:pPr>
      <w:r>
        <w:rPr>
          <w:rFonts w:ascii="Arial" w:cs="Arial" w:eastAsia="Arial" w:hAnsi="Arial"/>
          <w:sz w:val="22"/>
          <w:szCs w:val="22"/>
        </w:rPr>
        <w:t xml:space="preserve">The SWITCH test, as developed and applied within the Neurofunctional Dental Medicine clinical framework of Dr. Angie Tenholder, is a structured chair-side assessment protocol for evaluating the immediate neurofunctional response to an intraoral mechanical change — typically the trial insertion of a candidate appliance, adjustment, or occlusal modification. It is not, at the time of this writing, independently peer-reviewed or published in the indexed literature as a formal validated instrument. Its clinical utility is grounded in the mechanobiological principles reviewed herein and in the accumulated clinical experience of NFDM practitioners, particularly within the ALF tradition.</w:t>
      </w:r>
    </w:p>
    <w:p>
      <w:pPr>
        <w:spacing w:after="80" w:before="80" w:line="360"/>
        <w:jc w:val="both"/>
      </w:pPr>
      <w:r>
        <w:rPr>
          <w:rFonts w:ascii="Arial" w:cs="Arial" w:eastAsia="Arial" w:hAnsi="Arial"/>
          <w:sz w:val="22"/>
          <w:szCs w:val="22"/>
        </w:rPr>
        <w:t xml:space="preserve">The core principle of the SWITCH test is straightforward: introduce a candidate intraoral mechanical change (appliance insertion, occlusal shim, palatal contact modification, or mandibular repositioning), then immediately assess a defined set of neurofunctional outputs that are known to reflect Vmes afferent circuit integrity and ARAS modulation. Because Vmes neurons are electrically coupled and project rapidly to the trigeminal motor nucleus and ascending reticular pathways, the neurofunctional consequences of an intraoral mechanical change — whether facilitatory or disruptive — manifest within seconds to minutes at measurable clinical endpoints.</w:t>
      </w:r>
    </w:p>
    <w:p>
      <w:pPr>
        <w:spacing w:after="80" w:before="80" w:line="360"/>
        <w:jc w:val="both"/>
      </w:pPr>
      <w:r>
        <w:rPr>
          <w:rFonts w:ascii="Arial" w:cs="Arial" w:eastAsia="Arial" w:hAnsi="Arial"/>
          <w:sz w:val="22"/>
          <w:szCs w:val="22"/>
        </w:rPr>
        <w:t xml:space="preserve">Assessable outputs in the SWITCH test protocol typically include: (1) changes in bilateral masseter and temporalis muscle tone assessed by digital palpation or electromyographic amplitude; (2) changes in cervical muscle symmetry and head posture, reflecting the convergence of trigeminal and upper cervical afferents on brainstem postural integration circuits; (3) changes in manual muscle testing at standardized indicator muscles (typically deltoid, psoas, or pectoralis), using the kinesiological principle that neurofunctional facilitation or inhibition propagates through the nervous system in patterns detectable by resistance testing; (4) changes in tongue posture and function, including resting tongue position and the quality of the swallowing pattern, which reflect the Vmes-mediated orofacial motor coordination circuit; (5) changes in patient-reported alertness, clarity, or subjective ease of nasal breathing, reflecting ARAS modulation; and (6) qualitative changes in the practitioner-palpated cranial rhythmic impulse (CRI) — a measure grounded in osteopathic cranial tradition that reflects the palpable micro-mobility of the cranial sutures and is directly relevant to the Williams et al. finding of differential sutural compliance under mechanical load.</w:t>
      </w:r>
    </w:p>
    <w:p>
      <w:pPr>
        <w:spacing w:after="80" w:before="80" w:line="360"/>
        <w:jc w:val="both"/>
      </w:pPr>
      <w:r>
        <w:rPr>
          <w:rFonts w:ascii="Arial" w:cs="Arial" w:eastAsia="Arial" w:hAnsi="Arial"/>
          <w:sz w:val="22"/>
          <w:szCs w:val="22"/>
        </w:rPr>
        <w:t xml:space="preserve">A positive SWITCH test — indicating that the candidate intraoral change is neurofunctionally facilitatory — is characterized by: reduction in masticatory muscle hypertonicity; improvement in cervical alignment symmetry; increased resistance in indicator muscle testing; normalized tongue posture; and improved or maintained CRI. A negative SWITCH test — indicating that the candidate change is neurofunctionally disruptive — is characterized by the opposite: increased masticatory and cervical muscle tension, weakened indicator muscle responses, tongue retraction or dysfunction, and diminished or irregular CRI. A neutral or indeterminate SWITCH test indicates that the candidate change produces no net neurofunctional facilitation, which in the NFDM framework is treated as insufficient to justify treatment with that approach.</w:t>
      </w:r>
    </w:p>
    <w:p>
      <w:pPr>
        <w:pStyle w:val="Heading2"/>
        <w:spacing w:after="140" w:before="280"/>
      </w:pPr>
      <w:r>
        <w:rPr>
          <w:rFonts w:ascii="Arial" w:cs="Arial" w:eastAsia="Arial" w:hAnsi="Arial"/>
          <w:b/>
          <w:bCs/>
          <w:sz w:val="26"/>
          <w:szCs w:val="26"/>
        </w:rPr>
        <w:t xml:space="preserve">Pre-Treatment Application: Triage Between Rigid and Dynamic Approaches</w:t>
      </w:r>
    </w:p>
    <w:p>
      <w:pPr>
        <w:spacing w:after="80" w:before="80" w:line="360"/>
        <w:jc w:val="both"/>
      </w:pPr>
      <w:r>
        <w:rPr>
          <w:rFonts w:ascii="Arial" w:cs="Arial" w:eastAsia="Arial" w:hAnsi="Arial"/>
          <w:sz w:val="22"/>
          <w:szCs w:val="22"/>
        </w:rPr>
        <w:t xml:space="preserve">Applied before treatment planning, the SWITCH test provides the clinician with a direct, individualized, neurofunctional basis for choosing between rigid expansion and dynamic neurofunctional appliance strategies. This triage is grounded in the mechanobiological and neurological evidence reviewed in Sources 1–4, and operationalized through the patient's own nervous system response:</w:t>
      </w:r>
    </w:p>
    <w:p>
      <w:pPr>
        <w:spacing w:after="80" w:before="80" w:line="360"/>
        <w:jc w:val="both"/>
      </w:pPr>
      <w:r>
        <w:rPr>
          <w:rFonts w:ascii="Arial" w:cs="Arial" w:eastAsia="Arial" w:hAnsi="Arial"/>
          <w:sz w:val="22"/>
          <w:szCs w:val="22"/>
        </w:rPr>
        <w:t xml:space="preserve">A patient who demonstrates a consistently positive SWITCH test to the trial insertion of a dynamic, low-force appliance — and a negative or neutral test to simulated rigid expansion contact — is indicating through measurable neurofunctional outputs that their Vmes afferent circuit and ARAS are responsive to, and facilitated by, the dynamic approach. For this patient, a neurofunctional appliance such as the ALF or TORNADO device is the mechanobiologically and neurologically concordant choice. Given the Peptan evidence that low-amplitude cyclic forces produce robust anabolic sutural responses, and the Martinez-Maza evidence that biologically directed sutural modeling is an ongoing process throughout adulthood, the dynamic approach is likely to support healthier long-term craniofacial and neurofunctional outcomes than the static, high-force alternative.</w:t>
      </w:r>
    </w:p>
    <w:p>
      <w:pPr>
        <w:spacing w:after="80" w:before="80" w:line="360"/>
        <w:jc w:val="both"/>
      </w:pPr>
      <w:r>
        <w:rPr>
          <w:rFonts w:ascii="Arial" w:cs="Arial" w:eastAsia="Arial" w:hAnsi="Arial"/>
          <w:sz w:val="22"/>
          <w:szCs w:val="22"/>
        </w:rPr>
        <w:t xml:space="preserve">A patient who demonstrates a positive SWITCH test to both dynamic and simulated rigid expansion contact — or who shows no significant differential neurofunctional response — may have the neurological resilience to tolerate rigid expansion without producing the aberrant Vmes afferent cascade. However, this finding should not be interpreted as evidence that rigid expansion is neurologically safe for this patient; it is evidence that the patient's nervous system is not visibly disrupted at the initial trial. The Williams et al. data remind us that neurological vulnerability may not be clinically apparent until a threshold of sutural displacement or intracranial pressure change is crossed. For this patient, rigid expansion may be undertaken with greater monitoring vigilance, using the mid-treatment SWITCH test protocol described below.</w:t>
      </w:r>
    </w:p>
    <w:p>
      <w:pPr>
        <w:spacing w:after="80" w:before="80" w:line="360"/>
        <w:jc w:val="both"/>
      </w:pPr>
      <w:r>
        <w:rPr>
          <w:rFonts w:ascii="Arial" w:cs="Arial" w:eastAsia="Arial" w:hAnsi="Arial"/>
          <w:sz w:val="22"/>
          <w:szCs w:val="22"/>
        </w:rPr>
        <w:t xml:space="preserve">A patient who demonstrates neurological vulnerability indicators — a history of MS, idiopathic intracranial hypertension, connective tissue hypermobility, significant nocturnal bruxism, post-concussive syndrome, Chiari malformation, or other conditions that may compromise sutural compliance or intracranial pressure homeostasis — should be triaged away from rigid expansion regardless of the initial SWITCH test result, on the grounds that the Williams data document catastrophic amplification of jaw-generated intracranial forces in neurologically compromised sutural systems, and that the Baser ONSD trend data suggest that even neurologically intact late adolescents exhibit measurable intracranial pressure responses to MARPE screw activation. For these patients, the dynamic neurofunctional approach, with its biologically concordant low-amplitude cyclic forces and its potential for positive ARAS modulation through improved Vmes afferent encoding, is not merely preferable — it is contraindicated to do otherwise.</w:t>
      </w:r>
    </w:p>
    <w:p>
      <w:pPr>
        <w:spacing w:after="80" w:before="80" w:line="360"/>
        <w:jc w:val="both"/>
      </w:pPr>
      <w:r>
        <w:rPr>
          <w:rFonts w:ascii="Arial" w:cs="Arial" w:eastAsia="Arial" w:hAnsi="Arial"/>
          <w:sz w:val="22"/>
          <w:szCs w:val="22"/>
        </w:rPr>
        <w:t xml:space="preserve">It is important to acknowledge a limitation of the rigid-vs.-dynamic framework from the perspective of skeletal biology: dynamic neurofunctional appliances operating at the force levels characteristic of the ALF and similar devices are unlikely to produce the rapid, quantifiable midpalatal suture separation that RPE and MARPE achieve in patients with significant transverse maxillary deficiency requiring true skeletal correction. The conventional orthodontic criticism that ALF forces are insufficient to open the midpalatal suture in older children and adults is biomechanically valid. The NFDM response to this limitation is not to claim equivalence of skeletal outcome, but to assert that: (1) the skeletal goal of airway expansion can often be achieved incrementally over a longer timeline through biologically directed growth modulation when treatment begins sufficiently early; (2) in cases where true rapid skeletal expansion is clinically necessary, it can be undertaken with lower force magnitudes and slower activation protocols that substantially reduce the neurological risk; and (3) the neurological cost of rapid rigid expansion — particularly in the populations most likely to seek airway orthodontics — may in many cases outweigh the benefit of a shorter treatment timeline.</w:t>
      </w:r>
    </w:p>
    <w:p>
      <w:pPr>
        <w:pStyle w:val="Heading2"/>
        <w:spacing w:after="140" w:before="280"/>
      </w:pPr>
      <w:r>
        <w:rPr>
          <w:rFonts w:ascii="Arial" w:cs="Arial" w:eastAsia="Arial" w:hAnsi="Arial"/>
          <w:b/>
          <w:bCs/>
          <w:sz w:val="26"/>
          <w:szCs w:val="26"/>
        </w:rPr>
        <w:t xml:space="preserve">Mid-Treatment Monitoring: SWITCH Test as a Longitudinal Neurofunctional Surveillance Tool</w:t>
      </w:r>
    </w:p>
    <w:p>
      <w:pPr>
        <w:spacing w:after="80" w:before="80" w:line="360"/>
        <w:jc w:val="both"/>
      </w:pPr>
      <w:r>
        <w:rPr>
          <w:rFonts w:ascii="Arial" w:cs="Arial" w:eastAsia="Arial" w:hAnsi="Arial"/>
          <w:sz w:val="22"/>
          <w:szCs w:val="22"/>
        </w:rPr>
        <w:t xml:space="preserve">Beyond its pre-treatment triage function, the SWITCH test provides a systematic framework for longitudinal neurofunctional monitoring during active rigid expansion. This is the clinical application most directly motivated by the evidence in this review — specifically by the Baser ONSD trend data, the Williams temporal bone hypermobility findings, the Walter fracture series, and the Peptan mechanobiological principle that non-physiological loading produces non-adaptive cellular responses in craniofacial sutures. The following mid-treatment monitoring protocol integrates the SWITCH test with validated objective measures to provide a multi-layer neurofunctional surveillance system:</w:t>
      </w:r>
    </w:p>
    <w:p>
      <w:pPr>
        <w:spacing w:after="80" w:before="80"/>
      </w:pPr>
      <w:r>
        <w:t xml:space="preserve"/>
      </w:r>
    </w:p>
    <w:p>
      <w:pPr>
        <w:spacing w:after="80" w:before="80" w:line="360"/>
        <w:jc w:val="both"/>
      </w:pPr>
      <w:r>
        <w:rPr>
          <w:rFonts w:ascii="Arial" w:cs="Arial" w:eastAsia="Arial" w:hAnsi="Arial"/>
          <w:sz w:val="22"/>
          <w:szCs w:val="22"/>
        </w:rPr>
        <w:t xml:space="preserve">Layer 1 — SWITCH Test Repeat Assessment at Each Activation Visit. At every MARPE or RPE activation appointment, a brief SWITCH test should be performed before and immediately after activation. The pre-activation baseline establishes the patient's current neurofunctional state; the post-activation assessment captures the immediate neurofunctional response to the incremental force addition. A persistently positive or neutral post-activation SWITCH test indicates ongoing neurofunctional tolerance of the expansion forces. A negative post-activation SWITCH test — characterized by new or worsening masticatory hypertonicity, cervical muscle asymmetry, weakened indicator muscle response, or tongue dysfunction — is a clinically significant signal that the most recent activation has produced a neurofunctionally disruptive mechanical change. This finding should prompt a pause in the activation protocol, reassessment of force parameters, and consideration of reducing activation magnitude or frequency.</w:t>
      </w:r>
    </w:p>
    <w:p>
      <w:pPr>
        <w:spacing w:after="80" w:before="80"/>
      </w:pPr>
      <w:r>
        <w:t xml:space="preserve"/>
      </w:r>
    </w:p>
    <w:p>
      <w:pPr>
        <w:spacing w:after="80" w:before="80" w:line="360"/>
        <w:jc w:val="both"/>
      </w:pPr>
      <w:r>
        <w:rPr>
          <w:rFonts w:ascii="Arial" w:cs="Arial" w:eastAsia="Arial" w:hAnsi="Arial"/>
          <w:sz w:val="22"/>
          <w:szCs w:val="22"/>
        </w:rPr>
        <w:t xml:space="preserve">Layer 2 — Standardized Neurological Symptom Inventory at Each Visit. Patients should be asked systematically at each visit about new or worsening symptoms in the following categories, which collectively represent the neurofunctional downstream consequences of aberrant Vmes afferent disruption, intracranial pressure elevation, and temporal bone mechanical stress: (a) headache — location, quality, onset timing relative to activations; (b) visual disturbances — blurring, diplopia, photophobia, transient visual obscurations (TVOs), the last of which are pathognomonic for elevated intracranial pressure; (c) tinnitus — particularly new-onset or unilateral, reflecting pressure on the auditory structures within the temporal bone; (d) dizziness or balance disruption — reflecting cerebellar or vestibular stress; (e) sleep quality changes — worsening insomnia, increased arousals, or paradoxical worsening of OSA symptoms despite advancing expansion, which may indicate ARAS disruption; (f) cognitive changes — difficulty concentrating, brain fog, or increased anxiety, consistent with altered ARAS arousal modulation; (g) jaw pain or TMJ clicking that was not present pre-treatment, indicating altered condyle-fossa mechanics secondary to maxillary displacement. Any positive finding in these categories should prompt SWITCH test reassessment and consideration of expanding to Layer 3 monitoring.</w:t>
      </w:r>
    </w:p>
    <w:p>
      <w:pPr>
        <w:spacing w:after="80" w:before="80"/>
      </w:pPr>
      <w:r>
        <w:t xml:space="preserve"/>
      </w:r>
    </w:p>
    <w:p>
      <w:pPr>
        <w:spacing w:after="80" w:before="80" w:line="360"/>
        <w:jc w:val="both"/>
      </w:pPr>
      <w:r>
        <w:rPr>
          <w:rFonts w:ascii="Arial" w:cs="Arial" w:eastAsia="Arial" w:hAnsi="Arial"/>
          <w:sz w:val="22"/>
          <w:szCs w:val="22"/>
        </w:rPr>
        <w:t xml:space="preserve">Layer 3 — Optic Nerve Sheath Diameter (ONSD) Ultrasonography for Objective Intracranial Pressure Monitoring. For patients in whom Layer 1 SWITCH test findings or Layer 2 symptom inventory raise concern for intracranial pressure elevation, ultrasonographic measurement of ONSD provides a validated, non-invasive, bedside-compatible, radiation-free objective measure. The optic nerve sheath communicates directly with the intracranial subarachnoid space; increases in intracranial pressure produce distension of the sheath that is measurable with standard high-frequency (10–15 MHz) orbital ultrasonography at 3 mm posterior to the globe. The Baser et al. protocol — measuring ONSD immediately before and one and ten minutes after screw activation — can be adapted for clinical use in high-risk patients: a binocular ONSD &gt; 5.0–5.5 mm is the established threshold for clinically significant ICP elevation, with significant correlation to intraventricular ICP measurement validated across multiple clinical populations. A progressive increase in baseline ONSD across successive activation visits — even if absolute values remain below threshold — should be interpreted as a warning signal warranting referral for neurological evaluation before further expansion. The simplicity, portability, and absence of ionizing radiation make ONSD measurement feasible in a well-equipped dental practice equipped with a portable ultrasound unit, representing a reasonable addition to the monitoring protocol for any adult MARPE patient and for pediatric or adolescent patients with identified neurological risk factors.</w:t>
      </w:r>
    </w:p>
    <w:p>
      <w:pPr>
        <w:spacing w:after="80" w:before="80"/>
      </w:pPr>
      <w:r>
        <w:t xml:space="preserve"/>
      </w:r>
    </w:p>
    <w:p>
      <w:pPr>
        <w:spacing w:after="80" w:before="80" w:line="360"/>
        <w:jc w:val="both"/>
      </w:pPr>
      <w:r>
        <w:rPr>
          <w:rFonts w:ascii="Arial" w:cs="Arial" w:eastAsia="Arial" w:hAnsi="Arial"/>
          <w:sz w:val="22"/>
          <w:szCs w:val="22"/>
        </w:rPr>
        <w:t xml:space="preserve">Layer 4 — Craniofacial Symmetry and Sutural Mobility Assessment. The Walter fracture series demonstrated that MARPE-associated craniofacial dislocations are detectable by CBCT, and that complications included asymmetric frontonasal diastasis, orbital fractures, and asymmetric suture disjunction — events that would not be apparent on routine clinical examination. For patients undergoing MARPE or RPE, periodic CBCT reassessment (at minimum at mid-expansion and post-expansion) focused not only on midpalatal suture opening but on the symmetry of circummaxillary and cranial base structures — particularly the frontonasal suture, zygomatic arch, and pterygoid plate region — provides a radiographic complement to the SWITCH test and symptom inventory. Asymmetric expansion or evidence of parasutural bone displacement should prompt immediate suspension of the activation protocol pending specialist evaluation.</w:t>
      </w:r>
    </w:p>
    <w:p>
      <w:pPr>
        <w:spacing w:after="80" w:before="80"/>
      </w:pPr>
      <w:r>
        <w:t xml:space="preserve"/>
      </w:r>
    </w:p>
    <w:p>
      <w:pPr>
        <w:pStyle w:val="Heading2"/>
        <w:spacing w:after="140" w:before="280"/>
      </w:pPr>
      <w:r>
        <w:rPr>
          <w:rFonts w:ascii="Arial" w:cs="Arial" w:eastAsia="Arial" w:hAnsi="Arial"/>
          <w:b/>
          <w:bCs/>
          <w:sz w:val="26"/>
          <w:szCs w:val="26"/>
        </w:rPr>
        <w:t xml:space="preserve">The Dynamic Neurofunctional Alternative: ALF and TORNADO Device Principles</w:t>
      </w:r>
    </w:p>
    <w:p>
      <w:pPr>
        <w:spacing w:after="80" w:before="80" w:line="360"/>
        <w:jc w:val="both"/>
      </w:pPr>
      <w:r>
        <w:rPr>
          <w:rFonts w:ascii="Arial" w:cs="Arial" w:eastAsia="Arial" w:hAnsi="Arial"/>
          <w:sz w:val="22"/>
          <w:szCs w:val="22"/>
        </w:rPr>
        <w:t xml:space="preserve">The dynamic neurofunctional appliance family, of which the Advanced Lightwire Functional (ALF) appliance is the most extensively developed example, represents the mechanobiologically coherent alternative to rigid expansion for patients in whom the SWITCH test and risk stratification identify significant neurological vulnerability. The ALF, developed by Dr. Darick Nordstrom beginning in 1982, is a light, flexible wire appliance designed to deliver low-amplitude, biologically directed, cyclic forces to the dental arch in a manner that integrates cranial mobility, promotes physiological tongue posture, and supports normal swallowing biomechanics. Unlike RPE, the ALF does not apply static force to the midpalatal suture; instead, it provides an oscillatory mechanical environment at the periodontal-palatal interface that engages Vmes mechanoreceptors in a manner qualitatively similar to physiological masticatory loading. The ALF's design principle — that the optimal intraoral appliance should feel to the Vmes like a gentle surrogate for the tongue's natural developmental role in palatal shaping — aligns directly with the Peptan finding that cyclic forces at physiological frequencies and sub-Newton amplitudes produce the most adaptive and anabolic sutural responses.</w:t>
      </w:r>
    </w:p>
    <w:p>
      <w:pPr>
        <w:spacing w:after="80" w:before="80" w:line="360"/>
        <w:jc w:val="both"/>
      </w:pPr>
      <w:r>
        <w:rPr>
          <w:rFonts w:ascii="Arial" w:cs="Arial" w:eastAsia="Arial" w:hAnsi="Arial"/>
          <w:sz w:val="22"/>
          <w:szCs w:val="22"/>
        </w:rPr>
        <w:t xml:space="preserve">The TORNADO device, developed by Dr. Angie Tenholder within her Neurofunctional Dental Medicine framework and framed around the Andrisani Vmes/ARAS circuit model, extends the dynamic neurofunctional principle with specific attention to the role of laser-mediated photobiomodulation (RestOralase and BabyLase protocols) in enhancing the neurofunctional response to intraoral mechanical change. The TORNADO acronym — Therapeutic Oral Retention as Neurofunctional Active Dynamic Optimization — encodes the core clinical principle: that the therapeutic goal of an intraoral appliance is not merely skeletal repositioning but neurofunctional optimization of the Vmes-ARAS circuit through biologically directed, dynamically applied oral retention. Within this framework, the SWITCH test functions not only as a safety screen but as a therapeutic outcome measure: a positive SWITCH test response to the TORNADO appliance indicates successful neurofunctional engagement of the Vmes-ARAS circuit, confirming that the appliance is operating within the patient's neurological adaptive range.</w:t>
      </w:r>
    </w:p>
    <w:p>
      <w:pPr>
        <w:spacing w:after="80" w:before="80" w:line="360"/>
        <w:jc w:val="both"/>
      </w:pPr>
      <w:r>
        <w:rPr>
          <w:rFonts w:ascii="Arial" w:cs="Arial" w:eastAsia="Arial" w:hAnsi="Arial"/>
          <w:sz w:val="22"/>
          <w:szCs w:val="22"/>
        </w:rPr>
        <w:t xml:space="preserve">The contrast between the neurofunctional appliance approach and rigid expansion is most clearly illustrated at the mechanical level: where RPE applies 50–100 Newtons of sustained transverse force to a structure whose normal mechanical milieu is sub-Newton cyclic loading, the ALF and TORNADO devices apply forces that, by design, approximate the magnitude, frequency, and oscillatory character that Peptan et al. demonstrated to be most anabolic for craniofacial sutural biology. Where RPE generates stress concentrations at the pterygoid plates, sella turcica, and temporal bone, the dynamic neurofunctional appliance works within the compliance of the existing sutural architecture, engaging the normal displacement and recoil mechanics of patent sutures without forcing them beyond their elastic range. And where RPE bombards the Vmes with a sustained, non-physiological, high-magnitude afferent signal that may sensitize trigeminal circuits and disrupt ARAS modulation, the neurofunctional appliance provides a familiar, well-tolerated, low-amplitude proprioceptive input that supports neurofunctional integration rather than disrupting it.</w:t>
      </w:r>
    </w:p>
    <w:p>
      <w:pPr>
        <w:pStyle w:val="Heading2"/>
        <w:spacing w:after="140" w:before="280"/>
      </w:pPr>
      <w:r>
        <w:rPr>
          <w:rFonts w:ascii="Arial" w:cs="Arial" w:eastAsia="Arial" w:hAnsi="Arial"/>
          <w:b/>
          <w:bCs/>
          <w:sz w:val="26"/>
          <w:szCs w:val="26"/>
        </w:rPr>
        <w:t xml:space="preserve">Decision Algorithm Summary: Rigid vs. Dynamic Based on SWITCH Test and Risk Stratification</w:t>
      </w:r>
    </w:p>
    <w:p>
      <w:pPr>
        <w:spacing w:after="80" w:before="80" w:line="360"/>
        <w:jc w:val="both"/>
      </w:pPr>
      <w:r>
        <w:rPr>
          <w:rFonts w:ascii="Arial" w:cs="Arial" w:eastAsia="Arial" w:hAnsi="Arial"/>
          <w:sz w:val="22"/>
          <w:szCs w:val="22"/>
        </w:rPr>
        <w:t xml:space="preserve">Integrating the SWITCH test protocol with the evidence base reviewed across all five sources, the following clinical decision framework emerges for the NFDM practitioner evaluating a patient who presents with transverse maxillary deficiency and/or sleep-disordered breathing:</w:t>
      </w:r>
    </w:p>
    <w:p>
      <w:pPr>
        <w:spacing w:after="80" w:before="80"/>
      </w:pPr>
      <w:r>
        <w:t xml:space="preserve"/>
      </w:r>
    </w:p>
    <w:p>
      <w:pPr>
        <w:spacing w:after="80" w:before="80" w:line="360"/>
        <w:jc w:val="both"/>
      </w:pPr>
      <w:r>
        <w:rPr>
          <w:rFonts w:ascii="Arial" w:cs="Arial" w:eastAsia="Arial" w:hAnsi="Arial"/>
          <w:sz w:val="22"/>
          <w:szCs w:val="22"/>
        </w:rPr>
        <w:t xml:space="preserve">Step 1: Neurological Risk Stratification. Before any appliance trial, screen for the following high-risk indicators that contraindicate rigid expansion regardless of SWITCH test findings: known neurological disease with potential sutural or intracranial involvement (MS, IIH, Chiari malformation, post-concussion syndrome); connective tissue hypermobility disorders affecting sutural compliance; history of cranial trauma or surgery; active complaints of headache, tinnitus, or visual disturbance that could reflect elevated ICP; and significant nocturnal bruxism in combination with any of the above. Patients in any of these categories should be directed to dynamic neurofunctional appliance therapy.</w:t>
      </w:r>
    </w:p>
    <w:p>
      <w:pPr>
        <w:spacing w:after="80" w:before="80"/>
      </w:pPr>
      <w:r>
        <w:t xml:space="preserve"/>
      </w:r>
    </w:p>
    <w:p>
      <w:pPr>
        <w:spacing w:after="80" w:before="80" w:line="360"/>
        <w:jc w:val="both"/>
      </w:pPr>
      <w:r>
        <w:rPr>
          <w:rFonts w:ascii="Arial" w:cs="Arial" w:eastAsia="Arial" w:hAnsi="Arial"/>
          <w:sz w:val="22"/>
          <w:szCs w:val="22"/>
        </w:rPr>
        <w:t xml:space="preserve">Step 2: Developmental Stage Assessment. Evaluate sutural maturity using CBCT (midpalatal suture classification) and chronological/skeletal age. Early subadult patients (Stage A–C suture, typically under 16 years) have the highest sutural mechanosensitivity and are the best candidates for dynamic neurofunctional approaches that work within the natural growth trajectory documented by Martinez-Maza et al. Late adolescent and adult patients (Stage D–E suture, typically 18+ years) require more robust orthopedic force for midpalatal suture separation and may need RPE/MARPE if skeletal correction is clinically necessary; however, their older sutural architecture means higher stress concentration at skull base sites, requiring enhanced monitoring.</w:t>
      </w:r>
    </w:p>
    <w:p>
      <w:pPr>
        <w:spacing w:after="80" w:before="80"/>
      </w:pPr>
      <w:r>
        <w:t xml:space="preserve"/>
      </w:r>
    </w:p>
    <w:p>
      <w:pPr>
        <w:spacing w:after="80" w:before="80" w:line="360"/>
        <w:jc w:val="both"/>
      </w:pPr>
      <w:r>
        <w:rPr>
          <w:rFonts w:ascii="Arial" w:cs="Arial" w:eastAsia="Arial" w:hAnsi="Arial"/>
          <w:sz w:val="22"/>
          <w:szCs w:val="22"/>
        </w:rPr>
        <w:t xml:space="preserve">Step 3: SWITCH Test Trial — Dynamic Appliance. Insert the candidate dynamic neurofunctional appliance (ALF, TORNADO device, or equivalent) and perform the full SWITCH test assessment across all output categories. A clearly positive response confirms neurofunctional compatibility and supports dynamic appliance therapy as the primary recommendation. Proceed with dynamic treatment and use the SWITCH test as an ongoing outcome measure at each adjustment visit.</w:t>
      </w:r>
    </w:p>
    <w:p>
      <w:pPr>
        <w:spacing w:after="80" w:before="80"/>
      </w:pPr>
      <w:r>
        <w:t xml:space="preserve"/>
      </w:r>
    </w:p>
    <w:p>
      <w:pPr>
        <w:spacing w:after="80" w:before="80" w:line="360"/>
        <w:jc w:val="both"/>
      </w:pPr>
      <w:r>
        <w:rPr>
          <w:rFonts w:ascii="Arial" w:cs="Arial" w:eastAsia="Arial" w:hAnsi="Arial"/>
          <w:sz w:val="22"/>
          <w:szCs w:val="22"/>
        </w:rPr>
        <w:t xml:space="preserve">Step 4: SWITCH Test Trial — Simulated Rigid Expansion. For patients in whom dynamic appliance therapy alone may be insufficient for the required skeletal correction, simulate rigid expansion contact (bite plane, palatal shim, or trial expander insertion without activation) and repeat the SWITCH test. A negative SWITCH test response to simulated rigid expansion, combined with a positive response to the dynamic appliance, is a strong clinical indication for dynamic-first treatment with deferral of rigid expansion — and, if rigid expansion is ultimately required, for a slow-activation, torque-limited protocol with full mid-treatment monitoring.</w:t>
      </w:r>
    </w:p>
    <w:p>
      <w:pPr>
        <w:spacing w:after="80" w:before="80"/>
      </w:pPr>
      <w:r>
        <w:t xml:space="preserve"/>
      </w:r>
    </w:p>
    <w:p>
      <w:pPr>
        <w:spacing w:after="80" w:before="80" w:line="360"/>
        <w:jc w:val="both"/>
      </w:pPr>
      <w:r>
        <w:rPr>
          <w:rFonts w:ascii="Arial" w:cs="Arial" w:eastAsia="Arial" w:hAnsi="Arial"/>
          <w:sz w:val="22"/>
          <w:szCs w:val="22"/>
        </w:rPr>
        <w:t xml:space="preserve">Step 5: Mid-Treatment Monitoring Protocol. For any patient in whom rigid expansion is undertaken, implement all four layers of the mid-treatment monitoring protocol at each activation visit: SWITCH test pre- and post-activation; neurological symptom inventory (headache, visual disturbance, tinnitus, dizziness, sleep change, cognitive change, TMJ change); ONSD ultrasonography for high-risk patients or at the emergence of Layer 2 symptoms; and periodic CBCT symmetry assessment per clinical judgment. Any Layer 1 negative SWITCH test or Layer 2 positive symptom finding should trigger immediate reduction of activation force and/or frequency and consideration of transition to a dynamic neurofunctional approach with concurrent osteopathic or craniosacral co-management to normalize the sutural mechanics disrupted by preceding rigid expansion forces.</w:t>
      </w:r>
    </w:p>
    <w:p>
      <w:pPr>
        <w:spacing w:after="80" w:before="80"/>
      </w:pPr>
      <w:r>
        <w:t xml:space="preserve"/>
      </w:r>
    </w:p>
    <w:p>
      <w:pPr>
        <w:pStyle w:val="Heading1"/>
        <w:spacing w:after="180" w:before="360"/>
      </w:pPr>
      <w:r>
        <w:rPr>
          <w:rFonts w:ascii="Arial" w:cs="Arial" w:eastAsia="Arial" w:hAnsi="Arial"/>
          <w:b/>
          <w:bCs/>
          <w:sz w:val="30"/>
          <w:szCs w:val="30"/>
        </w:rPr>
        <w:t xml:space="preserve">Synthesis: The Neurofunctional Dental Medicine Paradigm for Airway-Focused Appliance Therapy</w:t>
      </w:r>
    </w:p>
    <w:p>
      <w:pPr>
        <w:spacing w:after="80" w:before="80" w:line="360"/>
        <w:jc w:val="both"/>
      </w:pPr>
      <w:r>
        <w:rPr>
          <w:rFonts w:ascii="Arial" w:cs="Arial" w:eastAsia="Arial" w:hAnsi="Arial"/>
          <w:sz w:val="22"/>
          <w:szCs w:val="22"/>
        </w:rPr>
        <w:t xml:space="preserve">The five evidence streams reviewed in this document collectively define a clinical paradigm that is meaningfully different from the standard orthodontic approach to palatal expansion and airway-focused appliance therapy. In the standard orthodontic model, the primary decision variable is skeletal morphology: if there is transverse maxillary deficiency, RPE or MARPE is indicated; if the patient is a late adolescent or adult with a more mature suture, MARPE is preferred over conventional RPE; and monitoring consists of periodic CBCT documentation of midpalatal suture opening. The neurological architecture of the craniofacial system — the Vmes circuit, the ARAS, the intracranial pressure environment, and the sutural compliance interface identified by Williams et al. — is not assessed, monitored, or factored into treatment selection.</w:t>
      </w:r>
    </w:p>
    <w:p>
      <w:pPr>
        <w:spacing w:after="80" w:before="80" w:line="360"/>
        <w:jc w:val="both"/>
      </w:pPr>
      <w:r>
        <w:rPr>
          <w:rFonts w:ascii="Arial" w:cs="Arial" w:eastAsia="Arial" w:hAnsi="Arial"/>
          <w:sz w:val="22"/>
          <w:szCs w:val="22"/>
        </w:rPr>
        <w:t xml:space="preserve">In the Neurofunctional Dental Medicine paradigm, the skeletal morphology remains a necessary input to clinical decision-making, but it is not the primary decision variable. The primary variable is the patient's neurofunctional status: their current Vmes afferent circuit responsiveness, their neurological risk factors, their sutural compliance profile, and their nervous system's capacity to integrate intraoral mechanical change in a facilitatory rather than disruptive manner. The SWITCH test operationalizes this evaluation at the chair side, translating the complex mechanobiological and neurological evidence reviewed in this document into a practical, repeatable, low-cost clinical assessment that any NFDM-trained practitioner can perform.</w:t>
      </w:r>
    </w:p>
    <w:p>
      <w:pPr>
        <w:spacing w:after="80" w:before="80" w:line="360"/>
        <w:jc w:val="both"/>
      </w:pPr>
      <w:r>
        <w:rPr>
          <w:rFonts w:ascii="Arial" w:cs="Arial" w:eastAsia="Arial" w:hAnsi="Arial"/>
          <w:sz w:val="22"/>
          <w:szCs w:val="22"/>
        </w:rPr>
        <w:t xml:space="preserve">The mechanobiological rationale for preferring dynamic neurofunctional appliances whenever clinically feasible is compelling: Peptan et al.'s demonstration that cyclic, physiological-frequency forces produce the most adaptive sutural biological responses; Martinez-Maza et al.'s documentation that craniofacial sutures serve as the mediators of biologically directed airway accommodation across the lifespan; and Williams et al.'s proof that altered sutural mechanics amplifies the intracranial consequences of oral forces in neurologically vulnerable patients — all point toward the same conclusion. An appliance that works within the compliance of the craniofacial sutural system, using biologically directed forces to support the system's own airway-accommodating growth trajectory, is mechanobiologically and neurologically superior to one that overcomes that system's resistance through brute orthopedic force. The SWITCH test is the clinical instrument that translates this theoretical superiority into a patient-specific, evidence-anchored treatment decision.</w:t>
      </w:r>
    </w:p>
    <w:p>
      <w:pPr>
        <w:spacing w:after="80" w:before="80"/>
      </w:pPr>
      <w:r>
        <w:t xml:space="preserve"/>
      </w:r>
    </w:p>
    <w:p>
      <w:pPr>
        <w:pStyle w:val="Heading1"/>
        <w:spacing w:after="180" w:before="360"/>
      </w:pPr>
      <w:r>
        <w:rPr>
          <w:rFonts w:ascii="Arial" w:cs="Arial" w:eastAsia="Arial" w:hAnsi="Arial"/>
          <w:b/>
          <w:bCs/>
          <w:sz w:val="30"/>
          <w:szCs w:val="30"/>
        </w:rPr>
        <w:t xml:space="preserve">Clinical Implications for Neurofunctional Dental Medicine Practice</w:t>
      </w:r>
    </w:p>
    <w:p>
      <w:pPr>
        <w:spacing w:after="80" w:before="80" w:line="360"/>
        <w:jc w:val="both"/>
      </w:pPr>
      <w:r>
        <w:rPr>
          <w:rFonts w:ascii="Arial" w:cs="Arial" w:eastAsia="Arial" w:hAnsi="Arial"/>
          <w:sz w:val="22"/>
          <w:szCs w:val="22"/>
        </w:rPr>
        <w:t xml:space="preserve">The integrated evidence base supports the following specific clinical obligations for NFDM practitioners:</w:t>
      </w:r>
    </w:p>
    <w:p>
      <w:pPr>
        <w:spacing w:after="80" w:before="80"/>
      </w:pPr>
      <w:r>
        <w:t xml:space="preserve"/>
      </w:r>
    </w:p>
    <w:p>
      <w:pPr>
        <w:spacing w:after="80" w:before="80" w:line="360"/>
        <w:jc w:val="both"/>
      </w:pPr>
      <w:r>
        <w:rPr>
          <w:rFonts w:ascii="Arial" w:cs="Arial" w:eastAsia="Arial" w:hAnsi="Arial"/>
          <w:sz w:val="22"/>
          <w:szCs w:val="22"/>
        </w:rPr>
        <w:t xml:space="preserve">1. Implement SWITCH test triage as standard pre-treatment protocol. Every patient being evaluated for palatal expansion or airway-focused appliance therapy should undergo SWITCH test assessment of both dynamic neurofunctional and simulated rigid appliance contacts before a treatment approach is selected. This assessment is the clinical operationalization of the neurological decision-making framework supported by the full evidence base reviewed here.</w:t>
      </w:r>
    </w:p>
    <w:p>
      <w:pPr>
        <w:spacing w:after="80" w:before="80"/>
      </w:pPr>
      <w:r>
        <w:t xml:space="preserve"/>
      </w:r>
    </w:p>
    <w:p>
      <w:pPr>
        <w:spacing w:after="80" w:before="80" w:line="360"/>
        <w:jc w:val="both"/>
      </w:pPr>
      <w:r>
        <w:rPr>
          <w:rFonts w:ascii="Arial" w:cs="Arial" w:eastAsia="Arial" w:hAnsi="Arial"/>
          <w:sz w:val="22"/>
          <w:szCs w:val="22"/>
        </w:rPr>
        <w:t xml:space="preserve">2. Apply the four-layer mid-treatment monitoring protocol to all patients receiving rigid expansion. SWITCH test repeat assessment, neurological symptom inventory, ONSD ultrasonography for high-risk patients, and periodic CBCT symmetry evaluation together provide a multi-modal surveillance system that operationalizes the Williams, Baser, and Walter evidence at the clinical level.</w:t>
      </w:r>
    </w:p>
    <w:p>
      <w:pPr>
        <w:spacing w:after="80" w:before="80"/>
      </w:pPr>
      <w:r>
        <w:t xml:space="preserve"/>
      </w:r>
    </w:p>
    <w:p>
      <w:pPr>
        <w:spacing w:after="80" w:before="80" w:line="360"/>
        <w:jc w:val="both"/>
      </w:pPr>
      <w:r>
        <w:rPr>
          <w:rFonts w:ascii="Arial" w:cs="Arial" w:eastAsia="Arial" w:hAnsi="Arial"/>
          <w:sz w:val="22"/>
          <w:szCs w:val="22"/>
        </w:rPr>
        <w:t xml:space="preserve">3. Recognize that a negative mid-treatment SWITCH test is a clinical emergency signal, not a minor finding. Given the Williams data on the catastrophic amplification of jaw forces in compromised sutural systems, a neurofunctionally disruptive expansion — as signaled by a negative SWITCH test at any activation visit — represents an active risk for intracranial pressure dysregulation. It should prompt immediate protocol modification.</w:t>
      </w:r>
    </w:p>
    <w:p>
      <w:pPr>
        <w:spacing w:after="80" w:before="80"/>
      </w:pPr>
      <w:r>
        <w:t xml:space="preserve"/>
      </w:r>
    </w:p>
    <w:p>
      <w:pPr>
        <w:spacing w:after="80" w:before="80" w:line="360"/>
        <w:jc w:val="both"/>
      </w:pPr>
      <w:r>
        <w:rPr>
          <w:rFonts w:ascii="Arial" w:cs="Arial" w:eastAsia="Arial" w:hAnsi="Arial"/>
          <w:sz w:val="22"/>
          <w:szCs w:val="22"/>
        </w:rPr>
        <w:t xml:space="preserve">4. Build dynamic neurofunctional appliance capability into airway orthodontic practice. The TORNADO device and ALF family provide the mechanobiologically concordant tool set for patients who are either inappropriate candidates for rigid expansion (by neurological risk stratification) or who, following positive SWITCH test triage, are best served by a biologically directed, dynamic expansion approach. Practitioners who offer only rigid expansion options cannot serve the full spectrum of neurological risk profiles in their patient population.</w:t>
      </w:r>
    </w:p>
    <w:p>
      <w:pPr>
        <w:spacing w:after="80" w:before="80"/>
      </w:pPr>
      <w:r>
        <w:t xml:space="preserve"/>
      </w:r>
    </w:p>
    <w:p>
      <w:pPr>
        <w:spacing w:after="80" w:before="80" w:line="360"/>
        <w:jc w:val="both"/>
      </w:pPr>
      <w:r>
        <w:rPr>
          <w:rFonts w:ascii="Arial" w:cs="Arial" w:eastAsia="Arial" w:hAnsi="Arial"/>
          <w:sz w:val="22"/>
          <w:szCs w:val="22"/>
        </w:rPr>
        <w:t xml:space="preserve">5. Pursue prospective data collection on SWITCH test outcomes and mid-treatment monitoring results. The SWITCH test, as a clinical tool within the NFDM framework, requires formal prospective validation correlating its clinical output categories with objective measures (ONSD, electromyography, CBCT symmetry, polysomnographic outcomes). The evidence base reviewed here establishes the mechanobiological and neurological rationale for the tool; the next scientific step is the controlled clinical study that validates its predictive accuracy.</w:t>
      </w:r>
    </w:p>
    <w:p>
      <w:pPr>
        <w:spacing w:after="80" w:before="80"/>
      </w:pPr>
      <w:r>
        <w:t xml:space="preserve"/>
      </w:r>
    </w:p>
    <w:p>
      <w:pPr>
        <w:pStyle w:val="Heading1"/>
        <w:spacing w:after="180" w:before="360"/>
      </w:pPr>
      <w:r>
        <w:rPr>
          <w:rFonts w:ascii="Arial" w:cs="Arial" w:eastAsia="Arial" w:hAnsi="Arial"/>
          <w:b/>
          <w:bCs/>
          <w:sz w:val="30"/>
          <w:szCs w:val="30"/>
        </w:rPr>
        <w:t xml:space="preserve">Conclusion</w:t>
      </w:r>
    </w:p>
    <w:p>
      <w:pPr>
        <w:spacing w:after="80" w:before="80" w:line="360"/>
        <w:jc w:val="both"/>
      </w:pPr>
      <w:r>
        <w:rPr>
          <w:rFonts w:ascii="Arial" w:cs="Arial" w:eastAsia="Arial" w:hAnsi="Arial"/>
          <w:sz w:val="22"/>
          <w:szCs w:val="22"/>
        </w:rPr>
        <w:t xml:space="preserve">The evidence synthesized across five domains — sutural mechanobiology, developmental craniofacial modeling, neurological vulnerability and temporal bone hypermobility, RPE/MARPE biomechanical risk, and the Neurofunctional Dental Medicine clinical framework — converges on a paradigm-level clinical imperative. Appliance-driven airway modification is a neurological intervention whose risks are distributed across the craniofacial skeleton and its neural interface in ways that standard orthodontic monitoring does not capture. The SWITCH test, grounded in the Vmes-ARAS afferent circuit model of the Andrisani/Tenholder NFDM framework, provides a practical, chair-side tool for making the neurologically informed treatment decision that this evidence demands: which patients can tolerate rigid expansion with appropriate monitoring, and which patients require the biologically concordant, neurofunctionally supportive pathway of dynamic appliance therapy. Until the dental profession more broadly integrates this level of neurological accountability into airway orthodontic practice, the promise of expansion-based airway medicine will continue to be offset by unrecognized neurological costs — costs that the evidence reviewed here makes visible, and that the SWITCH test and NFDM monitoring framework make clinically addressable.</w:t>
      </w:r>
    </w:p>
    <w:p>
      <w:pPr>
        <w:spacing w:after="80" w:before="80"/>
      </w:pPr>
      <w:r>
        <w:t xml:space="preserve"/>
      </w:r>
    </w:p>
    <w:p>
      <w:pPr>
        <w:pStyle w:val="Heading1"/>
        <w:spacing w:after="180" w:before="360"/>
      </w:pPr>
      <w:r>
        <w:rPr>
          <w:rFonts w:ascii="Arial" w:cs="Arial" w:eastAsia="Arial" w:hAnsi="Arial"/>
          <w:b/>
          <w:bCs/>
          <w:sz w:val="30"/>
          <w:szCs w:val="30"/>
        </w:rPr>
        <w:t xml:space="preserve">References</w:t>
      </w:r>
    </w:p>
    <w:p>
      <w:pPr>
        <w:spacing w:after="60" w:before="60" w:line="300"/>
        <w:ind w:left="720" w:hanging="720"/>
      </w:pPr>
      <w:r>
        <w:rPr>
          <w:rFonts w:ascii="Arial" w:cs="Arial" w:eastAsia="Arial" w:hAnsi="Arial"/>
          <w:sz w:val="20"/>
          <w:szCs w:val="20"/>
        </w:rPr>
        <w:t xml:space="preserve">Baser MT, Soydan G, Poyraz O, Yucel SU, Gul SO. Does MARPE therapy have effects on intracranial pressure? A clinical study. BMC Oral Health. 2022;22(1):450. doi:10.1186/s12903-022-02482-x</w:t>
      </w:r>
    </w:p>
    <w:p>
      <w:pPr>
        <w:spacing w:after="60" w:before="60" w:line="300"/>
        <w:ind w:left="720" w:hanging="720"/>
      </w:pPr>
      <w:r>
        <w:rPr>
          <w:rFonts w:ascii="Arial" w:cs="Arial" w:eastAsia="Arial" w:hAnsi="Arial"/>
          <w:sz w:val="20"/>
          <w:szCs w:val="20"/>
        </w:rPr>
        <w:t xml:space="preserve">Chávez-Sevillano MG, Rodrigues Freire A, Rossi AC, Quintão CCA, Bevilacqua Prado F. Effect of rapid maxillary expansion on the pterygoid process and spheno-occipital synchondrosis in skulls with Class II and Class III skeletal relationships: a finite element analysis study. International Journal of Dentistry. 2026. doi:10.1155/ijod/5168602</w:t>
      </w:r>
    </w:p>
    <w:p>
      <w:pPr>
        <w:spacing w:after="60" w:before="60" w:line="300"/>
        <w:ind w:left="720" w:hanging="720"/>
      </w:pPr>
      <w:r>
        <w:rPr>
          <w:rFonts w:ascii="Arial" w:cs="Arial" w:eastAsia="Arial" w:hAnsi="Arial"/>
          <w:sz w:val="20"/>
          <w:szCs w:val="20"/>
        </w:rPr>
        <w:t xml:space="preserve">Enlow DH, Hans MG. Essentials of Facial Growth. Philadelphia: WB Saunders; 1996.</w:t>
      </w:r>
    </w:p>
    <w:p>
      <w:pPr>
        <w:spacing w:after="60" w:before="60" w:line="300"/>
        <w:ind w:left="720" w:hanging="720"/>
      </w:pPr>
      <w:r>
        <w:rPr>
          <w:rFonts w:ascii="Arial" w:cs="Arial" w:eastAsia="Arial" w:hAnsi="Arial"/>
          <w:sz w:val="20"/>
          <w:szCs w:val="20"/>
        </w:rPr>
        <w:t xml:space="preserve">Frost HM. Bone "mass" and the "mechanostat": a proposal. Anatomical Record. 1987;219(1):1–9. doi:10.1002/ar.1092190104</w:t>
      </w:r>
    </w:p>
    <w:p>
      <w:pPr>
        <w:spacing w:after="60" w:before="60" w:line="300"/>
        <w:ind w:left="720" w:hanging="720"/>
      </w:pPr>
      <w:r>
        <w:rPr>
          <w:rFonts w:ascii="Arial" w:cs="Arial" w:eastAsia="Arial" w:hAnsi="Arial"/>
          <w:sz w:val="20"/>
          <w:szCs w:val="20"/>
        </w:rPr>
        <w:t xml:space="preserve">Kopher RA, Mao JJ. Suture growth modulated by the oscillatory component of micromechanical strain. Journal of Bone and Mineral Research. 2003;18(3):521–528. doi:10.1359/jbmr.2003.18.3.521</w:t>
      </w:r>
    </w:p>
    <w:p>
      <w:pPr>
        <w:spacing w:after="60" w:before="60" w:line="300"/>
        <w:ind w:left="720" w:hanging="720"/>
      </w:pPr>
      <w:r>
        <w:rPr>
          <w:rFonts w:ascii="Arial" w:cs="Arial" w:eastAsia="Arial" w:hAnsi="Arial"/>
          <w:sz w:val="20"/>
          <w:szCs w:val="20"/>
        </w:rPr>
        <w:t xml:space="preserve">Mao JJ. Mechanobiology of craniofacial sutures. Journal of Dental Research. 2002;81(12):810–816. doi:10.1177/154405910208101203</w:t>
      </w:r>
    </w:p>
    <w:p>
      <w:pPr>
        <w:spacing w:after="60" w:before="60" w:line="300"/>
        <w:ind w:left="720" w:hanging="720"/>
      </w:pPr>
      <w:r>
        <w:rPr>
          <w:rFonts w:ascii="Arial" w:cs="Arial" w:eastAsia="Arial" w:hAnsi="Arial"/>
          <w:sz w:val="20"/>
          <w:szCs w:val="20"/>
        </w:rPr>
        <w:t xml:space="preserve">Martinez-Maza C, Rosas A, Nieto-Díaz M. Postnatal changes in the growth dynamics of the human face revealed from bone modelling patterns. Journal of Anatomy. 2013;223(3):228–241. doi:10.1111/joa.12075</w:t>
      </w:r>
    </w:p>
    <w:p>
      <w:pPr>
        <w:spacing w:after="60" w:before="60" w:line="300"/>
        <w:ind w:left="720" w:hanging="720"/>
      </w:pPr>
      <w:r>
        <w:rPr>
          <w:rFonts w:ascii="Arial" w:cs="Arial" w:eastAsia="Arial" w:hAnsi="Arial"/>
          <w:sz w:val="20"/>
          <w:szCs w:val="20"/>
        </w:rPr>
        <w:t xml:space="preserve">Moss ML, Young RW. A functional approach to craniology. American Journal of Physical Anthropology. 1960;18(4):281–292.</w:t>
      </w:r>
    </w:p>
    <w:p>
      <w:pPr>
        <w:spacing w:after="60" w:before="60" w:line="300"/>
        <w:ind w:left="720" w:hanging="720"/>
      </w:pPr>
      <w:r>
        <w:rPr>
          <w:rFonts w:ascii="Arial" w:cs="Arial" w:eastAsia="Arial" w:hAnsi="Arial"/>
          <w:sz w:val="20"/>
          <w:szCs w:val="20"/>
        </w:rPr>
        <w:t xml:space="preserve">Nordstrom D. Advanced Lightwire Functional (ALF) Appliance: Principles and Practice. Published in the public domain. Hollister, CA.</w:t>
      </w:r>
    </w:p>
    <w:p>
      <w:pPr>
        <w:spacing w:after="60" w:before="60" w:line="300"/>
        <w:ind w:left="720" w:hanging="720"/>
      </w:pPr>
      <w:r>
        <w:rPr>
          <w:rFonts w:ascii="Arial" w:cs="Arial" w:eastAsia="Arial" w:hAnsi="Arial"/>
          <w:sz w:val="20"/>
          <w:szCs w:val="20"/>
        </w:rPr>
        <w:t xml:space="preserve">Tenholder A. Neurofunctional Dental Medicine: The SWITCH Test, TORNADO Platform, BabyLase, and RestOralase Protocols. Unpublished clinical framework. American Board of Craniofacial Dental Sleep Medicine.</w:t>
      </w:r>
    </w:p>
    <w:p>
      <w:pPr>
        <w:spacing w:after="60" w:before="60" w:line="300"/>
        <w:ind w:left="720" w:hanging="720"/>
      </w:pPr>
      <w:r>
        <w:rPr>
          <w:rFonts w:ascii="Arial" w:cs="Arial" w:eastAsia="Arial" w:hAnsi="Arial"/>
          <w:sz w:val="20"/>
          <w:szCs w:val="20"/>
        </w:rPr>
        <w:t xml:space="preserve">Opperman LA. Cranial sutures as intramembranous bone growth sites. Developmental Dynamics. 2000;219(4):472–485.</w:t>
      </w:r>
    </w:p>
    <w:p>
      <w:pPr>
        <w:spacing w:after="60" w:before="60" w:line="300"/>
        <w:ind w:left="720" w:hanging="720"/>
      </w:pPr>
      <w:r>
        <w:rPr>
          <w:rFonts w:ascii="Arial" w:cs="Arial" w:eastAsia="Arial" w:hAnsi="Arial"/>
          <w:sz w:val="20"/>
          <w:szCs w:val="20"/>
        </w:rPr>
        <w:t xml:space="preserve">Peptan AI, Lopez A, Kopher RA, Mao JJ. Responses of intramembranous bone and sutures upon in vivo cyclic tensile and compressive loading. Bone. 2008;42(2):432–438. doi:10.1016/j.bone.2007.05.014</w:t>
      </w:r>
    </w:p>
    <w:p>
      <w:pPr>
        <w:spacing w:after="60" w:before="60" w:line="300"/>
        <w:ind w:left="720" w:hanging="720"/>
      </w:pPr>
      <w:r>
        <w:rPr>
          <w:rFonts w:ascii="Arial" w:cs="Arial" w:eastAsia="Arial" w:hAnsi="Arial"/>
          <w:sz w:val="20"/>
          <w:szCs w:val="20"/>
        </w:rPr>
        <w:t xml:space="preserve">Ramirez-Yanez GO, Farrell C. Biomechanics of conventional and miniscrew-assisted rapid palatal expansion. Journal of the World Federation of Orthodontists. 2024;13(3):e115–e126. doi:10.1016/j.ejwf.2024.04.001</w:t>
      </w:r>
    </w:p>
    <w:p>
      <w:pPr>
        <w:spacing w:after="60" w:before="60" w:line="300"/>
        <w:ind w:left="720" w:hanging="720"/>
      </w:pPr>
      <w:r>
        <w:rPr>
          <w:rFonts w:ascii="Arial" w:cs="Arial" w:eastAsia="Arial" w:hAnsi="Arial"/>
          <w:sz w:val="20"/>
          <w:szCs w:val="20"/>
        </w:rPr>
        <w:t xml:space="preserve">Simmons CA, Matlis S, Thornton AJ, et al. Cyclic strain enhances matrix mineralization by adult human mesenchymal stem cells via the ERK1/2 signaling pathway. Journal of Biomechanics. 2003;36(8):1087–1096. doi:10.1016/S0021-9290(03)00110-6</w:t>
      </w:r>
    </w:p>
    <w:p>
      <w:pPr>
        <w:spacing w:after="60" w:before="60" w:line="300"/>
        <w:ind w:left="720" w:hanging="720"/>
      </w:pPr>
      <w:r>
        <w:rPr>
          <w:rFonts w:ascii="Arial" w:cs="Arial" w:eastAsia="Arial" w:hAnsi="Arial"/>
          <w:sz w:val="20"/>
          <w:szCs w:val="20"/>
        </w:rPr>
        <w:t xml:space="preserve">Souza Dias GD, et al. New highlights on effects of rapid palatal expansion on the skull base: a finite element analysis study. Progress in Orthodontics. 2022. PMC8690457.</w:t>
      </w:r>
    </w:p>
    <w:p>
      <w:pPr>
        <w:spacing w:after="60" w:before="60" w:line="300"/>
        <w:ind w:left="720" w:hanging="720"/>
      </w:pPr>
      <w:r>
        <w:rPr>
          <w:rFonts w:ascii="Arial" w:cs="Arial" w:eastAsia="Arial" w:hAnsi="Arial"/>
          <w:sz w:val="20"/>
          <w:szCs w:val="20"/>
        </w:rPr>
        <w:t xml:space="preserve">StatPearls. Neuroanatomy, Cranial Nerve 5 (Trigeminal). NCBI Bookshelf NBK482283. Updated 2024.</w:t>
      </w:r>
    </w:p>
    <w:p>
      <w:pPr>
        <w:spacing w:after="60" w:before="60" w:line="300"/>
        <w:ind w:left="720" w:hanging="720"/>
      </w:pPr>
      <w:r>
        <w:rPr>
          <w:rFonts w:ascii="Arial" w:cs="Arial" w:eastAsia="Arial" w:hAnsi="Arial"/>
          <w:sz w:val="20"/>
          <w:szCs w:val="20"/>
        </w:rPr>
        <w:t xml:space="preserve">Tang H, Liu P, Xu Q, Hou Y, Guo J. A comparative analysis of aerodynamic and anatomic characteristics of upper airway before and after mini-implant–assisted rapid maxillary expansion. American Journal of Orthodontics and Dentofacial Orthopedics. 2021;159(4):e301–e310.</w:t>
      </w:r>
    </w:p>
    <w:p>
      <w:pPr>
        <w:spacing w:after="60" w:before="60" w:line="300"/>
        <w:ind w:left="720" w:hanging="720"/>
      </w:pPr>
      <w:r>
        <w:rPr>
          <w:rFonts w:ascii="Arial" w:cs="Arial" w:eastAsia="Arial" w:hAnsi="Arial"/>
          <w:sz w:val="20"/>
          <w:szCs w:val="20"/>
        </w:rPr>
        <w:t xml:space="preserve">Walter L, Blanco-Medina F, Carvajal-Ahumada JV, et al. Unwanted craniofacial fractures in MARPE/MASPE patients: a hidden risk? Progress in Orthodontics. 2025;26(1):51. doi:10.1186/s40510-025-00592-0</w:t>
      </w:r>
    </w:p>
    <w:p>
      <w:pPr>
        <w:spacing w:after="60" w:before="60" w:line="300"/>
        <w:ind w:left="720" w:hanging="720"/>
      </w:pPr>
      <w:r>
        <w:rPr>
          <w:rFonts w:ascii="Arial" w:cs="Arial" w:eastAsia="Arial" w:hAnsi="Arial"/>
          <w:sz w:val="20"/>
          <w:szCs w:val="20"/>
        </w:rPr>
        <w:t xml:space="preserve">Williams DE, Lynch JE, Doshi V, Singh GD, Hargens AR. Bruxism and temporal bone hypermobility in patients with multiple sclerosis. CRANIO®: The Journal of Craniomandibular &amp; Sleep Practice. 2011;29(3):178–186. doi:10.1179/crn.2011.026</w:t>
      </w:r>
    </w:p>
    <w:p>
      <w:pPr>
        <w:spacing w:after="60" w:before="60" w:line="300"/>
        <w:ind w:left="720" w:hanging="720"/>
      </w:pPr>
      <w:r>
        <w:rPr>
          <w:rFonts w:ascii="Arial" w:cs="Arial" w:eastAsia="Arial" w:hAnsi="Arial"/>
          <w:sz w:val="20"/>
          <w:szCs w:val="20"/>
        </w:rPr>
        <w:t xml:space="preserve">Zhang W, Liu J, Chen H, et al. Activation of the mesencephalic trigeminal nucleus contributes to masseter hyperactivity induced by chronic restraint stress. Frontiers in Neuroscience. 2022. PMC9035558.</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2026-06-24T20:17:03.918Z</dcterms:created>
  <dcterms:modified xsi:type="dcterms:W3CDTF">2026-06-24T20:17:03.918Z</dcterms:modified>
</cp:coreProperties>
</file>

<file path=docProps/custom.xml><?xml version="1.0" encoding="utf-8"?>
<Properties xmlns="http://schemas.openxmlformats.org/officeDocument/2006/custom-properties" xmlns:vt="http://schemas.openxmlformats.org/officeDocument/2006/docPropsVTypes"/>
</file>