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063D4" w14:textId="7E6F4D6C" w:rsidR="005C27FA" w:rsidRPr="00831B3E" w:rsidRDefault="00923F06" w:rsidP="005C27FA">
      <w:pPr>
        <w:jc w:val="center"/>
        <w:rPr>
          <w:b/>
        </w:rPr>
      </w:pPr>
      <w:r>
        <w:rPr>
          <w:b/>
        </w:rPr>
        <w:t>First Step Annual Report 2020</w:t>
      </w:r>
    </w:p>
    <w:p w14:paraId="4312A358" w14:textId="77777777" w:rsidR="005C27FA" w:rsidRPr="00831B3E" w:rsidRDefault="005C27FA" w:rsidP="005C27FA">
      <w:pPr>
        <w:jc w:val="center"/>
        <w:rPr>
          <w:b/>
        </w:rPr>
      </w:pPr>
    </w:p>
    <w:p w14:paraId="3D112CF4" w14:textId="5F2C6026" w:rsidR="005C27FA" w:rsidRPr="00831B3E" w:rsidRDefault="00923F06" w:rsidP="005C27FA">
      <w:pPr>
        <w:rPr>
          <w:b/>
        </w:rPr>
      </w:pPr>
      <w:r>
        <w:rPr>
          <w:b/>
        </w:rPr>
        <w:t>First Step Child Care Center—Partner Agency</w:t>
      </w:r>
    </w:p>
    <w:p w14:paraId="56F65924" w14:textId="77777777" w:rsidR="005C27FA" w:rsidRPr="00831B3E" w:rsidRDefault="005C27FA" w:rsidP="005C27FA">
      <w:pPr>
        <w:tabs>
          <w:tab w:val="left" w:pos="2833"/>
        </w:tabs>
        <w:ind w:left="93"/>
        <w:rPr>
          <w:b/>
        </w:rPr>
      </w:pPr>
    </w:p>
    <w:p w14:paraId="36C331E9" w14:textId="5AE9F363" w:rsidR="005C27FA" w:rsidRPr="00831B3E" w:rsidRDefault="005C27FA" w:rsidP="005C27FA">
      <w:pPr>
        <w:tabs>
          <w:tab w:val="left" w:pos="2833"/>
        </w:tabs>
        <w:ind w:left="93"/>
      </w:pPr>
      <w:r w:rsidRPr="00831B3E">
        <w:rPr>
          <w:b/>
        </w:rPr>
        <w:t>Program Name:</w:t>
      </w:r>
      <w:r w:rsidRPr="00831B3E">
        <w:rPr>
          <w:b/>
        </w:rPr>
        <w:tab/>
      </w:r>
      <w:r w:rsidR="00923F06">
        <w:rPr>
          <w:b/>
        </w:rPr>
        <w:tab/>
      </w:r>
      <w:r w:rsidR="00923F06">
        <w:rPr>
          <w:b/>
        </w:rPr>
        <w:tab/>
        <w:t>First Step Child Care Center, Inc.</w:t>
      </w:r>
      <w:r w:rsidRPr="00831B3E">
        <w:rPr>
          <w:b/>
        </w:rPr>
        <w:tab/>
      </w:r>
      <w:r w:rsidRPr="00831B3E">
        <w:rPr>
          <w:b/>
        </w:rPr>
        <w:tab/>
      </w:r>
    </w:p>
    <w:p w14:paraId="795E8FE8" w14:textId="0504B7B6" w:rsidR="005C27FA" w:rsidRPr="00831B3E" w:rsidRDefault="005C27FA" w:rsidP="005C27FA">
      <w:pPr>
        <w:tabs>
          <w:tab w:val="left" w:pos="2833"/>
        </w:tabs>
        <w:ind w:left="93"/>
      </w:pPr>
      <w:r w:rsidRPr="00831B3E">
        <w:rPr>
          <w:b/>
        </w:rPr>
        <w:t>Address:</w:t>
      </w:r>
      <w:r w:rsidRPr="00831B3E">
        <w:rPr>
          <w:b/>
        </w:rPr>
        <w:tab/>
      </w:r>
      <w:r w:rsidRPr="00831B3E">
        <w:rPr>
          <w:b/>
        </w:rPr>
        <w:tab/>
      </w:r>
      <w:r w:rsidRPr="00831B3E">
        <w:rPr>
          <w:b/>
        </w:rPr>
        <w:tab/>
      </w:r>
      <w:r w:rsidR="00923F06">
        <w:rPr>
          <w:b/>
        </w:rPr>
        <w:t>22025 Governors Hwy, Richton Park, IL 60471</w:t>
      </w:r>
    </w:p>
    <w:p w14:paraId="3BC3B66F" w14:textId="34DA4B61" w:rsidR="005C27FA" w:rsidRPr="00831B3E" w:rsidRDefault="005C27FA" w:rsidP="005C27FA">
      <w:pPr>
        <w:tabs>
          <w:tab w:val="left" w:pos="2833"/>
        </w:tabs>
        <w:ind w:left="93"/>
      </w:pPr>
      <w:r w:rsidRPr="00831B3E">
        <w:rPr>
          <w:b/>
        </w:rPr>
        <w:t>Phone Number:</w:t>
      </w:r>
      <w:r w:rsidRPr="00831B3E">
        <w:rPr>
          <w:b/>
        </w:rPr>
        <w:tab/>
      </w:r>
      <w:r w:rsidRPr="00831B3E">
        <w:t> </w:t>
      </w:r>
      <w:r w:rsidRPr="00831B3E">
        <w:tab/>
      </w:r>
      <w:r w:rsidR="00923F06">
        <w:t>(708) 747-3000</w:t>
      </w:r>
    </w:p>
    <w:p w14:paraId="5E3AA39A" w14:textId="16CE286D" w:rsidR="005C27FA" w:rsidRPr="00831B3E" w:rsidRDefault="005C27FA" w:rsidP="005C27FA">
      <w:pPr>
        <w:tabs>
          <w:tab w:val="left" w:pos="2833"/>
        </w:tabs>
        <w:ind w:left="93"/>
      </w:pPr>
      <w:r w:rsidRPr="00831B3E">
        <w:rPr>
          <w:b/>
        </w:rPr>
        <w:t>Fax Number:</w:t>
      </w:r>
      <w:r w:rsidRPr="00831B3E">
        <w:rPr>
          <w:b/>
        </w:rPr>
        <w:tab/>
      </w:r>
      <w:r w:rsidRPr="00831B3E">
        <w:t> </w:t>
      </w:r>
      <w:r w:rsidRPr="00831B3E">
        <w:tab/>
      </w:r>
      <w:r w:rsidR="00923F06">
        <w:t>(708) 747-5000</w:t>
      </w:r>
    </w:p>
    <w:p w14:paraId="0AA33EA3" w14:textId="22FFBD16" w:rsidR="005C27FA" w:rsidRPr="00831B3E" w:rsidRDefault="005C27FA" w:rsidP="005C27FA">
      <w:pPr>
        <w:tabs>
          <w:tab w:val="left" w:pos="2833"/>
        </w:tabs>
        <w:ind w:left="93"/>
      </w:pPr>
      <w:r w:rsidRPr="00831B3E">
        <w:rPr>
          <w:b/>
        </w:rPr>
        <w:t>Head Start Director Name:</w:t>
      </w:r>
      <w:r w:rsidRPr="00831B3E">
        <w:rPr>
          <w:b/>
        </w:rPr>
        <w:tab/>
      </w:r>
      <w:r w:rsidRPr="00831B3E">
        <w:t> </w:t>
      </w:r>
      <w:r w:rsidR="00923F06">
        <w:t>Ellie Giberson</w:t>
      </w:r>
    </w:p>
    <w:p w14:paraId="33A6B813" w14:textId="21A7AF80" w:rsidR="005C27FA" w:rsidRPr="00831B3E" w:rsidRDefault="005C27FA" w:rsidP="005C27FA">
      <w:pPr>
        <w:tabs>
          <w:tab w:val="left" w:pos="2833"/>
        </w:tabs>
        <w:ind w:left="93"/>
      </w:pPr>
      <w:r w:rsidRPr="00831B3E">
        <w:rPr>
          <w:b/>
        </w:rPr>
        <w:t>Head Start Director Email:</w:t>
      </w:r>
      <w:r w:rsidRPr="00831B3E">
        <w:rPr>
          <w:b/>
        </w:rPr>
        <w:tab/>
      </w:r>
      <w:r w:rsidRPr="00831B3E">
        <w:t> </w:t>
      </w:r>
      <w:r w:rsidR="00923F06">
        <w:t>egiberson@fs3c.com</w:t>
      </w:r>
    </w:p>
    <w:p w14:paraId="1DF087F9" w14:textId="77777777" w:rsidR="005C27FA" w:rsidRPr="00831B3E" w:rsidRDefault="005C27FA" w:rsidP="005C27FA">
      <w:pPr>
        <w:tabs>
          <w:tab w:val="left" w:pos="2833"/>
        </w:tabs>
        <w:ind w:left="93"/>
        <w:rPr>
          <w:b/>
        </w:rPr>
      </w:pPr>
    </w:p>
    <w:p w14:paraId="2F9D117B" w14:textId="77777777" w:rsidR="005C27FA" w:rsidRPr="00831B3E" w:rsidRDefault="005C27FA" w:rsidP="005C27FA">
      <w:pPr>
        <w:tabs>
          <w:tab w:val="left" w:pos="2833"/>
        </w:tabs>
        <w:ind w:left="93"/>
        <w:rPr>
          <w:b/>
        </w:rPr>
      </w:pPr>
    </w:p>
    <w:p w14:paraId="37B4741A" w14:textId="0AFD8DBD" w:rsidR="005C27FA" w:rsidRPr="00831B3E" w:rsidRDefault="005C27FA" w:rsidP="005C27FA">
      <w:pPr>
        <w:tabs>
          <w:tab w:val="left" w:pos="2833"/>
        </w:tabs>
        <w:ind w:left="93"/>
      </w:pPr>
      <w:r w:rsidRPr="00831B3E">
        <w:rPr>
          <w:b/>
        </w:rPr>
        <w:t>Agency Web Site Address:</w:t>
      </w:r>
      <w:r w:rsidRPr="00831B3E">
        <w:rPr>
          <w:b/>
        </w:rPr>
        <w:tab/>
      </w:r>
      <w:r w:rsidRPr="00831B3E">
        <w:t> </w:t>
      </w:r>
      <w:r w:rsidRPr="00831B3E">
        <w:tab/>
      </w:r>
      <w:r w:rsidR="00923F06">
        <w:t>firststepofrichtonpark.com</w:t>
      </w:r>
    </w:p>
    <w:p w14:paraId="20D6C9D0" w14:textId="3928AF19" w:rsidR="005C27FA" w:rsidRPr="00831B3E" w:rsidRDefault="005C27FA" w:rsidP="005C27FA">
      <w:pPr>
        <w:tabs>
          <w:tab w:val="left" w:pos="2833"/>
        </w:tabs>
        <w:ind w:left="93"/>
        <w:rPr>
          <w:b/>
        </w:rPr>
      </w:pPr>
      <w:r w:rsidRPr="00831B3E">
        <w:rPr>
          <w:b/>
        </w:rPr>
        <w:t>Agency Type:</w:t>
      </w:r>
      <w:r w:rsidRPr="00831B3E">
        <w:rPr>
          <w:b/>
        </w:rPr>
        <w:tab/>
      </w:r>
      <w:r w:rsidRPr="00831B3E">
        <w:t> </w:t>
      </w:r>
      <w:r w:rsidRPr="00831B3E">
        <w:tab/>
      </w:r>
      <w:r w:rsidR="00923F06">
        <w:t>For-Profit</w:t>
      </w:r>
    </w:p>
    <w:p w14:paraId="7E22CA67" w14:textId="77777777" w:rsidR="00EA47E7" w:rsidRDefault="005C27FA" w:rsidP="005C27FA">
      <w:pPr>
        <w:tabs>
          <w:tab w:val="left" w:pos="2833"/>
        </w:tabs>
        <w:rPr>
          <w:b/>
        </w:rPr>
      </w:pPr>
      <w:r w:rsidRPr="00831B3E">
        <w:rPr>
          <w:b/>
        </w:rPr>
        <w:t xml:space="preserve"> </w:t>
      </w:r>
    </w:p>
    <w:p w14:paraId="6B08E529" w14:textId="494884FD" w:rsidR="005C27FA" w:rsidRPr="00831B3E" w:rsidRDefault="005C27FA" w:rsidP="005C27FA">
      <w:pPr>
        <w:tabs>
          <w:tab w:val="left" w:pos="2833"/>
        </w:tabs>
      </w:pPr>
      <w:r w:rsidRPr="00831B3E">
        <w:rPr>
          <w:b/>
        </w:rPr>
        <w:t xml:space="preserve"> Agency Description</w:t>
      </w:r>
      <w:r w:rsidR="00923F06">
        <w:rPr>
          <w:b/>
        </w:rPr>
        <w:t>:</w:t>
      </w:r>
      <w:r w:rsidRPr="00831B3E">
        <w:rPr>
          <w:b/>
        </w:rPr>
        <w:tab/>
      </w:r>
      <w:r w:rsidRPr="00831B3E">
        <w:t> </w:t>
      </w:r>
    </w:p>
    <w:p w14:paraId="4F4C435D" w14:textId="5E5C9767" w:rsidR="005C27FA" w:rsidRDefault="005C27FA" w:rsidP="005C27FA"/>
    <w:p w14:paraId="212925D5" w14:textId="3598404D" w:rsidR="00923F06" w:rsidRDefault="00923F06" w:rsidP="005C27FA">
      <w:r>
        <w:t xml:space="preserve">First Step Child Care Center is a for-profit child care and early learning center which facilitates the development of the whole child through carefully designed experiences that tap into the child’s natural curiosity and developmental readiness.  </w:t>
      </w:r>
      <w:r w:rsidR="00EA47E7">
        <w:t>We know that every child’s emotional well-being is vitally important to their development, and our warm and loving staff provide a stable, nurturing environment where children can thrive. All</w:t>
      </w:r>
      <w:r>
        <w:t xml:space="preserve"> our learning experiences are individualized to meet each child where they are in their development</w:t>
      </w:r>
      <w:r w:rsidR="00EA47E7">
        <w:t xml:space="preserve">.  Our teaching and administrative staff are dedicated to continual research and professional learning in child development and the best practices in early childhood education.  </w:t>
      </w:r>
    </w:p>
    <w:p w14:paraId="50246DC5" w14:textId="20940658" w:rsidR="00923F06" w:rsidRDefault="00923F06" w:rsidP="005C27FA"/>
    <w:p w14:paraId="69C42765" w14:textId="2CE78791" w:rsidR="00923F06" w:rsidRDefault="00923F06" w:rsidP="005C27FA">
      <w:r>
        <w:t xml:space="preserve">First Step Child Care Center has been providing a safe and nurturing environment in Richton Park, IL since 1999.  This family-owned business cares for children from 6 weeks to 5 years of age.  </w:t>
      </w:r>
      <w:r w:rsidR="00EA47E7">
        <w:t>We are accredited by the National Association for the Education of Young Children (NAEYC) and are a Gold Circle Center with the Illinois ExceleRate System for child care centers.</w:t>
      </w:r>
    </w:p>
    <w:p w14:paraId="489AA7CC" w14:textId="7024294E" w:rsidR="00EA47E7" w:rsidRDefault="00EA47E7" w:rsidP="005C27FA"/>
    <w:p w14:paraId="5E498949" w14:textId="77777777" w:rsidR="005C27FA" w:rsidRPr="00831B3E" w:rsidRDefault="005C27FA" w:rsidP="005C27FA">
      <w:pPr>
        <w:rPr>
          <w:b/>
        </w:rPr>
      </w:pPr>
      <w:r w:rsidRPr="00831B3E">
        <w:rPr>
          <w:b/>
        </w:rPr>
        <w:t>Community Areas Served</w:t>
      </w:r>
    </w:p>
    <w:p w14:paraId="4624A623" w14:textId="77777777" w:rsidR="005C27FA" w:rsidRPr="00831B3E" w:rsidRDefault="005C27FA" w:rsidP="005C27FA"/>
    <w:p w14:paraId="070666C8" w14:textId="221FD993" w:rsidR="005C27FA" w:rsidRDefault="00EA47E7" w:rsidP="00EA47E7">
      <w:pPr>
        <w:pStyle w:val="ListParagraph"/>
        <w:numPr>
          <w:ilvl w:val="0"/>
          <w:numId w:val="1"/>
        </w:numPr>
      </w:pPr>
      <w:r>
        <w:t>Crete</w:t>
      </w:r>
    </w:p>
    <w:p w14:paraId="3AEA9CC4" w14:textId="1B74F14B" w:rsidR="00EA47E7" w:rsidRDefault="00EA47E7" w:rsidP="00EA47E7">
      <w:pPr>
        <w:pStyle w:val="ListParagraph"/>
        <w:numPr>
          <w:ilvl w:val="0"/>
          <w:numId w:val="1"/>
        </w:numPr>
      </w:pPr>
      <w:r>
        <w:t>Park Forest</w:t>
      </w:r>
    </w:p>
    <w:p w14:paraId="705978A0" w14:textId="0DF8BC0D" w:rsidR="00EA47E7" w:rsidRDefault="00EA47E7" w:rsidP="00EA47E7">
      <w:pPr>
        <w:pStyle w:val="ListParagraph"/>
        <w:numPr>
          <w:ilvl w:val="0"/>
          <w:numId w:val="1"/>
        </w:numPr>
      </w:pPr>
      <w:r>
        <w:t>Richton Park</w:t>
      </w:r>
    </w:p>
    <w:p w14:paraId="1A52F233" w14:textId="6DFB77D4" w:rsidR="00EA47E7" w:rsidRDefault="00EA47E7" w:rsidP="00EA47E7">
      <w:pPr>
        <w:pStyle w:val="ListParagraph"/>
        <w:numPr>
          <w:ilvl w:val="0"/>
          <w:numId w:val="1"/>
        </w:numPr>
      </w:pPr>
      <w:r>
        <w:t xml:space="preserve">Matteson </w:t>
      </w:r>
    </w:p>
    <w:p w14:paraId="63310084" w14:textId="30066BC2" w:rsidR="00EA47E7" w:rsidRDefault="00EA47E7" w:rsidP="00EA47E7">
      <w:pPr>
        <w:pStyle w:val="ListParagraph"/>
        <w:numPr>
          <w:ilvl w:val="0"/>
          <w:numId w:val="1"/>
        </w:numPr>
      </w:pPr>
      <w:r>
        <w:t xml:space="preserve">Steger </w:t>
      </w:r>
    </w:p>
    <w:p w14:paraId="0160C7B9" w14:textId="5D21D16B" w:rsidR="00EA47E7" w:rsidRDefault="00EA47E7" w:rsidP="00EA47E7">
      <w:pPr>
        <w:pStyle w:val="ListParagraph"/>
        <w:numPr>
          <w:ilvl w:val="0"/>
          <w:numId w:val="1"/>
        </w:numPr>
      </w:pPr>
      <w:r>
        <w:t>University Park</w:t>
      </w:r>
    </w:p>
    <w:p w14:paraId="756BE0DE" w14:textId="0EDC492D" w:rsidR="00EA47E7" w:rsidRPr="00831B3E" w:rsidRDefault="00EA47E7" w:rsidP="00EA47E7">
      <w:pPr>
        <w:pStyle w:val="ListParagraph"/>
        <w:numPr>
          <w:ilvl w:val="0"/>
          <w:numId w:val="1"/>
        </w:numPr>
      </w:pPr>
      <w:r>
        <w:t>Chicago Heights</w:t>
      </w:r>
    </w:p>
    <w:p w14:paraId="1BA1C6DF" w14:textId="77777777" w:rsidR="005C27FA" w:rsidRPr="00831B3E" w:rsidRDefault="005C27FA" w:rsidP="005C27FA"/>
    <w:p w14:paraId="4EAD166D" w14:textId="77777777" w:rsidR="00027CCD" w:rsidRDefault="00027CCD" w:rsidP="005C27FA">
      <w:pPr>
        <w:pStyle w:val="Heading1"/>
        <w:rPr>
          <w:rFonts w:ascii="Times New Roman" w:hAnsi="Times New Roman"/>
          <w:sz w:val="24"/>
          <w:szCs w:val="24"/>
        </w:rPr>
      </w:pPr>
      <w:bookmarkStart w:id="0" w:name="_Toc250470443"/>
    </w:p>
    <w:p w14:paraId="38F5D65D" w14:textId="77777777" w:rsidR="00027CCD" w:rsidRDefault="00027CCD">
      <w:pPr>
        <w:spacing w:after="160" w:line="259" w:lineRule="auto"/>
        <w:rPr>
          <w:b/>
          <w:bCs/>
          <w:kern w:val="32"/>
        </w:rPr>
      </w:pPr>
      <w:r>
        <w:br w:type="page"/>
      </w:r>
    </w:p>
    <w:p w14:paraId="2857260A" w14:textId="7CCBFEAB" w:rsidR="005C27FA" w:rsidRPr="00831B3E" w:rsidRDefault="005C27FA" w:rsidP="005C27FA">
      <w:pPr>
        <w:pStyle w:val="Heading1"/>
        <w:rPr>
          <w:rFonts w:ascii="Times New Roman" w:hAnsi="Times New Roman"/>
          <w:sz w:val="24"/>
          <w:szCs w:val="24"/>
        </w:rPr>
      </w:pPr>
      <w:r w:rsidRPr="00831B3E">
        <w:rPr>
          <w:rFonts w:ascii="Times New Roman" w:hAnsi="Times New Roman"/>
          <w:sz w:val="24"/>
          <w:szCs w:val="24"/>
        </w:rPr>
        <w:lastRenderedPageBreak/>
        <w:t>Overall Grantee Budget</w:t>
      </w:r>
      <w:bookmarkEnd w:id="0"/>
      <w:r w:rsidRPr="00831B3E">
        <w:rPr>
          <w:rFonts w:ascii="Times New Roman" w:hAnsi="Times New Roman"/>
          <w:sz w:val="24"/>
          <w:szCs w:val="24"/>
        </w:rPr>
        <w:t xml:space="preserve"> </w:t>
      </w:r>
      <w:r w:rsidR="00515DA9">
        <w:rPr>
          <w:rFonts w:ascii="Times New Roman" w:hAnsi="Times New Roman"/>
          <w:sz w:val="24"/>
          <w:szCs w:val="24"/>
        </w:rPr>
        <w:t>2020</w:t>
      </w:r>
    </w:p>
    <w:p w14:paraId="325B1CFC" w14:textId="77777777" w:rsidR="005C27FA" w:rsidRPr="00831B3E" w:rsidRDefault="005C27FA" w:rsidP="005C27FA"/>
    <w:p w14:paraId="6C73B0BB" w14:textId="77777777" w:rsidR="005C27FA" w:rsidRPr="00831B3E" w:rsidRDefault="005C27FA" w:rsidP="005C27FA">
      <w:r w:rsidRPr="00831B3E">
        <w:rPr>
          <w:b/>
        </w:rPr>
        <w:t>Total Public and Private Funds received:</w:t>
      </w:r>
      <w:r w:rsidRPr="00831B3E">
        <w:t xml:space="preserve">  $ </w:t>
      </w:r>
    </w:p>
    <w:p w14:paraId="2D4FF730" w14:textId="77777777" w:rsidR="005C27FA" w:rsidRPr="00831B3E" w:rsidRDefault="005C27FA" w:rsidP="005C27FA"/>
    <w:tbl>
      <w:tblPr>
        <w:tblW w:w="7380" w:type="dxa"/>
        <w:jc w:val="center"/>
        <w:tblLook w:val="0000" w:firstRow="0" w:lastRow="0" w:firstColumn="0" w:lastColumn="0" w:noHBand="0" w:noVBand="0"/>
      </w:tblPr>
      <w:tblGrid>
        <w:gridCol w:w="2265"/>
        <w:gridCol w:w="1375"/>
        <w:gridCol w:w="2315"/>
        <w:gridCol w:w="1425"/>
      </w:tblGrid>
      <w:tr w:rsidR="005C27FA" w:rsidRPr="00831B3E" w14:paraId="50542F03" w14:textId="77777777" w:rsidTr="00532EC5">
        <w:trPr>
          <w:trHeight w:val="255"/>
          <w:jc w:val="center"/>
        </w:trPr>
        <w:tc>
          <w:tcPr>
            <w:tcW w:w="3640" w:type="dxa"/>
            <w:gridSpan w:val="2"/>
            <w:tcBorders>
              <w:top w:val="single" w:sz="4" w:space="0" w:color="auto"/>
              <w:left w:val="single" w:sz="4" w:space="0" w:color="auto"/>
              <w:bottom w:val="single" w:sz="4" w:space="0" w:color="auto"/>
              <w:right w:val="single" w:sz="4" w:space="0" w:color="auto"/>
            </w:tcBorders>
            <w:shd w:val="clear" w:color="auto" w:fill="B3B3B3"/>
            <w:noWrap/>
          </w:tcPr>
          <w:p w14:paraId="6FCAACA6" w14:textId="77777777" w:rsidR="005C27FA" w:rsidRPr="00831B3E" w:rsidRDefault="005C27FA" w:rsidP="00532EC5">
            <w:pPr>
              <w:jc w:val="center"/>
              <w:rPr>
                <w:b/>
              </w:rPr>
            </w:pPr>
            <w:r w:rsidRPr="00831B3E">
              <w:rPr>
                <w:b/>
              </w:rPr>
              <w:t>Public Funds</w:t>
            </w:r>
          </w:p>
        </w:tc>
        <w:tc>
          <w:tcPr>
            <w:tcW w:w="3740" w:type="dxa"/>
            <w:gridSpan w:val="2"/>
            <w:tcBorders>
              <w:top w:val="single" w:sz="4" w:space="0" w:color="auto"/>
              <w:left w:val="nil"/>
              <w:bottom w:val="single" w:sz="4" w:space="0" w:color="auto"/>
              <w:right w:val="single" w:sz="4" w:space="0" w:color="auto"/>
            </w:tcBorders>
            <w:shd w:val="clear" w:color="auto" w:fill="B3B3B3"/>
            <w:noWrap/>
          </w:tcPr>
          <w:p w14:paraId="4D4E4FB2" w14:textId="77777777" w:rsidR="005C27FA" w:rsidRPr="00831B3E" w:rsidRDefault="005C27FA" w:rsidP="00532EC5">
            <w:pPr>
              <w:jc w:val="center"/>
              <w:rPr>
                <w:b/>
              </w:rPr>
            </w:pPr>
            <w:r w:rsidRPr="00831B3E">
              <w:rPr>
                <w:b/>
              </w:rPr>
              <w:t>Private Funds</w:t>
            </w:r>
          </w:p>
        </w:tc>
      </w:tr>
      <w:tr w:rsidR="005C27FA" w:rsidRPr="00831B3E" w14:paraId="54515687" w14:textId="77777777" w:rsidTr="00532EC5">
        <w:trPr>
          <w:trHeight w:val="305"/>
          <w:jc w:val="center"/>
        </w:trPr>
        <w:tc>
          <w:tcPr>
            <w:tcW w:w="2265" w:type="dxa"/>
            <w:tcBorders>
              <w:top w:val="nil"/>
              <w:left w:val="single" w:sz="4" w:space="0" w:color="auto"/>
              <w:bottom w:val="single" w:sz="4" w:space="0" w:color="auto"/>
              <w:right w:val="single" w:sz="4" w:space="0" w:color="auto"/>
            </w:tcBorders>
            <w:shd w:val="clear" w:color="auto" w:fill="B3B3B3"/>
            <w:noWrap/>
          </w:tcPr>
          <w:p w14:paraId="489C6DA4" w14:textId="77777777" w:rsidR="005C27FA" w:rsidRPr="00831B3E" w:rsidRDefault="005C27FA" w:rsidP="00532EC5">
            <w:pPr>
              <w:rPr>
                <w:b/>
              </w:rPr>
            </w:pPr>
            <w:r w:rsidRPr="00831B3E">
              <w:rPr>
                <w:b/>
              </w:rPr>
              <w:t>Source</w:t>
            </w:r>
          </w:p>
        </w:tc>
        <w:tc>
          <w:tcPr>
            <w:tcW w:w="1375" w:type="dxa"/>
            <w:tcBorders>
              <w:top w:val="nil"/>
              <w:left w:val="nil"/>
              <w:bottom w:val="single" w:sz="4" w:space="0" w:color="auto"/>
              <w:right w:val="single" w:sz="4" w:space="0" w:color="auto"/>
            </w:tcBorders>
            <w:shd w:val="clear" w:color="auto" w:fill="B3B3B3"/>
            <w:noWrap/>
          </w:tcPr>
          <w:p w14:paraId="34270778" w14:textId="77777777" w:rsidR="005C27FA" w:rsidRPr="00831B3E" w:rsidRDefault="005C27FA" w:rsidP="00532EC5">
            <w:pPr>
              <w:rPr>
                <w:b/>
              </w:rPr>
            </w:pPr>
            <w:r w:rsidRPr="00831B3E">
              <w:rPr>
                <w:b/>
              </w:rPr>
              <w:t>Amount</w:t>
            </w:r>
          </w:p>
        </w:tc>
        <w:tc>
          <w:tcPr>
            <w:tcW w:w="2315" w:type="dxa"/>
            <w:tcBorders>
              <w:top w:val="nil"/>
              <w:left w:val="nil"/>
              <w:bottom w:val="single" w:sz="4" w:space="0" w:color="auto"/>
              <w:right w:val="single" w:sz="4" w:space="0" w:color="auto"/>
            </w:tcBorders>
            <w:shd w:val="clear" w:color="auto" w:fill="B3B3B3"/>
            <w:noWrap/>
          </w:tcPr>
          <w:p w14:paraId="585646BB" w14:textId="77777777" w:rsidR="005C27FA" w:rsidRPr="00831B3E" w:rsidRDefault="005C27FA" w:rsidP="00532EC5">
            <w:pPr>
              <w:rPr>
                <w:b/>
              </w:rPr>
            </w:pPr>
            <w:r w:rsidRPr="00831B3E">
              <w:rPr>
                <w:b/>
              </w:rPr>
              <w:t>Source</w:t>
            </w:r>
          </w:p>
        </w:tc>
        <w:tc>
          <w:tcPr>
            <w:tcW w:w="1425" w:type="dxa"/>
            <w:tcBorders>
              <w:top w:val="nil"/>
              <w:left w:val="nil"/>
              <w:bottom w:val="single" w:sz="4" w:space="0" w:color="auto"/>
              <w:right w:val="single" w:sz="4" w:space="0" w:color="auto"/>
            </w:tcBorders>
            <w:shd w:val="clear" w:color="auto" w:fill="B3B3B3"/>
            <w:noWrap/>
          </w:tcPr>
          <w:p w14:paraId="00E4605C" w14:textId="77777777" w:rsidR="005C27FA" w:rsidRPr="00831B3E" w:rsidRDefault="005C27FA" w:rsidP="00532EC5">
            <w:pPr>
              <w:rPr>
                <w:b/>
              </w:rPr>
            </w:pPr>
            <w:r w:rsidRPr="00831B3E">
              <w:rPr>
                <w:b/>
              </w:rPr>
              <w:t>Amount</w:t>
            </w:r>
          </w:p>
        </w:tc>
      </w:tr>
      <w:tr w:rsidR="005C27FA" w:rsidRPr="00831B3E" w14:paraId="26FAE509" w14:textId="77777777" w:rsidTr="00532EC5">
        <w:trPr>
          <w:trHeight w:val="255"/>
          <w:jc w:val="center"/>
        </w:trPr>
        <w:tc>
          <w:tcPr>
            <w:tcW w:w="2265" w:type="dxa"/>
            <w:tcBorders>
              <w:top w:val="nil"/>
              <w:left w:val="single" w:sz="4" w:space="0" w:color="auto"/>
              <w:bottom w:val="single" w:sz="4" w:space="0" w:color="auto"/>
              <w:right w:val="single" w:sz="4" w:space="0" w:color="auto"/>
            </w:tcBorders>
            <w:shd w:val="clear" w:color="auto" w:fill="auto"/>
            <w:noWrap/>
          </w:tcPr>
          <w:p w14:paraId="4F716038" w14:textId="77777777" w:rsidR="005C27FA" w:rsidRPr="00831B3E" w:rsidRDefault="005C27FA" w:rsidP="00532EC5">
            <w:r w:rsidRPr="00831B3E">
              <w:t> Federal</w:t>
            </w:r>
          </w:p>
        </w:tc>
        <w:tc>
          <w:tcPr>
            <w:tcW w:w="1375" w:type="dxa"/>
            <w:tcBorders>
              <w:top w:val="nil"/>
              <w:left w:val="nil"/>
              <w:bottom w:val="single" w:sz="4" w:space="0" w:color="auto"/>
              <w:right w:val="single" w:sz="4" w:space="0" w:color="auto"/>
            </w:tcBorders>
            <w:shd w:val="clear" w:color="auto" w:fill="auto"/>
            <w:noWrap/>
          </w:tcPr>
          <w:p w14:paraId="4B852E38" w14:textId="4E30ED56" w:rsidR="005C27FA" w:rsidRPr="00831B3E" w:rsidRDefault="00FF5755" w:rsidP="00532EC5">
            <w:pPr>
              <w:jc w:val="right"/>
            </w:pPr>
            <w:r>
              <w:t>$905,913</w:t>
            </w:r>
          </w:p>
        </w:tc>
        <w:tc>
          <w:tcPr>
            <w:tcW w:w="2315" w:type="dxa"/>
            <w:tcBorders>
              <w:top w:val="nil"/>
              <w:left w:val="nil"/>
              <w:bottom w:val="single" w:sz="4" w:space="0" w:color="auto"/>
              <w:right w:val="single" w:sz="4" w:space="0" w:color="auto"/>
            </w:tcBorders>
            <w:shd w:val="clear" w:color="auto" w:fill="auto"/>
            <w:noWrap/>
          </w:tcPr>
          <w:p w14:paraId="4F4AE712" w14:textId="77777777" w:rsidR="005C27FA" w:rsidRPr="00831B3E" w:rsidRDefault="005C27FA" w:rsidP="00532EC5">
            <w:r w:rsidRPr="00831B3E">
              <w:t xml:space="preserve"> Individuals, Corporations, </w:t>
            </w:r>
          </w:p>
          <w:p w14:paraId="078F7762" w14:textId="77777777" w:rsidR="005C27FA" w:rsidRPr="00831B3E" w:rsidRDefault="005C27FA" w:rsidP="00532EC5">
            <w:r w:rsidRPr="00831B3E">
              <w:t>Foundations, etc.</w:t>
            </w:r>
          </w:p>
        </w:tc>
        <w:tc>
          <w:tcPr>
            <w:tcW w:w="1425" w:type="dxa"/>
            <w:tcBorders>
              <w:top w:val="nil"/>
              <w:left w:val="nil"/>
              <w:bottom w:val="single" w:sz="4" w:space="0" w:color="auto"/>
              <w:right w:val="single" w:sz="4" w:space="0" w:color="auto"/>
            </w:tcBorders>
            <w:shd w:val="clear" w:color="auto" w:fill="auto"/>
            <w:noWrap/>
          </w:tcPr>
          <w:p w14:paraId="25E395E9" w14:textId="77777777" w:rsidR="005C27FA" w:rsidRPr="00831B3E" w:rsidRDefault="005C27FA" w:rsidP="00532EC5">
            <w:pPr>
              <w:jc w:val="right"/>
            </w:pPr>
          </w:p>
        </w:tc>
      </w:tr>
      <w:tr w:rsidR="005C27FA" w:rsidRPr="00831B3E" w14:paraId="7B7E5FA8" w14:textId="77777777" w:rsidTr="00532EC5">
        <w:trPr>
          <w:trHeight w:val="255"/>
          <w:jc w:val="center"/>
        </w:trPr>
        <w:tc>
          <w:tcPr>
            <w:tcW w:w="2265" w:type="dxa"/>
            <w:tcBorders>
              <w:top w:val="nil"/>
              <w:left w:val="single" w:sz="4" w:space="0" w:color="auto"/>
              <w:bottom w:val="single" w:sz="4" w:space="0" w:color="auto"/>
              <w:right w:val="single" w:sz="4" w:space="0" w:color="auto"/>
            </w:tcBorders>
            <w:shd w:val="clear" w:color="auto" w:fill="auto"/>
            <w:noWrap/>
          </w:tcPr>
          <w:p w14:paraId="02315880" w14:textId="77777777" w:rsidR="005C27FA" w:rsidRPr="00831B3E" w:rsidRDefault="005C27FA" w:rsidP="00532EC5">
            <w:r w:rsidRPr="00831B3E">
              <w:t> State</w:t>
            </w:r>
          </w:p>
        </w:tc>
        <w:tc>
          <w:tcPr>
            <w:tcW w:w="1375" w:type="dxa"/>
            <w:tcBorders>
              <w:top w:val="nil"/>
              <w:left w:val="nil"/>
              <w:bottom w:val="single" w:sz="4" w:space="0" w:color="auto"/>
              <w:right w:val="single" w:sz="4" w:space="0" w:color="auto"/>
            </w:tcBorders>
            <w:shd w:val="clear" w:color="auto" w:fill="auto"/>
            <w:noWrap/>
          </w:tcPr>
          <w:p w14:paraId="3A1CCBE4" w14:textId="77777777" w:rsidR="005C27FA" w:rsidRPr="00831B3E" w:rsidRDefault="005C27FA" w:rsidP="00532EC5">
            <w:pPr>
              <w:jc w:val="right"/>
            </w:pPr>
          </w:p>
        </w:tc>
        <w:tc>
          <w:tcPr>
            <w:tcW w:w="2315" w:type="dxa"/>
            <w:tcBorders>
              <w:top w:val="nil"/>
              <w:left w:val="nil"/>
              <w:bottom w:val="single" w:sz="4" w:space="0" w:color="auto"/>
              <w:right w:val="single" w:sz="4" w:space="0" w:color="auto"/>
            </w:tcBorders>
            <w:shd w:val="clear" w:color="auto" w:fill="auto"/>
            <w:noWrap/>
          </w:tcPr>
          <w:p w14:paraId="7DC6B5CE" w14:textId="77777777" w:rsidR="005C27FA" w:rsidRPr="00831B3E" w:rsidRDefault="005C27FA" w:rsidP="00532EC5">
            <w:r w:rsidRPr="00831B3E">
              <w:t>In-kind </w:t>
            </w:r>
          </w:p>
        </w:tc>
        <w:tc>
          <w:tcPr>
            <w:tcW w:w="1425" w:type="dxa"/>
            <w:tcBorders>
              <w:top w:val="nil"/>
              <w:left w:val="nil"/>
              <w:bottom w:val="single" w:sz="4" w:space="0" w:color="auto"/>
              <w:right w:val="single" w:sz="4" w:space="0" w:color="auto"/>
            </w:tcBorders>
            <w:shd w:val="clear" w:color="auto" w:fill="auto"/>
            <w:noWrap/>
          </w:tcPr>
          <w:p w14:paraId="4B3997B9" w14:textId="4D651BD4" w:rsidR="005C27FA" w:rsidRPr="00831B3E" w:rsidRDefault="00FF5755" w:rsidP="00532EC5">
            <w:pPr>
              <w:jc w:val="right"/>
            </w:pPr>
            <w:r>
              <w:t>$326,090</w:t>
            </w:r>
          </w:p>
        </w:tc>
      </w:tr>
      <w:tr w:rsidR="005C27FA" w:rsidRPr="00831B3E" w14:paraId="1C47187C" w14:textId="77777777" w:rsidTr="00532EC5">
        <w:trPr>
          <w:trHeight w:val="255"/>
          <w:jc w:val="center"/>
        </w:trPr>
        <w:tc>
          <w:tcPr>
            <w:tcW w:w="2265" w:type="dxa"/>
            <w:tcBorders>
              <w:top w:val="nil"/>
              <w:left w:val="single" w:sz="4" w:space="0" w:color="auto"/>
              <w:bottom w:val="single" w:sz="4" w:space="0" w:color="auto"/>
              <w:right w:val="single" w:sz="4" w:space="0" w:color="auto"/>
            </w:tcBorders>
            <w:shd w:val="clear" w:color="auto" w:fill="auto"/>
            <w:noWrap/>
          </w:tcPr>
          <w:p w14:paraId="3A28ACDD" w14:textId="77777777" w:rsidR="005C27FA" w:rsidRPr="00831B3E" w:rsidRDefault="005C27FA" w:rsidP="00532EC5">
            <w:r w:rsidRPr="00831B3E">
              <w:t> Local School District</w:t>
            </w:r>
          </w:p>
        </w:tc>
        <w:tc>
          <w:tcPr>
            <w:tcW w:w="1375" w:type="dxa"/>
            <w:tcBorders>
              <w:top w:val="nil"/>
              <w:left w:val="nil"/>
              <w:bottom w:val="single" w:sz="4" w:space="0" w:color="auto"/>
              <w:right w:val="single" w:sz="4" w:space="0" w:color="auto"/>
            </w:tcBorders>
            <w:shd w:val="clear" w:color="auto" w:fill="auto"/>
            <w:noWrap/>
          </w:tcPr>
          <w:p w14:paraId="457C6570" w14:textId="77777777" w:rsidR="005C27FA" w:rsidRPr="00831B3E" w:rsidRDefault="005C27FA" w:rsidP="00532EC5">
            <w:pPr>
              <w:jc w:val="right"/>
            </w:pPr>
          </w:p>
        </w:tc>
        <w:tc>
          <w:tcPr>
            <w:tcW w:w="2315" w:type="dxa"/>
            <w:tcBorders>
              <w:top w:val="nil"/>
              <w:left w:val="nil"/>
              <w:bottom w:val="single" w:sz="4" w:space="0" w:color="auto"/>
              <w:right w:val="single" w:sz="4" w:space="0" w:color="auto"/>
            </w:tcBorders>
            <w:shd w:val="clear" w:color="auto" w:fill="auto"/>
            <w:noWrap/>
          </w:tcPr>
          <w:p w14:paraId="504C5AA5" w14:textId="77777777" w:rsidR="005C27FA" w:rsidRPr="00831B3E" w:rsidRDefault="005C27FA" w:rsidP="00532EC5">
            <w:r w:rsidRPr="00831B3E">
              <w:t> </w:t>
            </w:r>
          </w:p>
        </w:tc>
        <w:tc>
          <w:tcPr>
            <w:tcW w:w="1425" w:type="dxa"/>
            <w:tcBorders>
              <w:top w:val="nil"/>
              <w:left w:val="nil"/>
              <w:bottom w:val="single" w:sz="4" w:space="0" w:color="auto"/>
              <w:right w:val="single" w:sz="4" w:space="0" w:color="auto"/>
            </w:tcBorders>
            <w:shd w:val="clear" w:color="auto" w:fill="auto"/>
            <w:noWrap/>
          </w:tcPr>
          <w:p w14:paraId="1C3E476E" w14:textId="77777777" w:rsidR="005C27FA" w:rsidRPr="00831B3E" w:rsidRDefault="005C27FA" w:rsidP="00532EC5">
            <w:pPr>
              <w:jc w:val="right"/>
            </w:pPr>
            <w:r w:rsidRPr="00831B3E">
              <w:t> </w:t>
            </w:r>
          </w:p>
        </w:tc>
      </w:tr>
      <w:tr w:rsidR="005C27FA" w:rsidRPr="00831B3E" w14:paraId="17D7AFF5" w14:textId="77777777" w:rsidTr="00532EC5">
        <w:trPr>
          <w:trHeight w:val="255"/>
          <w:jc w:val="center"/>
        </w:trPr>
        <w:tc>
          <w:tcPr>
            <w:tcW w:w="2265" w:type="dxa"/>
            <w:tcBorders>
              <w:top w:val="nil"/>
              <w:left w:val="single" w:sz="4" w:space="0" w:color="auto"/>
              <w:bottom w:val="single" w:sz="4" w:space="0" w:color="auto"/>
              <w:right w:val="single" w:sz="4" w:space="0" w:color="auto"/>
            </w:tcBorders>
            <w:shd w:val="clear" w:color="auto" w:fill="auto"/>
            <w:noWrap/>
          </w:tcPr>
          <w:p w14:paraId="6E83187F" w14:textId="77777777" w:rsidR="005C27FA" w:rsidRPr="00831B3E" w:rsidRDefault="005C27FA" w:rsidP="00532EC5">
            <w:pPr>
              <w:rPr>
                <w:b/>
              </w:rPr>
            </w:pPr>
          </w:p>
        </w:tc>
        <w:tc>
          <w:tcPr>
            <w:tcW w:w="1375" w:type="dxa"/>
            <w:tcBorders>
              <w:top w:val="nil"/>
              <w:left w:val="nil"/>
              <w:bottom w:val="single" w:sz="4" w:space="0" w:color="auto"/>
              <w:right w:val="single" w:sz="4" w:space="0" w:color="auto"/>
            </w:tcBorders>
            <w:shd w:val="clear" w:color="auto" w:fill="auto"/>
            <w:noWrap/>
          </w:tcPr>
          <w:p w14:paraId="364FBCF8" w14:textId="77777777" w:rsidR="005C27FA" w:rsidRPr="00831B3E" w:rsidRDefault="005C27FA" w:rsidP="00532EC5">
            <w:pPr>
              <w:jc w:val="right"/>
            </w:pPr>
          </w:p>
        </w:tc>
        <w:tc>
          <w:tcPr>
            <w:tcW w:w="2315" w:type="dxa"/>
            <w:tcBorders>
              <w:top w:val="nil"/>
              <w:left w:val="nil"/>
              <w:bottom w:val="single" w:sz="4" w:space="0" w:color="auto"/>
              <w:right w:val="single" w:sz="4" w:space="0" w:color="auto"/>
            </w:tcBorders>
            <w:shd w:val="clear" w:color="auto" w:fill="auto"/>
            <w:noWrap/>
          </w:tcPr>
          <w:p w14:paraId="2C114140" w14:textId="77777777" w:rsidR="005C27FA" w:rsidRPr="00831B3E" w:rsidRDefault="005C27FA" w:rsidP="00532EC5">
            <w:pPr>
              <w:rPr>
                <w:b/>
              </w:rPr>
            </w:pPr>
          </w:p>
        </w:tc>
        <w:tc>
          <w:tcPr>
            <w:tcW w:w="1425" w:type="dxa"/>
            <w:tcBorders>
              <w:top w:val="nil"/>
              <w:left w:val="nil"/>
              <w:bottom w:val="single" w:sz="4" w:space="0" w:color="auto"/>
              <w:right w:val="single" w:sz="4" w:space="0" w:color="auto"/>
            </w:tcBorders>
            <w:shd w:val="clear" w:color="auto" w:fill="auto"/>
            <w:noWrap/>
          </w:tcPr>
          <w:p w14:paraId="2D00EED8" w14:textId="77777777" w:rsidR="005C27FA" w:rsidRPr="00831B3E" w:rsidRDefault="005C27FA" w:rsidP="00532EC5">
            <w:pPr>
              <w:jc w:val="right"/>
            </w:pPr>
          </w:p>
        </w:tc>
      </w:tr>
      <w:tr w:rsidR="00FF5755" w:rsidRPr="00831B3E" w14:paraId="15861829" w14:textId="77777777" w:rsidTr="00532EC5">
        <w:trPr>
          <w:trHeight w:val="255"/>
          <w:jc w:val="center"/>
        </w:trPr>
        <w:tc>
          <w:tcPr>
            <w:tcW w:w="2265" w:type="dxa"/>
            <w:tcBorders>
              <w:top w:val="nil"/>
              <w:left w:val="single" w:sz="4" w:space="0" w:color="auto"/>
              <w:bottom w:val="single" w:sz="4" w:space="0" w:color="auto"/>
              <w:right w:val="single" w:sz="4" w:space="0" w:color="auto"/>
            </w:tcBorders>
            <w:shd w:val="clear" w:color="auto" w:fill="auto"/>
            <w:noWrap/>
          </w:tcPr>
          <w:p w14:paraId="48861B87" w14:textId="77777777" w:rsidR="00FF5755" w:rsidRPr="00831B3E" w:rsidRDefault="00FF5755" w:rsidP="00FF5755">
            <w:pPr>
              <w:rPr>
                <w:b/>
              </w:rPr>
            </w:pPr>
            <w:r w:rsidRPr="00831B3E">
              <w:rPr>
                <w:b/>
              </w:rPr>
              <w:t>Total</w:t>
            </w:r>
          </w:p>
        </w:tc>
        <w:tc>
          <w:tcPr>
            <w:tcW w:w="1375" w:type="dxa"/>
            <w:tcBorders>
              <w:top w:val="nil"/>
              <w:left w:val="nil"/>
              <w:bottom w:val="single" w:sz="4" w:space="0" w:color="auto"/>
              <w:right w:val="single" w:sz="4" w:space="0" w:color="auto"/>
            </w:tcBorders>
            <w:shd w:val="clear" w:color="auto" w:fill="auto"/>
            <w:noWrap/>
          </w:tcPr>
          <w:p w14:paraId="5BDAD57F" w14:textId="3AF80C21" w:rsidR="00FF5755" w:rsidRPr="00831B3E" w:rsidRDefault="00FF5755" w:rsidP="00FF5755">
            <w:pPr>
              <w:jc w:val="right"/>
            </w:pPr>
            <w:r>
              <w:t>$905,913</w:t>
            </w:r>
          </w:p>
        </w:tc>
        <w:tc>
          <w:tcPr>
            <w:tcW w:w="2315" w:type="dxa"/>
            <w:tcBorders>
              <w:top w:val="nil"/>
              <w:left w:val="nil"/>
              <w:bottom w:val="single" w:sz="4" w:space="0" w:color="auto"/>
              <w:right w:val="single" w:sz="4" w:space="0" w:color="auto"/>
            </w:tcBorders>
            <w:shd w:val="clear" w:color="auto" w:fill="auto"/>
            <w:noWrap/>
          </w:tcPr>
          <w:p w14:paraId="753D3F9A" w14:textId="77777777" w:rsidR="00FF5755" w:rsidRPr="00831B3E" w:rsidRDefault="00FF5755" w:rsidP="00FF5755">
            <w:pPr>
              <w:rPr>
                <w:b/>
              </w:rPr>
            </w:pPr>
            <w:r w:rsidRPr="00831B3E">
              <w:rPr>
                <w:b/>
              </w:rPr>
              <w:t>Total</w:t>
            </w:r>
          </w:p>
        </w:tc>
        <w:tc>
          <w:tcPr>
            <w:tcW w:w="1425" w:type="dxa"/>
            <w:tcBorders>
              <w:top w:val="nil"/>
              <w:left w:val="nil"/>
              <w:bottom w:val="single" w:sz="4" w:space="0" w:color="auto"/>
              <w:right w:val="single" w:sz="4" w:space="0" w:color="auto"/>
            </w:tcBorders>
            <w:shd w:val="clear" w:color="auto" w:fill="auto"/>
            <w:noWrap/>
          </w:tcPr>
          <w:p w14:paraId="49BDE850" w14:textId="1A63CCC3" w:rsidR="00FF5755" w:rsidRPr="00831B3E" w:rsidRDefault="00FF5755" w:rsidP="00FF5755">
            <w:pPr>
              <w:jc w:val="right"/>
            </w:pPr>
            <w:r>
              <w:t>$326,090</w:t>
            </w:r>
          </w:p>
        </w:tc>
      </w:tr>
    </w:tbl>
    <w:p w14:paraId="5459A13A" w14:textId="77777777" w:rsidR="005C27FA" w:rsidRPr="00831B3E" w:rsidRDefault="005C27FA" w:rsidP="005C27FA"/>
    <w:p w14:paraId="1593C08E" w14:textId="6033F173" w:rsidR="005C27FA" w:rsidRPr="00831B3E" w:rsidRDefault="005C27FA" w:rsidP="005C27FA">
      <w:pPr>
        <w:rPr>
          <w:b/>
          <w:highlight w:val="yellow"/>
        </w:rPr>
      </w:pPr>
      <w:r w:rsidRPr="00831B3E">
        <w:softHyphen/>
      </w:r>
      <w:r w:rsidRPr="00831B3E">
        <w:softHyphen/>
      </w:r>
      <w:r w:rsidRPr="00831B3E">
        <w:softHyphen/>
      </w:r>
      <w:r w:rsidRPr="00831B3E">
        <w:softHyphen/>
      </w:r>
      <w:r w:rsidRPr="00831B3E">
        <w:softHyphen/>
      </w:r>
      <w:r w:rsidRPr="00831B3E">
        <w:softHyphen/>
      </w:r>
      <w:r w:rsidRPr="00831B3E">
        <w:softHyphen/>
      </w:r>
      <w:r w:rsidRPr="00831B3E">
        <w:softHyphen/>
      </w:r>
      <w:r w:rsidRPr="00831B3E">
        <w:softHyphen/>
      </w:r>
      <w:r w:rsidRPr="00831B3E">
        <w:softHyphen/>
      </w:r>
      <w:r w:rsidRPr="00831B3E">
        <w:softHyphen/>
      </w:r>
      <w:r w:rsidR="00515DA9">
        <w:rPr>
          <w:b/>
        </w:rPr>
        <w:t>2020</w:t>
      </w:r>
      <w:r w:rsidRPr="00831B3E">
        <w:rPr>
          <w:b/>
        </w:rPr>
        <w:t xml:space="preserve"> Budget and Actual Expenditures</w:t>
      </w:r>
    </w:p>
    <w:p w14:paraId="604EC95F" w14:textId="77777777" w:rsidR="005C27FA" w:rsidRPr="00497A76" w:rsidRDefault="005C27FA" w:rsidP="005C27FA">
      <w:pPr>
        <w:rPr>
          <w:rFonts w:asciiTheme="majorHAnsi" w:hAnsiTheme="majorHAnsi"/>
          <w:highlight w:val="yellow"/>
        </w:rPr>
      </w:pPr>
    </w:p>
    <w:p w14:paraId="49902DC8" w14:textId="6C0778A4" w:rsidR="005C27FA" w:rsidRDefault="00AE4F4E" w:rsidP="005C27FA">
      <w:pPr>
        <w:rPr>
          <w:noProof/>
        </w:rPr>
      </w:pPr>
      <w:r>
        <w:rPr>
          <w:noProof/>
        </w:rPr>
        <w:drawing>
          <wp:inline distT="0" distB="0" distL="0" distR="0" wp14:anchorId="689ADD4D" wp14:editId="3D510D19">
            <wp:extent cx="3771900" cy="24288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5AC14ED" w14:textId="65ABB0EC" w:rsidR="00C34BE2" w:rsidRPr="00C34BE2" w:rsidRDefault="00C34BE2" w:rsidP="00C34BE2"/>
    <w:p w14:paraId="06AF2C13" w14:textId="093A7C51" w:rsidR="00C34BE2" w:rsidRDefault="00C34BE2" w:rsidP="00C34BE2">
      <w:pPr>
        <w:rPr>
          <w:noProof/>
        </w:rPr>
      </w:pPr>
    </w:p>
    <w:p w14:paraId="23BFF7BC" w14:textId="7538DBFA" w:rsidR="00C34BE2" w:rsidRPr="00C34BE2" w:rsidRDefault="00C34BE2" w:rsidP="00C34BE2">
      <w:pPr>
        <w:rPr>
          <w:highlight w:val="yellow"/>
        </w:rPr>
      </w:pPr>
      <w:r>
        <w:rPr>
          <w:noProof/>
        </w:rPr>
        <w:drawing>
          <wp:inline distT="0" distB="0" distL="0" distR="0" wp14:anchorId="215BEB80" wp14:editId="587C83AC">
            <wp:extent cx="3810000" cy="244792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B393D8E" w14:textId="5EB148D0" w:rsidR="005C27FA" w:rsidRPr="00EE438C" w:rsidRDefault="005C27FA" w:rsidP="005C27FA"/>
    <w:p w14:paraId="4F4BAA4F" w14:textId="5D210F5F" w:rsidR="005C27FA" w:rsidRPr="00831B3E" w:rsidRDefault="005C27FA" w:rsidP="005C27FA">
      <w:pPr>
        <w:jc w:val="center"/>
        <w:rPr>
          <w:b/>
        </w:rPr>
      </w:pPr>
      <w:bookmarkStart w:id="1" w:name="_Toc250470444"/>
    </w:p>
    <w:p w14:paraId="24D17A08" w14:textId="77777777" w:rsidR="005C27FA" w:rsidRPr="00831B3E" w:rsidRDefault="005C27FA" w:rsidP="005C27FA">
      <w:pPr>
        <w:jc w:val="center"/>
        <w:rPr>
          <w:b/>
        </w:rPr>
      </w:pPr>
      <w:r w:rsidRPr="00831B3E">
        <w:rPr>
          <w:b/>
        </w:rPr>
        <w:t>Summary of your most current Community Assessment</w:t>
      </w:r>
    </w:p>
    <w:p w14:paraId="1A4EBA4B" w14:textId="0565076C" w:rsidR="005C27FA" w:rsidRPr="00831B3E" w:rsidRDefault="005C27FA" w:rsidP="005C27FA">
      <w:pPr>
        <w:pStyle w:val="Heading1"/>
        <w:jc w:val="center"/>
        <w:rPr>
          <w:rFonts w:ascii="Times New Roman" w:hAnsi="Times New Roman"/>
          <w:sz w:val="24"/>
          <w:szCs w:val="24"/>
        </w:rPr>
      </w:pPr>
      <w:r w:rsidRPr="00831B3E">
        <w:rPr>
          <w:rFonts w:ascii="Times New Roman" w:hAnsi="Times New Roman"/>
          <w:sz w:val="24"/>
          <w:szCs w:val="24"/>
        </w:rPr>
        <w:t>Children and Families Served</w:t>
      </w:r>
      <w:bookmarkEnd w:id="1"/>
      <w:r w:rsidRPr="00831B3E">
        <w:rPr>
          <w:rFonts w:ascii="Times New Roman" w:hAnsi="Times New Roman"/>
          <w:sz w:val="24"/>
          <w:szCs w:val="24"/>
        </w:rPr>
        <w:t xml:space="preserve"> in </w:t>
      </w:r>
      <w:r w:rsidR="00515DA9">
        <w:rPr>
          <w:rFonts w:ascii="Times New Roman" w:hAnsi="Times New Roman"/>
          <w:sz w:val="24"/>
          <w:szCs w:val="24"/>
        </w:rPr>
        <w:t>2020</w:t>
      </w:r>
    </w:p>
    <w:p w14:paraId="594D9C92" w14:textId="77777777" w:rsidR="005C27FA" w:rsidRPr="00831B3E" w:rsidRDefault="005C27FA" w:rsidP="005C27FA">
      <w:pPr>
        <w:rPr>
          <w:b/>
        </w:rPr>
      </w:pPr>
    </w:p>
    <w:p w14:paraId="117C7844" w14:textId="77777777" w:rsidR="005C27FA" w:rsidRPr="00831B3E" w:rsidRDefault="005C27FA" w:rsidP="005C27FA">
      <w:pPr>
        <w:rPr>
          <w:b/>
        </w:rPr>
      </w:pPr>
      <w:r w:rsidRPr="00831B3E">
        <w:rPr>
          <w:b/>
        </w:rPr>
        <w:t xml:space="preserve">Grantee Funded Enrollment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7"/>
        <w:gridCol w:w="3738"/>
        <w:gridCol w:w="3455"/>
      </w:tblGrid>
      <w:tr w:rsidR="005C27FA" w:rsidRPr="00831B3E" w14:paraId="5AAEE0F1" w14:textId="77777777" w:rsidTr="00532EC5">
        <w:tc>
          <w:tcPr>
            <w:tcW w:w="1667" w:type="pct"/>
          </w:tcPr>
          <w:p w14:paraId="6F1E7967" w14:textId="77777777" w:rsidR="005C27FA" w:rsidRPr="00831B3E" w:rsidRDefault="005C27FA" w:rsidP="00532EC5"/>
        </w:tc>
        <w:tc>
          <w:tcPr>
            <w:tcW w:w="1732" w:type="pct"/>
          </w:tcPr>
          <w:p w14:paraId="7F24672A" w14:textId="77777777" w:rsidR="005C27FA" w:rsidRPr="00831B3E" w:rsidRDefault="005C27FA" w:rsidP="00532EC5">
            <w:pPr>
              <w:jc w:val="center"/>
              <w:rPr>
                <w:b/>
              </w:rPr>
            </w:pPr>
            <w:r w:rsidRPr="00831B3E">
              <w:rPr>
                <w:b/>
              </w:rPr>
              <w:t>Head Start Enrollment</w:t>
            </w:r>
          </w:p>
        </w:tc>
        <w:tc>
          <w:tcPr>
            <w:tcW w:w="1601" w:type="pct"/>
          </w:tcPr>
          <w:p w14:paraId="3296B51D" w14:textId="77777777" w:rsidR="005C27FA" w:rsidRPr="00831B3E" w:rsidRDefault="005C27FA" w:rsidP="00532EC5">
            <w:pPr>
              <w:jc w:val="center"/>
              <w:rPr>
                <w:b/>
              </w:rPr>
            </w:pPr>
            <w:r w:rsidRPr="00831B3E">
              <w:rPr>
                <w:b/>
              </w:rPr>
              <w:t>Early Head Start Enrollment</w:t>
            </w:r>
          </w:p>
        </w:tc>
      </w:tr>
      <w:tr w:rsidR="005C27FA" w:rsidRPr="00831B3E" w14:paraId="4A85C24D" w14:textId="77777777" w:rsidTr="00532EC5">
        <w:tc>
          <w:tcPr>
            <w:tcW w:w="1667" w:type="pct"/>
          </w:tcPr>
          <w:p w14:paraId="01F85B5D" w14:textId="77777777" w:rsidR="005C27FA" w:rsidRPr="00831B3E" w:rsidRDefault="005C27FA" w:rsidP="00532EC5">
            <w:pPr>
              <w:rPr>
                <w:b/>
              </w:rPr>
            </w:pPr>
            <w:r w:rsidRPr="00831B3E">
              <w:rPr>
                <w:b/>
              </w:rPr>
              <w:t>Center-based Program</w:t>
            </w:r>
          </w:p>
        </w:tc>
        <w:tc>
          <w:tcPr>
            <w:tcW w:w="1732" w:type="pct"/>
          </w:tcPr>
          <w:p w14:paraId="2FD5C226" w14:textId="77777777" w:rsidR="005C27FA" w:rsidRPr="00831B3E" w:rsidRDefault="005C27FA" w:rsidP="00532EC5">
            <w:pPr>
              <w:jc w:val="right"/>
            </w:pPr>
          </w:p>
        </w:tc>
        <w:tc>
          <w:tcPr>
            <w:tcW w:w="1601" w:type="pct"/>
          </w:tcPr>
          <w:p w14:paraId="3685EA99" w14:textId="77777777" w:rsidR="005C27FA" w:rsidRPr="00831B3E" w:rsidRDefault="005C27FA" w:rsidP="00532EC5">
            <w:pPr>
              <w:jc w:val="right"/>
            </w:pPr>
          </w:p>
        </w:tc>
      </w:tr>
      <w:tr w:rsidR="005C27FA" w:rsidRPr="00831B3E" w14:paraId="596847D0" w14:textId="77777777" w:rsidTr="00532EC5">
        <w:tc>
          <w:tcPr>
            <w:tcW w:w="1667" w:type="pct"/>
          </w:tcPr>
          <w:p w14:paraId="087BF232" w14:textId="77777777" w:rsidR="005C27FA" w:rsidRPr="00831B3E" w:rsidRDefault="005C27FA" w:rsidP="00532EC5">
            <w:pPr>
              <w:rPr>
                <w:b/>
              </w:rPr>
            </w:pPr>
            <w:r w:rsidRPr="00831B3E">
              <w:rPr>
                <w:b/>
              </w:rPr>
              <w:t xml:space="preserve">   a. 5 days per week</w:t>
            </w:r>
          </w:p>
        </w:tc>
        <w:tc>
          <w:tcPr>
            <w:tcW w:w="1732" w:type="pct"/>
          </w:tcPr>
          <w:p w14:paraId="16072310" w14:textId="15C97409" w:rsidR="005C27FA" w:rsidRPr="00831B3E" w:rsidRDefault="005C27FA" w:rsidP="00532EC5">
            <w:pPr>
              <w:jc w:val="right"/>
            </w:pPr>
          </w:p>
        </w:tc>
        <w:tc>
          <w:tcPr>
            <w:tcW w:w="1601" w:type="pct"/>
          </w:tcPr>
          <w:p w14:paraId="2AD8C773" w14:textId="6C754B44" w:rsidR="005C27FA" w:rsidRPr="00831B3E" w:rsidRDefault="005C27FA" w:rsidP="00532EC5">
            <w:pPr>
              <w:jc w:val="right"/>
            </w:pPr>
          </w:p>
        </w:tc>
      </w:tr>
      <w:tr w:rsidR="005C27FA" w:rsidRPr="00831B3E" w14:paraId="3E344A8E" w14:textId="77777777" w:rsidTr="00532EC5">
        <w:tc>
          <w:tcPr>
            <w:tcW w:w="1667" w:type="pct"/>
          </w:tcPr>
          <w:p w14:paraId="1097E9E1" w14:textId="77777777" w:rsidR="005C27FA" w:rsidRPr="00831B3E" w:rsidRDefault="005C27FA" w:rsidP="00532EC5">
            <w:pPr>
              <w:rPr>
                <w:b/>
              </w:rPr>
            </w:pPr>
            <w:r w:rsidRPr="00831B3E">
              <w:rPr>
                <w:b/>
              </w:rPr>
              <w:t xml:space="preserve">       1. Full-day enrollment</w:t>
            </w:r>
          </w:p>
        </w:tc>
        <w:tc>
          <w:tcPr>
            <w:tcW w:w="1732" w:type="pct"/>
          </w:tcPr>
          <w:p w14:paraId="2EF4251F" w14:textId="19B44323" w:rsidR="005C27FA" w:rsidRPr="00831B3E" w:rsidRDefault="00515DA9" w:rsidP="00532EC5">
            <w:pPr>
              <w:jc w:val="center"/>
            </w:pPr>
            <w:r>
              <w:t>58</w:t>
            </w:r>
          </w:p>
        </w:tc>
        <w:tc>
          <w:tcPr>
            <w:tcW w:w="1601" w:type="pct"/>
          </w:tcPr>
          <w:p w14:paraId="6740DB91" w14:textId="5C6AA420" w:rsidR="005C27FA" w:rsidRPr="00831B3E" w:rsidRDefault="00515DA9" w:rsidP="00532EC5">
            <w:pPr>
              <w:jc w:val="center"/>
            </w:pPr>
            <w:r>
              <w:t>47</w:t>
            </w:r>
          </w:p>
        </w:tc>
      </w:tr>
      <w:tr w:rsidR="005C27FA" w:rsidRPr="00831B3E" w14:paraId="730B7873" w14:textId="77777777" w:rsidTr="00532EC5">
        <w:tc>
          <w:tcPr>
            <w:tcW w:w="1667" w:type="pct"/>
          </w:tcPr>
          <w:p w14:paraId="771CED3E" w14:textId="77777777" w:rsidR="005C27FA" w:rsidRPr="00831B3E" w:rsidRDefault="005C27FA" w:rsidP="00532EC5">
            <w:pPr>
              <w:rPr>
                <w:b/>
              </w:rPr>
            </w:pPr>
            <w:r w:rsidRPr="00831B3E">
              <w:rPr>
                <w:b/>
              </w:rPr>
              <w:t xml:space="preserve">       2. Part-day enrollment</w:t>
            </w:r>
          </w:p>
        </w:tc>
        <w:tc>
          <w:tcPr>
            <w:tcW w:w="1732" w:type="pct"/>
          </w:tcPr>
          <w:p w14:paraId="2BC6648D" w14:textId="77777777" w:rsidR="005C27FA" w:rsidRPr="00831B3E" w:rsidRDefault="005C27FA" w:rsidP="00532EC5">
            <w:pPr>
              <w:jc w:val="center"/>
            </w:pPr>
          </w:p>
        </w:tc>
        <w:tc>
          <w:tcPr>
            <w:tcW w:w="1601" w:type="pct"/>
          </w:tcPr>
          <w:p w14:paraId="750C46F7" w14:textId="77777777" w:rsidR="005C27FA" w:rsidRPr="00831B3E" w:rsidRDefault="005C27FA" w:rsidP="00532EC5">
            <w:pPr>
              <w:jc w:val="center"/>
            </w:pPr>
          </w:p>
        </w:tc>
      </w:tr>
      <w:tr w:rsidR="005C27FA" w:rsidRPr="00831B3E" w14:paraId="7A6BB737" w14:textId="77777777" w:rsidTr="00532EC5">
        <w:tc>
          <w:tcPr>
            <w:tcW w:w="1667" w:type="pct"/>
          </w:tcPr>
          <w:p w14:paraId="1A18C466" w14:textId="77777777" w:rsidR="005C27FA" w:rsidRPr="00831B3E" w:rsidRDefault="005C27FA" w:rsidP="00532EC5">
            <w:pPr>
              <w:rPr>
                <w:b/>
              </w:rPr>
            </w:pPr>
            <w:r w:rsidRPr="00831B3E">
              <w:rPr>
                <w:b/>
              </w:rPr>
              <w:t xml:space="preserve">   b. 4 days per week</w:t>
            </w:r>
          </w:p>
        </w:tc>
        <w:tc>
          <w:tcPr>
            <w:tcW w:w="1732" w:type="pct"/>
          </w:tcPr>
          <w:p w14:paraId="433330D5" w14:textId="77777777" w:rsidR="005C27FA" w:rsidRPr="00831B3E" w:rsidRDefault="005C27FA" w:rsidP="00532EC5">
            <w:pPr>
              <w:jc w:val="center"/>
            </w:pPr>
          </w:p>
        </w:tc>
        <w:tc>
          <w:tcPr>
            <w:tcW w:w="1601" w:type="pct"/>
          </w:tcPr>
          <w:p w14:paraId="1DE52290" w14:textId="77777777" w:rsidR="005C27FA" w:rsidRPr="00831B3E" w:rsidRDefault="005C27FA" w:rsidP="00532EC5">
            <w:pPr>
              <w:jc w:val="center"/>
            </w:pPr>
          </w:p>
        </w:tc>
      </w:tr>
      <w:tr w:rsidR="005C27FA" w:rsidRPr="00831B3E" w14:paraId="563C4625" w14:textId="77777777" w:rsidTr="00532EC5">
        <w:tc>
          <w:tcPr>
            <w:tcW w:w="1667" w:type="pct"/>
          </w:tcPr>
          <w:p w14:paraId="1160AF12" w14:textId="77777777" w:rsidR="005C27FA" w:rsidRPr="00831B3E" w:rsidRDefault="005C27FA" w:rsidP="00532EC5">
            <w:pPr>
              <w:rPr>
                <w:b/>
              </w:rPr>
            </w:pPr>
            <w:r w:rsidRPr="00831B3E">
              <w:rPr>
                <w:b/>
              </w:rPr>
              <w:t xml:space="preserve">       1. Full-day enrollment</w:t>
            </w:r>
          </w:p>
        </w:tc>
        <w:tc>
          <w:tcPr>
            <w:tcW w:w="1732" w:type="pct"/>
          </w:tcPr>
          <w:p w14:paraId="45290334" w14:textId="77777777" w:rsidR="005C27FA" w:rsidRPr="00831B3E" w:rsidRDefault="005C27FA" w:rsidP="00532EC5">
            <w:pPr>
              <w:jc w:val="center"/>
            </w:pPr>
          </w:p>
        </w:tc>
        <w:tc>
          <w:tcPr>
            <w:tcW w:w="1601" w:type="pct"/>
          </w:tcPr>
          <w:p w14:paraId="516CCE89" w14:textId="77777777" w:rsidR="005C27FA" w:rsidRPr="00831B3E" w:rsidRDefault="005C27FA" w:rsidP="00532EC5">
            <w:pPr>
              <w:jc w:val="center"/>
            </w:pPr>
          </w:p>
        </w:tc>
      </w:tr>
      <w:tr w:rsidR="005C27FA" w:rsidRPr="00831B3E" w14:paraId="2940AEA5" w14:textId="77777777" w:rsidTr="00532EC5">
        <w:tc>
          <w:tcPr>
            <w:tcW w:w="1667" w:type="pct"/>
          </w:tcPr>
          <w:p w14:paraId="615BD441" w14:textId="77777777" w:rsidR="005C27FA" w:rsidRPr="00831B3E" w:rsidRDefault="005C27FA" w:rsidP="00532EC5">
            <w:pPr>
              <w:rPr>
                <w:b/>
              </w:rPr>
            </w:pPr>
            <w:r w:rsidRPr="00831B3E">
              <w:rPr>
                <w:b/>
              </w:rPr>
              <w:t xml:space="preserve">       2. Part-day enrollment</w:t>
            </w:r>
          </w:p>
        </w:tc>
        <w:tc>
          <w:tcPr>
            <w:tcW w:w="1732" w:type="pct"/>
          </w:tcPr>
          <w:p w14:paraId="1AEAA126" w14:textId="77777777" w:rsidR="005C27FA" w:rsidRPr="00831B3E" w:rsidRDefault="005C27FA" w:rsidP="00532EC5">
            <w:pPr>
              <w:jc w:val="center"/>
            </w:pPr>
          </w:p>
        </w:tc>
        <w:tc>
          <w:tcPr>
            <w:tcW w:w="1601" w:type="pct"/>
          </w:tcPr>
          <w:p w14:paraId="3634F8FC" w14:textId="77777777" w:rsidR="005C27FA" w:rsidRPr="00831B3E" w:rsidRDefault="005C27FA" w:rsidP="00532EC5">
            <w:pPr>
              <w:jc w:val="center"/>
            </w:pPr>
          </w:p>
        </w:tc>
      </w:tr>
      <w:tr w:rsidR="005C27FA" w:rsidRPr="00831B3E" w14:paraId="28778277" w14:textId="77777777" w:rsidTr="00532EC5">
        <w:tc>
          <w:tcPr>
            <w:tcW w:w="1667" w:type="pct"/>
          </w:tcPr>
          <w:p w14:paraId="3178B447" w14:textId="77777777" w:rsidR="005C27FA" w:rsidRPr="00831B3E" w:rsidRDefault="005C27FA" w:rsidP="00532EC5">
            <w:pPr>
              <w:rPr>
                <w:b/>
              </w:rPr>
            </w:pPr>
            <w:r w:rsidRPr="00831B3E">
              <w:rPr>
                <w:b/>
              </w:rPr>
              <w:t>Home-based Program</w:t>
            </w:r>
          </w:p>
        </w:tc>
        <w:tc>
          <w:tcPr>
            <w:tcW w:w="1732" w:type="pct"/>
          </w:tcPr>
          <w:p w14:paraId="7EA8D471" w14:textId="77777777" w:rsidR="005C27FA" w:rsidRPr="00831B3E" w:rsidRDefault="005C27FA" w:rsidP="00532EC5">
            <w:pPr>
              <w:jc w:val="center"/>
            </w:pPr>
          </w:p>
        </w:tc>
        <w:tc>
          <w:tcPr>
            <w:tcW w:w="1601" w:type="pct"/>
          </w:tcPr>
          <w:p w14:paraId="2DEAEC49" w14:textId="77777777" w:rsidR="005C27FA" w:rsidRPr="00831B3E" w:rsidRDefault="005C27FA" w:rsidP="00532EC5">
            <w:pPr>
              <w:jc w:val="center"/>
            </w:pPr>
          </w:p>
        </w:tc>
      </w:tr>
      <w:tr w:rsidR="005C27FA" w:rsidRPr="00831B3E" w14:paraId="01CC44A0" w14:textId="77777777" w:rsidTr="00532EC5">
        <w:tc>
          <w:tcPr>
            <w:tcW w:w="1667" w:type="pct"/>
          </w:tcPr>
          <w:p w14:paraId="0BD4CFD2" w14:textId="77777777" w:rsidR="005C27FA" w:rsidRPr="00831B3E" w:rsidRDefault="005C27FA" w:rsidP="00532EC5">
            <w:pPr>
              <w:rPr>
                <w:b/>
              </w:rPr>
            </w:pPr>
            <w:r w:rsidRPr="00831B3E">
              <w:rPr>
                <w:b/>
              </w:rPr>
              <w:t>Unallocated Slots</w:t>
            </w:r>
          </w:p>
        </w:tc>
        <w:tc>
          <w:tcPr>
            <w:tcW w:w="1732" w:type="pct"/>
          </w:tcPr>
          <w:p w14:paraId="7E3574CA" w14:textId="77777777" w:rsidR="005C27FA" w:rsidRPr="00831B3E" w:rsidRDefault="005C27FA" w:rsidP="00532EC5">
            <w:pPr>
              <w:jc w:val="center"/>
            </w:pPr>
          </w:p>
        </w:tc>
        <w:tc>
          <w:tcPr>
            <w:tcW w:w="1601" w:type="pct"/>
          </w:tcPr>
          <w:p w14:paraId="63CE70DA" w14:textId="77777777" w:rsidR="005C27FA" w:rsidRPr="00831B3E" w:rsidRDefault="005C27FA" w:rsidP="00532EC5">
            <w:pPr>
              <w:jc w:val="center"/>
            </w:pPr>
          </w:p>
        </w:tc>
      </w:tr>
      <w:tr w:rsidR="005C27FA" w:rsidRPr="00831B3E" w14:paraId="2523AF18" w14:textId="77777777" w:rsidTr="00532EC5">
        <w:tc>
          <w:tcPr>
            <w:tcW w:w="1667" w:type="pct"/>
          </w:tcPr>
          <w:p w14:paraId="1471510B" w14:textId="77777777" w:rsidR="005C27FA" w:rsidRPr="00831B3E" w:rsidRDefault="005C27FA" w:rsidP="00532EC5">
            <w:pPr>
              <w:jc w:val="right"/>
              <w:rPr>
                <w:b/>
              </w:rPr>
            </w:pPr>
            <w:r w:rsidRPr="00831B3E">
              <w:rPr>
                <w:b/>
              </w:rPr>
              <w:t>Total:</w:t>
            </w:r>
          </w:p>
        </w:tc>
        <w:tc>
          <w:tcPr>
            <w:tcW w:w="1732" w:type="pct"/>
          </w:tcPr>
          <w:p w14:paraId="5A3EDF33" w14:textId="381901C7" w:rsidR="005C27FA" w:rsidRPr="00831B3E" w:rsidRDefault="00515DA9" w:rsidP="00532EC5">
            <w:pPr>
              <w:jc w:val="center"/>
            </w:pPr>
            <w:r>
              <w:t>58</w:t>
            </w:r>
          </w:p>
        </w:tc>
        <w:tc>
          <w:tcPr>
            <w:tcW w:w="1601" w:type="pct"/>
          </w:tcPr>
          <w:p w14:paraId="39058DF4" w14:textId="1122B2E4" w:rsidR="005C27FA" w:rsidRPr="00831B3E" w:rsidRDefault="00515DA9" w:rsidP="00532EC5">
            <w:pPr>
              <w:jc w:val="center"/>
            </w:pPr>
            <w:r>
              <w:t>47</w:t>
            </w:r>
          </w:p>
        </w:tc>
      </w:tr>
    </w:tbl>
    <w:p w14:paraId="6501034F" w14:textId="77777777" w:rsidR="005C27FA" w:rsidRPr="00831B3E" w:rsidRDefault="005C27FA" w:rsidP="005C27FA"/>
    <w:p w14:paraId="72E8D480" w14:textId="77777777" w:rsidR="005C27FA" w:rsidRPr="00831B3E" w:rsidRDefault="005C27FA" w:rsidP="005C27FA">
      <w:r w:rsidRPr="00831B3E">
        <w:tab/>
      </w:r>
    </w:p>
    <w:p w14:paraId="692D146E" w14:textId="77777777" w:rsidR="005C27FA" w:rsidRPr="00831B3E" w:rsidRDefault="005C27FA" w:rsidP="005C27FA">
      <w:pPr>
        <w:rPr>
          <w:b/>
        </w:rPr>
      </w:pPr>
      <w:r w:rsidRPr="00831B3E">
        <w:rPr>
          <w:b/>
        </w:rPr>
        <w:t>Site:</w:t>
      </w:r>
    </w:p>
    <w:p w14:paraId="0175A964" w14:textId="3C3968CA" w:rsidR="005C27FA" w:rsidRPr="00831B3E" w:rsidRDefault="005C27FA" w:rsidP="005C27FA">
      <w:r w:rsidRPr="00831B3E">
        <w:t>Total Children Served:</w:t>
      </w:r>
      <w:r w:rsidRPr="00831B3E">
        <w:tab/>
      </w:r>
      <w:r w:rsidR="00515DA9">
        <w:t>105</w:t>
      </w:r>
      <w:r w:rsidRPr="00831B3E">
        <w:tab/>
        <w:t xml:space="preserve">Total Families Served: </w:t>
      </w:r>
      <w:r w:rsidR="00FA21B9">
        <w:t>65</w:t>
      </w:r>
    </w:p>
    <w:p w14:paraId="19F0043F" w14:textId="77777777" w:rsidR="005C27FA" w:rsidRPr="00831B3E" w:rsidRDefault="005C27FA" w:rsidP="005C27FA"/>
    <w:p w14:paraId="27DFB117" w14:textId="74759CA9" w:rsidR="005C27FA" w:rsidRPr="00831B3E" w:rsidRDefault="005C27FA" w:rsidP="005C27FA">
      <w:pPr>
        <w:rPr>
          <w:u w:val="single"/>
        </w:rPr>
      </w:pPr>
      <w:r w:rsidRPr="00831B3E">
        <w:t xml:space="preserve">Average monthly enrollment (as percentage of funded enrollment):   </w:t>
      </w:r>
      <w:r w:rsidR="001E1F9B">
        <w:t>51%</w:t>
      </w:r>
    </w:p>
    <w:p w14:paraId="4B999A48" w14:textId="77777777" w:rsidR="005C27FA" w:rsidRPr="00831B3E" w:rsidRDefault="005C27FA" w:rsidP="005C27FA"/>
    <w:tbl>
      <w:tblPr>
        <w:tblW w:w="8135" w:type="dxa"/>
        <w:tblInd w:w="93" w:type="dxa"/>
        <w:tblLook w:val="0000" w:firstRow="0" w:lastRow="0" w:firstColumn="0" w:lastColumn="0" w:noHBand="0" w:noVBand="0"/>
      </w:tblPr>
      <w:tblGrid>
        <w:gridCol w:w="6186"/>
        <w:gridCol w:w="1949"/>
      </w:tblGrid>
      <w:tr w:rsidR="005C27FA" w:rsidRPr="00831B3E" w14:paraId="5BE64473" w14:textId="77777777" w:rsidTr="00532EC5">
        <w:trPr>
          <w:trHeight w:val="316"/>
        </w:trPr>
        <w:tc>
          <w:tcPr>
            <w:tcW w:w="6186" w:type="dxa"/>
            <w:tcBorders>
              <w:top w:val="single" w:sz="4" w:space="0" w:color="auto"/>
              <w:left w:val="single" w:sz="4" w:space="0" w:color="auto"/>
              <w:bottom w:val="single" w:sz="4" w:space="0" w:color="auto"/>
              <w:right w:val="single" w:sz="4" w:space="0" w:color="auto"/>
            </w:tcBorders>
            <w:shd w:val="clear" w:color="auto" w:fill="auto"/>
          </w:tcPr>
          <w:p w14:paraId="5EC092F6" w14:textId="77777777" w:rsidR="005C27FA" w:rsidRPr="00831B3E" w:rsidRDefault="005C27FA" w:rsidP="00532EC5">
            <w:r w:rsidRPr="00831B3E">
              <w:t>Number of Eligible Children in Community, ages 0-5</w:t>
            </w:r>
          </w:p>
        </w:tc>
        <w:tc>
          <w:tcPr>
            <w:tcW w:w="1949" w:type="dxa"/>
            <w:tcBorders>
              <w:top w:val="single" w:sz="4" w:space="0" w:color="auto"/>
              <w:left w:val="nil"/>
              <w:bottom w:val="single" w:sz="4" w:space="0" w:color="auto"/>
              <w:right w:val="single" w:sz="4" w:space="0" w:color="auto"/>
            </w:tcBorders>
            <w:shd w:val="clear" w:color="auto" w:fill="auto"/>
          </w:tcPr>
          <w:p w14:paraId="1CD2BE96" w14:textId="423F5048" w:rsidR="005C27FA" w:rsidRPr="00831B3E" w:rsidRDefault="00632960" w:rsidP="00532EC5">
            <w:pPr>
              <w:jc w:val="center"/>
            </w:pPr>
            <w:r>
              <w:t>1052</w:t>
            </w:r>
          </w:p>
        </w:tc>
      </w:tr>
      <w:tr w:rsidR="005C27FA" w:rsidRPr="00831B3E" w14:paraId="4542EC0D" w14:textId="77777777" w:rsidTr="00532EC5">
        <w:trPr>
          <w:trHeight w:val="316"/>
        </w:trPr>
        <w:tc>
          <w:tcPr>
            <w:tcW w:w="6186" w:type="dxa"/>
            <w:tcBorders>
              <w:top w:val="nil"/>
              <w:left w:val="single" w:sz="4" w:space="0" w:color="auto"/>
              <w:bottom w:val="single" w:sz="4" w:space="0" w:color="auto"/>
              <w:right w:val="single" w:sz="4" w:space="0" w:color="auto"/>
            </w:tcBorders>
            <w:shd w:val="clear" w:color="auto" w:fill="auto"/>
          </w:tcPr>
          <w:p w14:paraId="2BDCE651" w14:textId="77777777" w:rsidR="005C27FA" w:rsidRPr="00831B3E" w:rsidRDefault="005C27FA" w:rsidP="00532EC5">
            <w:r w:rsidRPr="00831B3E">
              <w:t>Percentage of children served in agency</w:t>
            </w:r>
          </w:p>
        </w:tc>
        <w:tc>
          <w:tcPr>
            <w:tcW w:w="1949" w:type="dxa"/>
            <w:tcBorders>
              <w:top w:val="nil"/>
              <w:left w:val="nil"/>
              <w:bottom w:val="single" w:sz="4" w:space="0" w:color="auto"/>
              <w:right w:val="single" w:sz="4" w:space="0" w:color="auto"/>
            </w:tcBorders>
            <w:shd w:val="clear" w:color="auto" w:fill="auto"/>
          </w:tcPr>
          <w:p w14:paraId="547C728A" w14:textId="237A0D02" w:rsidR="005C27FA" w:rsidRPr="00831B3E" w:rsidRDefault="00632960" w:rsidP="00532EC5">
            <w:pPr>
              <w:jc w:val="center"/>
            </w:pPr>
            <w:r>
              <w:t>10%</w:t>
            </w:r>
          </w:p>
        </w:tc>
      </w:tr>
      <w:tr w:rsidR="005C27FA" w:rsidRPr="00831B3E" w14:paraId="235493D6" w14:textId="77777777" w:rsidTr="00532EC5">
        <w:trPr>
          <w:trHeight w:val="316"/>
        </w:trPr>
        <w:tc>
          <w:tcPr>
            <w:tcW w:w="6186" w:type="dxa"/>
            <w:tcBorders>
              <w:top w:val="nil"/>
              <w:left w:val="nil"/>
              <w:bottom w:val="nil"/>
              <w:right w:val="nil"/>
            </w:tcBorders>
            <w:shd w:val="clear" w:color="auto" w:fill="auto"/>
            <w:noWrap/>
            <w:vAlign w:val="bottom"/>
          </w:tcPr>
          <w:p w14:paraId="33669959" w14:textId="77777777" w:rsidR="005C27FA" w:rsidRPr="00831B3E" w:rsidRDefault="005C27FA" w:rsidP="00532EC5"/>
          <w:p w14:paraId="0215B105" w14:textId="77777777" w:rsidR="005C27FA" w:rsidRPr="00831B3E" w:rsidRDefault="005C27FA" w:rsidP="00532EC5"/>
        </w:tc>
        <w:tc>
          <w:tcPr>
            <w:tcW w:w="1949" w:type="dxa"/>
            <w:tcBorders>
              <w:top w:val="nil"/>
              <w:left w:val="nil"/>
              <w:bottom w:val="nil"/>
              <w:right w:val="nil"/>
            </w:tcBorders>
            <w:shd w:val="clear" w:color="auto" w:fill="auto"/>
            <w:noWrap/>
            <w:vAlign w:val="bottom"/>
          </w:tcPr>
          <w:p w14:paraId="1534BD73" w14:textId="77777777" w:rsidR="005C27FA" w:rsidRPr="00831B3E" w:rsidRDefault="005C27FA" w:rsidP="00532EC5">
            <w:pPr>
              <w:jc w:val="center"/>
            </w:pPr>
          </w:p>
        </w:tc>
      </w:tr>
    </w:tbl>
    <w:p w14:paraId="7EB845EA" w14:textId="77777777" w:rsidR="005C27FA" w:rsidRPr="00831B3E" w:rsidRDefault="005C27FA" w:rsidP="005C27FA">
      <w:pPr>
        <w:pStyle w:val="Heading1"/>
        <w:rPr>
          <w:rFonts w:ascii="Times New Roman" w:hAnsi="Times New Roman"/>
          <w:sz w:val="24"/>
          <w:szCs w:val="24"/>
        </w:rPr>
      </w:pPr>
      <w:bookmarkStart w:id="2" w:name="_Toc250470445"/>
      <w:r w:rsidRPr="00831B3E">
        <w:rPr>
          <w:rFonts w:ascii="Times New Roman" w:hAnsi="Times New Roman"/>
          <w:sz w:val="24"/>
          <w:szCs w:val="24"/>
        </w:rPr>
        <w:t>Health</w:t>
      </w:r>
      <w:bookmarkEnd w:id="2"/>
    </w:p>
    <w:p w14:paraId="7E5F25A7" w14:textId="77777777" w:rsidR="005C27FA" w:rsidRPr="00831B3E" w:rsidRDefault="005C27FA" w:rsidP="005C27FA">
      <w:pPr>
        <w:rPr>
          <w:b/>
        </w:rPr>
      </w:pPr>
      <w:r w:rsidRPr="00831B3E">
        <w:rPr>
          <w:b/>
        </w:rPr>
        <w:t>Percentage of enrolled children who received medical and dental exams</w:t>
      </w:r>
    </w:p>
    <w:p w14:paraId="23347D6B" w14:textId="77777777" w:rsidR="005C27FA" w:rsidRPr="00831B3E" w:rsidRDefault="005C27FA" w:rsidP="005C27FA"/>
    <w:tbl>
      <w:tblPr>
        <w:tblW w:w="5000" w:type="pct"/>
        <w:tblLook w:val="04A0" w:firstRow="1" w:lastRow="0" w:firstColumn="1" w:lastColumn="0" w:noHBand="0" w:noVBand="1"/>
      </w:tblPr>
      <w:tblGrid>
        <w:gridCol w:w="5132"/>
        <w:gridCol w:w="2910"/>
        <w:gridCol w:w="2753"/>
      </w:tblGrid>
      <w:tr w:rsidR="005C27FA" w:rsidRPr="00831B3E" w14:paraId="3B8F7644" w14:textId="77777777" w:rsidTr="00532EC5">
        <w:trPr>
          <w:trHeight w:val="630"/>
        </w:trPr>
        <w:tc>
          <w:tcPr>
            <w:tcW w:w="2377" w:type="pct"/>
            <w:tcBorders>
              <w:top w:val="nil"/>
              <w:left w:val="nil"/>
              <w:bottom w:val="nil"/>
              <w:right w:val="nil"/>
            </w:tcBorders>
            <w:shd w:val="clear" w:color="auto" w:fill="auto"/>
            <w:noWrap/>
            <w:vAlign w:val="bottom"/>
            <w:hideMark/>
          </w:tcPr>
          <w:p w14:paraId="2FBC2E31" w14:textId="77777777" w:rsidR="005C27FA" w:rsidRPr="00831B3E" w:rsidRDefault="005C27FA" w:rsidP="00532EC5">
            <w:pPr>
              <w:jc w:val="center"/>
              <w:rPr>
                <w:color w:val="000000"/>
              </w:rPr>
            </w:pP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44C9BE" w14:textId="77777777" w:rsidR="005C27FA" w:rsidRPr="00831B3E" w:rsidRDefault="005C27FA" w:rsidP="00532EC5">
            <w:pPr>
              <w:jc w:val="center"/>
              <w:rPr>
                <w:b/>
              </w:rPr>
            </w:pPr>
            <w:r w:rsidRPr="00831B3E">
              <w:rPr>
                <w:b/>
              </w:rPr>
              <w:t>Received Medical Exams</w:t>
            </w:r>
          </w:p>
        </w:tc>
        <w:tc>
          <w:tcPr>
            <w:tcW w:w="1275" w:type="pct"/>
            <w:tcBorders>
              <w:top w:val="single" w:sz="4" w:space="0" w:color="auto"/>
              <w:left w:val="nil"/>
              <w:bottom w:val="single" w:sz="4" w:space="0" w:color="auto"/>
              <w:right w:val="single" w:sz="4" w:space="0" w:color="auto"/>
            </w:tcBorders>
            <w:shd w:val="clear" w:color="auto" w:fill="auto"/>
            <w:vAlign w:val="center"/>
            <w:hideMark/>
          </w:tcPr>
          <w:p w14:paraId="26FC63DA" w14:textId="77777777" w:rsidR="005C27FA" w:rsidRPr="00831B3E" w:rsidRDefault="005C27FA" w:rsidP="00532EC5">
            <w:pPr>
              <w:jc w:val="center"/>
              <w:rPr>
                <w:b/>
              </w:rPr>
            </w:pPr>
            <w:r w:rsidRPr="00831B3E">
              <w:rPr>
                <w:b/>
              </w:rPr>
              <w:t>Received Dental Exams</w:t>
            </w:r>
          </w:p>
        </w:tc>
      </w:tr>
      <w:tr w:rsidR="005C27FA" w:rsidRPr="00831B3E" w14:paraId="5A9F69A2" w14:textId="77777777" w:rsidTr="00532EC5">
        <w:trPr>
          <w:trHeight w:val="728"/>
        </w:trPr>
        <w:tc>
          <w:tcPr>
            <w:tcW w:w="23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B8E0E7" w14:textId="77777777" w:rsidR="005C27FA" w:rsidRPr="00831B3E" w:rsidRDefault="005C27FA" w:rsidP="00532EC5">
            <w:pPr>
              <w:jc w:val="center"/>
              <w:rPr>
                <w:bCs/>
              </w:rPr>
            </w:pPr>
          </w:p>
        </w:tc>
        <w:tc>
          <w:tcPr>
            <w:tcW w:w="1348" w:type="pct"/>
            <w:tcBorders>
              <w:top w:val="nil"/>
              <w:left w:val="nil"/>
              <w:bottom w:val="single" w:sz="4" w:space="0" w:color="auto"/>
              <w:right w:val="single" w:sz="4" w:space="0" w:color="auto"/>
            </w:tcBorders>
            <w:shd w:val="clear" w:color="auto" w:fill="auto"/>
            <w:vAlign w:val="center"/>
            <w:hideMark/>
          </w:tcPr>
          <w:p w14:paraId="1498BB5D" w14:textId="07A92ED9" w:rsidR="005C27FA" w:rsidRPr="00831B3E" w:rsidRDefault="00B46E10" w:rsidP="00532EC5">
            <w:pPr>
              <w:jc w:val="center"/>
            </w:pPr>
            <w:r>
              <w:t>80%</w:t>
            </w:r>
          </w:p>
        </w:tc>
        <w:tc>
          <w:tcPr>
            <w:tcW w:w="1275" w:type="pct"/>
            <w:tcBorders>
              <w:top w:val="nil"/>
              <w:left w:val="nil"/>
              <w:bottom w:val="single" w:sz="4" w:space="0" w:color="auto"/>
              <w:right w:val="single" w:sz="4" w:space="0" w:color="auto"/>
            </w:tcBorders>
            <w:shd w:val="clear" w:color="auto" w:fill="auto"/>
            <w:vAlign w:val="center"/>
            <w:hideMark/>
          </w:tcPr>
          <w:p w14:paraId="4258902A" w14:textId="5D613875" w:rsidR="005C27FA" w:rsidRPr="00831B3E" w:rsidRDefault="00B46E10" w:rsidP="00532EC5">
            <w:pPr>
              <w:jc w:val="center"/>
            </w:pPr>
            <w:r>
              <w:t>82%</w:t>
            </w:r>
          </w:p>
        </w:tc>
      </w:tr>
    </w:tbl>
    <w:p w14:paraId="30A4458B" w14:textId="77777777" w:rsidR="005C27FA" w:rsidRPr="00831B3E" w:rsidRDefault="005C27FA" w:rsidP="005C27FA"/>
    <w:p w14:paraId="290CA93C" w14:textId="7E2913F4" w:rsidR="008364BF" w:rsidRDefault="008364BF">
      <w:pPr>
        <w:spacing w:after="160" w:line="259" w:lineRule="auto"/>
      </w:pPr>
      <w:r>
        <w:br w:type="page"/>
      </w:r>
    </w:p>
    <w:p w14:paraId="65C51E10" w14:textId="655F9097" w:rsidR="005C27FA" w:rsidRPr="00831B3E" w:rsidRDefault="005C27FA" w:rsidP="005C27FA"/>
    <w:p w14:paraId="561F3FA7" w14:textId="77777777" w:rsidR="005C27FA" w:rsidRPr="00831B3E" w:rsidRDefault="005C27FA" w:rsidP="005C27FA">
      <w:pPr>
        <w:pStyle w:val="Heading1"/>
        <w:jc w:val="center"/>
        <w:rPr>
          <w:rFonts w:ascii="Times New Roman" w:hAnsi="Times New Roman"/>
          <w:sz w:val="24"/>
          <w:szCs w:val="24"/>
        </w:rPr>
      </w:pPr>
      <w:bookmarkStart w:id="3" w:name="_Toc250470446"/>
      <w:r w:rsidRPr="00831B3E">
        <w:rPr>
          <w:rFonts w:ascii="Times New Roman" w:hAnsi="Times New Roman"/>
          <w:sz w:val="24"/>
          <w:szCs w:val="24"/>
        </w:rPr>
        <w:t>Parental involvement in Directly Operated, Delegate and Partner Agencies</w:t>
      </w:r>
      <w:bookmarkEnd w:id="3"/>
    </w:p>
    <w:p w14:paraId="07D9BC78" w14:textId="77777777" w:rsidR="005C27FA" w:rsidRPr="00831B3E" w:rsidRDefault="005C27FA" w:rsidP="005C27FA">
      <w:pPr>
        <w:rPr>
          <w:b/>
          <w:i/>
          <w:u w:val="single"/>
        </w:rPr>
      </w:pPr>
    </w:p>
    <w:p w14:paraId="471FF00E" w14:textId="75BFC0A2" w:rsidR="005C27FA" w:rsidRDefault="005C27FA" w:rsidP="005C27FA">
      <w:pPr>
        <w:pStyle w:val="BodyText"/>
        <w:rPr>
          <w:b/>
        </w:rPr>
      </w:pPr>
      <w:r w:rsidRPr="00831B3E">
        <w:rPr>
          <w:b/>
        </w:rPr>
        <w:t>Community Assessment Summary:</w:t>
      </w:r>
    </w:p>
    <w:p w14:paraId="584E08C7" w14:textId="44B392EF" w:rsidR="00B46E10" w:rsidRDefault="00B46E10" w:rsidP="005C27FA">
      <w:pPr>
        <w:pStyle w:val="BodyText"/>
        <w:rPr>
          <w:b/>
        </w:rPr>
      </w:pPr>
    </w:p>
    <w:p w14:paraId="3818B018" w14:textId="3116E08B" w:rsidR="00B46E10" w:rsidRPr="00B46E10" w:rsidRDefault="00B46E10" w:rsidP="005C27FA">
      <w:pPr>
        <w:pStyle w:val="BodyText"/>
        <w:rPr>
          <w:bCs/>
        </w:rPr>
      </w:pPr>
      <w:r>
        <w:rPr>
          <w:bCs/>
        </w:rPr>
        <w:t>Parents contribute to our community assessment survey annually.  Their input about the strengths and challenges in the community, both for their family and specifically for their Early/Head Start child, are valuable parts of the Community Assessment we put together annually.  This input helps us plan for future recruitment, community partnerships, and program offerings that can mutually benefit our families and our center.</w:t>
      </w:r>
    </w:p>
    <w:p w14:paraId="2F492639" w14:textId="77777777" w:rsidR="005C27FA" w:rsidRPr="00831B3E" w:rsidRDefault="005C27FA" w:rsidP="005C27FA">
      <w:pPr>
        <w:rPr>
          <w:b/>
        </w:rPr>
      </w:pPr>
    </w:p>
    <w:p w14:paraId="244C2A15" w14:textId="77777777" w:rsidR="005C27FA" w:rsidRPr="00831B3E" w:rsidRDefault="005C27FA" w:rsidP="005C27FA">
      <w:pPr>
        <w:rPr>
          <w:b/>
        </w:rPr>
      </w:pPr>
      <w:r w:rsidRPr="00831B3E">
        <w:rPr>
          <w:b/>
        </w:rPr>
        <w:t>Parent Education Activities</w:t>
      </w:r>
    </w:p>
    <w:p w14:paraId="7B7AE75D" w14:textId="5C9D3DFB" w:rsidR="00B46E10" w:rsidRPr="00B46E10" w:rsidRDefault="00B46E10" w:rsidP="00B46E10">
      <w:pPr>
        <w:tabs>
          <w:tab w:val="left" w:pos="720"/>
        </w:tabs>
        <w:spacing w:before="177" w:after="160"/>
        <w:rPr>
          <w:rFonts w:eastAsia="Calibri"/>
          <w:szCs w:val="22"/>
        </w:rPr>
      </w:pPr>
      <w:r w:rsidRPr="00B46E10">
        <w:rPr>
          <w:rFonts w:eastAsia="Calibri"/>
          <w:szCs w:val="22"/>
        </w:rPr>
        <w:t>Our Parent Committee meetings are held on the first Monday of every month, providing an opportunity for families to connect, share their experiences and get involved in the operations of the program. Parents are encouraged to be active participants in the decision-making process and their input is invaluable to planning at First Step. Staff changes, curriculum changes, fiscal reports, and policy decisions are presented to our Parent Committee for consultation.</w:t>
      </w:r>
      <w:r>
        <w:rPr>
          <w:rFonts w:eastAsia="Calibri"/>
          <w:szCs w:val="22"/>
        </w:rPr>
        <w:t xml:space="preserve">  In 2020, we started using a virtual platform for our meetings due to the COVID pandemic.  While virtual attendance dropped, our dedicated parents continued to influence our decision-making as we navigated the ever-changing requirements of the pandemic.</w:t>
      </w:r>
    </w:p>
    <w:p w14:paraId="350ACB1B" w14:textId="4D8692A5" w:rsidR="00B46E10" w:rsidRPr="00B46E10" w:rsidRDefault="00635CA6" w:rsidP="00B46E10">
      <w:pPr>
        <w:spacing w:after="160"/>
        <w:rPr>
          <w:rFonts w:eastAsia="Calibri"/>
        </w:rPr>
      </w:pPr>
      <w:r>
        <w:rPr>
          <w:rFonts w:eastAsia="Calibri"/>
        </w:rPr>
        <w:t xml:space="preserve">While the pandemic put a halt to our in-person family events, we continue to offer virtual family activities for our families.  From Male Involvement activities like Fitness with Dad and Building Butterfly Houses, to family activities like Skittles Science and Stories and Snacks, families continued to </w:t>
      </w:r>
      <w:r w:rsidR="00B46E10" w:rsidRPr="00B46E10">
        <w:rPr>
          <w:rFonts w:eastAsia="Calibri"/>
        </w:rPr>
        <w:t xml:space="preserve">spend quality time with their child and their child’s classmates. </w:t>
      </w:r>
    </w:p>
    <w:p w14:paraId="7A1E8912" w14:textId="2A6E5AA6" w:rsidR="00B46E10" w:rsidRPr="00B46E10" w:rsidRDefault="00635CA6" w:rsidP="00B46E10">
      <w:pPr>
        <w:spacing w:after="160" w:line="259" w:lineRule="auto"/>
        <w:rPr>
          <w:rFonts w:eastAsia="Calibri"/>
        </w:rPr>
      </w:pPr>
      <w:r>
        <w:rPr>
          <w:rFonts w:eastAsia="Calibri"/>
        </w:rPr>
        <w:t xml:space="preserve">We value the ability and opportunities to help our parents learn more about their child’s development, and we continue to offer virtual events that facilitate this learning.  We provide monthly virtual Parents as Teachers activities, which offer </w:t>
      </w:r>
      <w:r w:rsidR="00B46E10" w:rsidRPr="00B46E10">
        <w:rPr>
          <w:rFonts w:eastAsia="Calibri"/>
        </w:rPr>
        <w:t>opportunities for parents and children to come together for age-appropriate learning activities with other parents and children.  Activities are facilitated by our Family Support Specialists and</w:t>
      </w:r>
      <w:r>
        <w:rPr>
          <w:rFonts w:eastAsia="Calibri"/>
        </w:rPr>
        <w:t xml:space="preserve"> utilize simple materials found in every home.  We also offer periodic trainings focused on wellness, nutrition, health, and safety.</w:t>
      </w:r>
    </w:p>
    <w:p w14:paraId="3560D64D" w14:textId="77777777" w:rsidR="005C27FA" w:rsidRPr="00831B3E" w:rsidRDefault="005C27FA" w:rsidP="005C27FA">
      <w:pPr>
        <w:rPr>
          <w:b/>
        </w:rPr>
      </w:pPr>
    </w:p>
    <w:p w14:paraId="5F0A082F" w14:textId="77777777" w:rsidR="005C27FA" w:rsidRPr="00831B3E" w:rsidRDefault="005C27FA" w:rsidP="005C27FA">
      <w:pPr>
        <w:rPr>
          <w:b/>
        </w:rPr>
      </w:pPr>
      <w:r w:rsidRPr="00831B3E">
        <w:rPr>
          <w:b/>
        </w:rPr>
        <w:t>Health</w:t>
      </w:r>
    </w:p>
    <w:p w14:paraId="1EE8E677" w14:textId="669868D8" w:rsidR="005C27FA" w:rsidRDefault="005C27FA" w:rsidP="005C27FA">
      <w:pPr>
        <w:pStyle w:val="RecipientAddress"/>
      </w:pPr>
    </w:p>
    <w:p w14:paraId="7FFB1ECD" w14:textId="03576027" w:rsidR="00635CA6" w:rsidRDefault="00635CA6" w:rsidP="005C27FA">
      <w:pPr>
        <w:pStyle w:val="RecipientAddress"/>
      </w:pPr>
      <w:r>
        <w:t xml:space="preserve">In 2020, our focus shifted to helping families navigate the COVID-19 pandemic and the </w:t>
      </w:r>
      <w:r w:rsidR="00BE59E1">
        <w:t>challenges the pandemic created around routine healthcare</w:t>
      </w:r>
      <w:r>
        <w:t>.  We provided ongoing education and resources about immunizations, well-child visits, and oral health</w:t>
      </w:r>
      <w:r w:rsidR="00BE59E1">
        <w:t>, and</w:t>
      </w:r>
      <w:r>
        <w:t xml:space="preserve"> utilized community partners to help </w:t>
      </w:r>
      <w:r w:rsidR="00BE59E1">
        <w:t>secure needed services.  We also brought greater focus to learning activities for the children around nutrition, exercise, and hygiene as we worked hard to keep everyone healthy.</w:t>
      </w:r>
    </w:p>
    <w:p w14:paraId="4A107070" w14:textId="77777777" w:rsidR="00BE59E1" w:rsidRPr="00635CA6" w:rsidRDefault="00BE59E1" w:rsidP="005C27FA">
      <w:pPr>
        <w:pStyle w:val="RecipientAddress"/>
      </w:pPr>
    </w:p>
    <w:p w14:paraId="67DE3294" w14:textId="77777777" w:rsidR="005C27FA" w:rsidRPr="00831B3E" w:rsidRDefault="005C27FA" w:rsidP="005C27FA">
      <w:pPr>
        <w:rPr>
          <w:b/>
        </w:rPr>
      </w:pPr>
      <w:r w:rsidRPr="00831B3E">
        <w:rPr>
          <w:b/>
        </w:rPr>
        <w:t>Mental Health</w:t>
      </w:r>
    </w:p>
    <w:p w14:paraId="52473F51" w14:textId="1499ECAA" w:rsidR="005C27FA" w:rsidRDefault="005C27FA" w:rsidP="005C27FA">
      <w:pPr>
        <w:rPr>
          <w:b/>
        </w:rPr>
      </w:pPr>
    </w:p>
    <w:p w14:paraId="7018F572" w14:textId="77229E9B" w:rsidR="00BE59E1" w:rsidRDefault="00BE59E1" w:rsidP="005C27FA">
      <w:pPr>
        <w:rPr>
          <w:bCs/>
        </w:rPr>
      </w:pPr>
      <w:r>
        <w:rPr>
          <w:bCs/>
        </w:rPr>
        <w:t xml:space="preserve">Both the pandemic and the events in our world in 2020 caused a great deal of stress, fatigue, and trauma in the lives of everybody.  Our children, staff, and families were no exception.  We continued to utilize our Wellness Consultant in 2020, with an intense focus on recognizing and responding to signs of stress and trauma in young children.  We started a staff wellness program that incorporated trainings and activities designed to help them deal with everything affecting them, including the new stresses of caring for children in light of the pandemic.  </w:t>
      </w:r>
    </w:p>
    <w:p w14:paraId="062BA7DC" w14:textId="53D346A9" w:rsidR="00BE59E1" w:rsidRDefault="00BE59E1" w:rsidP="005C27FA">
      <w:pPr>
        <w:rPr>
          <w:bCs/>
        </w:rPr>
      </w:pPr>
    </w:p>
    <w:p w14:paraId="6B4AB3E2" w14:textId="009EA83E" w:rsidR="00BE59E1" w:rsidRDefault="00BE59E1" w:rsidP="005C27FA">
      <w:pPr>
        <w:rPr>
          <w:bCs/>
        </w:rPr>
      </w:pPr>
      <w:r>
        <w:rPr>
          <w:bCs/>
        </w:rPr>
        <w:lastRenderedPageBreak/>
        <w:t xml:space="preserve">We introduced a wellness program to our children, staff, and families in 2020 called Conscious Discipline.  This focuses on helping adults to recognize their own emotional states of being, so they can help young children begin to regulate their emotions.  Using fun tools like puppets, books, and activity boards, children learn to create a safe and supportive classroom community </w:t>
      </w:r>
      <w:r w:rsidR="007651D6">
        <w:rPr>
          <w:bCs/>
        </w:rPr>
        <w:t>as they</w:t>
      </w:r>
      <w:r>
        <w:rPr>
          <w:bCs/>
        </w:rPr>
        <w:t xml:space="preserve"> build developmentally appropriate social skills</w:t>
      </w:r>
      <w:r w:rsidR="007651D6">
        <w:rPr>
          <w:bCs/>
        </w:rPr>
        <w:t>.</w:t>
      </w:r>
    </w:p>
    <w:p w14:paraId="61A8FDD5" w14:textId="77777777" w:rsidR="007651D6" w:rsidRPr="00BE59E1" w:rsidRDefault="007651D6" w:rsidP="005C27FA">
      <w:pPr>
        <w:rPr>
          <w:bCs/>
        </w:rPr>
      </w:pPr>
    </w:p>
    <w:p w14:paraId="1254E151" w14:textId="77777777" w:rsidR="005C27FA" w:rsidRPr="00831B3E" w:rsidRDefault="005C27FA" w:rsidP="005C27FA">
      <w:pPr>
        <w:rPr>
          <w:b/>
        </w:rPr>
      </w:pPr>
      <w:r w:rsidRPr="00831B3E">
        <w:rPr>
          <w:b/>
        </w:rPr>
        <w:t>Community and Social Services</w:t>
      </w:r>
    </w:p>
    <w:p w14:paraId="12A0A0BD" w14:textId="52FD3841" w:rsidR="005C27FA" w:rsidRDefault="005C27FA" w:rsidP="005C27FA"/>
    <w:p w14:paraId="3255CAC0" w14:textId="5E7C289A" w:rsidR="007651D6" w:rsidRDefault="00A42B6B" w:rsidP="007651D6">
      <w:r>
        <w:t>Our</w:t>
      </w:r>
      <w:r w:rsidR="007651D6" w:rsidRPr="00035D34">
        <w:t xml:space="preserve"> Family Support S</w:t>
      </w:r>
      <w:r w:rsidR="007651D6">
        <w:t>pecialists</w:t>
      </w:r>
      <w:r w:rsidR="007651D6" w:rsidRPr="00035D34">
        <w:t xml:space="preserve"> consult individually with families to identify their needs and work diligently to assist them in accessing services they need. </w:t>
      </w:r>
      <w:r>
        <w:t>The COVID-19 pandemic brought many new challenges to families, and we worked with many community partners to help families navigate these new challenges.  This has led us to focus on the partnerships we have in the community, and to work on developing others that we see a need for.</w:t>
      </w:r>
    </w:p>
    <w:p w14:paraId="5763FFB6" w14:textId="77777777" w:rsidR="007651D6" w:rsidRPr="00831B3E" w:rsidRDefault="007651D6" w:rsidP="005C27FA"/>
    <w:p w14:paraId="37431FC5" w14:textId="5C2E8944" w:rsidR="005C27FA" w:rsidRDefault="005C27FA" w:rsidP="005C27FA">
      <w:pPr>
        <w:rPr>
          <w:b/>
        </w:rPr>
      </w:pPr>
      <w:r w:rsidRPr="00831B3E">
        <w:rPr>
          <w:b/>
        </w:rPr>
        <w:t>Education and Literacy</w:t>
      </w:r>
    </w:p>
    <w:p w14:paraId="0054D012" w14:textId="50BEF843" w:rsidR="00A42B6B" w:rsidRDefault="00A42B6B" w:rsidP="005C27FA">
      <w:pPr>
        <w:rPr>
          <w:bCs/>
        </w:rPr>
      </w:pPr>
    </w:p>
    <w:p w14:paraId="04951F5D" w14:textId="1A4F09F3" w:rsidR="008C0D4F" w:rsidRPr="008C0D4F" w:rsidRDefault="00A42B6B" w:rsidP="008C0D4F">
      <w:pPr>
        <w:rPr>
          <w:rFonts w:eastAsia="Calibri"/>
        </w:rPr>
      </w:pPr>
      <w:r>
        <w:rPr>
          <w:color w:val="000000"/>
        </w:rPr>
        <w:t xml:space="preserve">The education of your child is one of our top priorities.  </w:t>
      </w:r>
      <w:r w:rsidR="008C0D4F" w:rsidRPr="008C0D4F">
        <w:rPr>
          <w:rFonts w:eastAsia="Calibri"/>
        </w:rPr>
        <w:t xml:space="preserve">First Step Child Care Center uses Creative Curriculum, which aligns with the Head Start Framework and the Illinois State Learning Standards and Guidelines.  Creative Curriculum focuses on creating a learning environment that fosters a child’s growth in all developmental areas, </w:t>
      </w:r>
      <w:r w:rsidR="00FF5755" w:rsidRPr="008C0D4F">
        <w:rPr>
          <w:rFonts w:eastAsia="Calibri"/>
        </w:rPr>
        <w:t>using</w:t>
      </w:r>
      <w:r w:rsidR="008C0D4F" w:rsidRPr="008C0D4F">
        <w:rPr>
          <w:rFonts w:eastAsia="Calibri"/>
        </w:rPr>
        <w:t xml:space="preserve"> play, small group activities, and whole-class instruction. </w:t>
      </w:r>
      <w:r w:rsidR="008C0D4F">
        <w:rPr>
          <w:rFonts w:eastAsia="Calibri"/>
        </w:rPr>
        <w:t xml:space="preserve"> Special attention is given to the development of literacy and mathematic skills by incorporating opportunities to develop these skills throughout every transition, activity, and learning center.</w:t>
      </w:r>
      <w:r w:rsidR="008C0D4F" w:rsidRPr="008C0D4F">
        <w:rPr>
          <w:rFonts w:eastAsia="Calibri"/>
        </w:rPr>
        <w:t xml:space="preserve"> The curriculum supports the use of Teaching Strategies, which is used to assess children’s growth and development as they learn.  Utilizing </w:t>
      </w:r>
      <w:r w:rsidR="00FF5755" w:rsidRPr="008C0D4F">
        <w:rPr>
          <w:rFonts w:eastAsia="Calibri"/>
        </w:rPr>
        <w:t>all</w:t>
      </w:r>
      <w:r w:rsidR="008C0D4F" w:rsidRPr="008C0D4F">
        <w:rPr>
          <w:rFonts w:eastAsia="Calibri"/>
        </w:rPr>
        <w:t xml:space="preserve"> these tools and continually evaluating our children’s needs as well as our practices, we seek to respond to the data </w:t>
      </w:r>
      <w:proofErr w:type="gramStart"/>
      <w:r w:rsidR="008C0D4F" w:rsidRPr="008C0D4F">
        <w:rPr>
          <w:rFonts w:eastAsia="Calibri"/>
        </w:rPr>
        <w:t>in order to</w:t>
      </w:r>
      <w:proofErr w:type="gramEnd"/>
      <w:r w:rsidR="008C0D4F" w:rsidRPr="008C0D4F">
        <w:rPr>
          <w:rFonts w:eastAsia="Calibri"/>
        </w:rPr>
        <w:t xml:space="preserve"> meet the child’s individual needs. </w:t>
      </w:r>
    </w:p>
    <w:p w14:paraId="67E0D327" w14:textId="77777777" w:rsidR="008C0D4F" w:rsidRPr="008C0D4F" w:rsidRDefault="008C0D4F" w:rsidP="008C0D4F">
      <w:pPr>
        <w:rPr>
          <w:rFonts w:eastAsia="Calibri"/>
        </w:rPr>
      </w:pPr>
    </w:p>
    <w:p w14:paraId="0AC0A4E9" w14:textId="5C3408C3" w:rsidR="00A42B6B" w:rsidRPr="00A42B6B" w:rsidRDefault="008C0D4F" w:rsidP="00A42B6B">
      <w:pPr>
        <w:widowControl w:val="0"/>
        <w:spacing w:before="7"/>
        <w:rPr>
          <w:color w:val="000000"/>
        </w:rPr>
      </w:pPr>
      <w:r>
        <w:rPr>
          <w:color w:val="000000"/>
        </w:rPr>
        <w:t xml:space="preserve">We value and recognize parents as their child’s very first teacher.  Our desire is to partner with the parents to prepare children for future academic and social success.  </w:t>
      </w:r>
      <w:r w:rsidR="00A42B6B">
        <w:rPr>
          <w:color w:val="000000"/>
        </w:rPr>
        <w:t>Quarterly conferences</w:t>
      </w:r>
      <w:r w:rsidR="00A42B6B" w:rsidRPr="00A42B6B">
        <w:rPr>
          <w:color w:val="000000"/>
        </w:rPr>
        <w:t xml:space="preserve"> offer our Head Start families an opportunity to ask questions about the program, give voice to their concerns and provide input on the individual needs of their child. </w:t>
      </w:r>
      <w:r>
        <w:rPr>
          <w:color w:val="000000"/>
        </w:rPr>
        <w:t xml:space="preserve">Parents and teachers work together to create goals for each child, which teachers reference when planning classroom activities and experiences.  </w:t>
      </w:r>
      <w:r w:rsidR="00077512">
        <w:rPr>
          <w:color w:val="000000"/>
        </w:rPr>
        <w:t>Observations are gathered weekly to help teachers assess each child’s progress towards meeting these goals.</w:t>
      </w:r>
    </w:p>
    <w:p w14:paraId="25268962" w14:textId="77777777" w:rsidR="005C27FA" w:rsidRPr="00831B3E" w:rsidRDefault="005C27FA" w:rsidP="005C27FA">
      <w:pPr>
        <w:pStyle w:val="Heading1"/>
        <w:rPr>
          <w:rFonts w:ascii="Times New Roman" w:hAnsi="Times New Roman"/>
          <w:sz w:val="24"/>
          <w:szCs w:val="24"/>
        </w:rPr>
      </w:pPr>
      <w:bookmarkStart w:id="4" w:name="_Toc250470447"/>
      <w:r w:rsidRPr="00831B3E">
        <w:rPr>
          <w:rFonts w:ascii="Times New Roman" w:hAnsi="Times New Roman"/>
          <w:sz w:val="24"/>
          <w:szCs w:val="24"/>
        </w:rPr>
        <w:t>Kindergarten Readiness</w:t>
      </w:r>
      <w:bookmarkEnd w:id="4"/>
    </w:p>
    <w:p w14:paraId="52712CA6" w14:textId="77777777" w:rsidR="005C27FA" w:rsidRPr="00831B3E" w:rsidRDefault="005C27FA" w:rsidP="005C27FA"/>
    <w:p w14:paraId="5ACAB10C" w14:textId="4B5BA838" w:rsidR="005C27FA" w:rsidRDefault="00077512" w:rsidP="005C27FA">
      <w:r>
        <w:t xml:space="preserve">Special consideration is given to those children entering Kindergarten the next year.  Parents and teachers work together to ensure the child is learning all the skills they will need for a successful transition to </w:t>
      </w:r>
      <w:r w:rsidR="00FF5755">
        <w:t>kindergarten</w:t>
      </w:r>
      <w:r>
        <w:t xml:space="preserve"> throughout the entire school year.  In 2020, we celebrated 23 Head Start children who completed our program and transitioned to the various local schools in our communities.  </w:t>
      </w:r>
    </w:p>
    <w:p w14:paraId="1AA28B5F" w14:textId="68C96D56" w:rsidR="00077512" w:rsidRDefault="00077512" w:rsidP="005C27FA"/>
    <w:p w14:paraId="1274746E" w14:textId="484BD2BF" w:rsidR="00077512" w:rsidRPr="00831B3E" w:rsidRDefault="00077512" w:rsidP="005C27FA">
      <w:r>
        <w:t xml:space="preserve">Because of the pandemic, we were not able to take these children to visit their new schools like we usually do, but we provided </w:t>
      </w:r>
      <w:r w:rsidR="00FF5755">
        <w:t>several</w:t>
      </w:r>
      <w:r>
        <w:t xml:space="preserve"> other transition events to help them prepare for their new experiences.  Each family received a bag of books and activities </w:t>
      </w:r>
      <w:r w:rsidR="00FB449F">
        <w:t>to work together on at home.  Classrooms took a virtual web-based tour of a typical Kindergarten classroom and watched videos about riding a school bus, going to assemblies, eating in a cafeteria, and other activities that may be new to them.  We also helped families prepare for the transition by holding a virtual event with a local Kindergarten teacher who provided additional information for families.</w:t>
      </w:r>
    </w:p>
    <w:p w14:paraId="2CF703E9" w14:textId="77777777" w:rsidR="005C27FA" w:rsidRPr="00831B3E" w:rsidRDefault="005C27FA" w:rsidP="005C27FA">
      <w:pPr>
        <w:ind w:left="1440"/>
      </w:pPr>
    </w:p>
    <w:p w14:paraId="3FC5FBB2" w14:textId="77777777" w:rsidR="005C27FA" w:rsidRPr="00831B3E" w:rsidRDefault="005C27FA" w:rsidP="005C27FA">
      <w:pPr>
        <w:pStyle w:val="Heading1"/>
        <w:spacing w:before="62"/>
        <w:ind w:right="2660"/>
        <w:rPr>
          <w:rFonts w:ascii="Times New Roman" w:hAnsi="Times New Roman"/>
          <w:color w:val="7030A0"/>
          <w:sz w:val="24"/>
          <w:szCs w:val="24"/>
        </w:rPr>
      </w:pPr>
      <w:r w:rsidRPr="00831B3E">
        <w:rPr>
          <w:rFonts w:ascii="Times New Roman" w:hAnsi="Times New Roman"/>
          <w:color w:val="7030A0"/>
          <w:sz w:val="24"/>
          <w:szCs w:val="24"/>
        </w:rPr>
        <w:t>Summary of Audit Findings</w:t>
      </w:r>
    </w:p>
    <w:p w14:paraId="2955B73A" w14:textId="77777777" w:rsidR="005C27FA" w:rsidRPr="00831B3E" w:rsidRDefault="005C27FA" w:rsidP="005C27FA">
      <w:pPr>
        <w:pStyle w:val="BodyText"/>
        <w:spacing w:before="1"/>
        <w:rPr>
          <w:b/>
        </w:rPr>
      </w:pPr>
    </w:p>
    <w:p w14:paraId="5863048F" w14:textId="77777777" w:rsidR="005C27FA" w:rsidRPr="00831B3E" w:rsidRDefault="005C27FA" w:rsidP="005C27FA">
      <w:pPr>
        <w:pStyle w:val="Heading1"/>
        <w:ind w:right="2660"/>
        <w:rPr>
          <w:rFonts w:ascii="Times New Roman" w:hAnsi="Times New Roman"/>
          <w:color w:val="7030A0"/>
          <w:sz w:val="24"/>
          <w:szCs w:val="24"/>
        </w:rPr>
      </w:pPr>
      <w:bookmarkStart w:id="5" w:name="_bookmark7"/>
      <w:bookmarkEnd w:id="5"/>
      <w:r w:rsidRPr="00831B3E">
        <w:rPr>
          <w:rFonts w:ascii="Times New Roman" w:hAnsi="Times New Roman"/>
          <w:color w:val="7030A0"/>
          <w:sz w:val="24"/>
          <w:szCs w:val="24"/>
        </w:rPr>
        <w:lastRenderedPageBreak/>
        <w:t>Summary of Information Required by the Secretary</w:t>
      </w:r>
    </w:p>
    <w:p w14:paraId="69B2CFA4" w14:textId="77777777" w:rsidR="005C27FA" w:rsidRPr="00831B3E" w:rsidRDefault="005C27FA" w:rsidP="005C27FA">
      <w:pPr>
        <w:pStyle w:val="BodyText"/>
        <w:spacing w:before="1"/>
        <w:rPr>
          <w:b/>
        </w:rPr>
      </w:pPr>
    </w:p>
    <w:p w14:paraId="0BD4C3C9" w14:textId="77777777" w:rsidR="005C27FA" w:rsidRPr="00831B3E" w:rsidRDefault="005C27FA" w:rsidP="005C27FA">
      <w:pPr>
        <w:rPr>
          <w:b/>
          <w:u w:val="single"/>
        </w:rPr>
      </w:pPr>
      <w:r w:rsidRPr="00831B3E">
        <w:t>The Ounce Board of Directors and Policy Council were given brief summaries and links to all Program Instructions and Information Memorandums</w:t>
      </w:r>
    </w:p>
    <w:p w14:paraId="7C67BD7F" w14:textId="77777777" w:rsidR="005C27FA" w:rsidRPr="00831B3E" w:rsidRDefault="005C27FA" w:rsidP="005C27FA">
      <w:pPr>
        <w:rPr>
          <w:b/>
          <w:i/>
          <w:u w:val="single"/>
        </w:rPr>
      </w:pPr>
    </w:p>
    <w:p w14:paraId="32DDBC48" w14:textId="77777777" w:rsidR="005C27FA" w:rsidRPr="00EE438C" w:rsidRDefault="005C27FA" w:rsidP="005C27FA"/>
    <w:p w14:paraId="7CE06FE9" w14:textId="77777777" w:rsidR="005550B5" w:rsidRDefault="005550B5"/>
    <w:sectPr w:rsidR="005550B5" w:rsidSect="00A127D8">
      <w:footerReference w:type="default" r:id="rId10"/>
      <w:footerReference w:type="first" r:id="rId11"/>
      <w:pgSz w:w="12240" w:h="15840" w:code="1"/>
      <w:pgMar w:top="1008" w:right="720" w:bottom="1008"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3706F" w14:textId="77777777" w:rsidR="005C78F7" w:rsidRDefault="008364BF">
      <w:r>
        <w:separator/>
      </w:r>
    </w:p>
  </w:endnote>
  <w:endnote w:type="continuationSeparator" w:id="0">
    <w:p w14:paraId="0146F8A5" w14:textId="77777777" w:rsidR="005C78F7" w:rsidRDefault="0083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0642" w14:textId="77777777" w:rsidR="00C83903" w:rsidRDefault="008364BF">
    <w:pPr>
      <w:pStyle w:val="Footer"/>
    </w:pPr>
    <w:r>
      <w:fldChar w:fldCharType="begin"/>
    </w:r>
    <w:r>
      <w:instrText xml:space="preserve"> PAGE   \* MERGEFORMAT </w:instrText>
    </w:r>
    <w:r>
      <w:fldChar w:fldCharType="separate"/>
    </w:r>
    <w:r>
      <w:rPr>
        <w:noProof/>
      </w:rPr>
      <w:t>3</w:t>
    </w:r>
    <w:r>
      <w:rPr>
        <w:noProof/>
      </w:rPr>
      <w:fldChar w:fldCharType="end"/>
    </w:r>
  </w:p>
  <w:p w14:paraId="33FEE333" w14:textId="77777777" w:rsidR="00C83903" w:rsidRDefault="00FF5755" w:rsidP="006E1C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6F8B" w14:textId="77777777" w:rsidR="00C83903" w:rsidRDefault="00FF5755" w:rsidP="006E1C38">
    <w:pPr>
      <w:pStyle w:val="Footer"/>
    </w:pPr>
  </w:p>
  <w:p w14:paraId="305E175E" w14:textId="77777777" w:rsidR="00C83903" w:rsidRDefault="00FF5755" w:rsidP="006E1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5820D" w14:textId="77777777" w:rsidR="005C78F7" w:rsidRDefault="008364BF">
      <w:r>
        <w:separator/>
      </w:r>
    </w:p>
  </w:footnote>
  <w:footnote w:type="continuationSeparator" w:id="0">
    <w:p w14:paraId="63062CB9" w14:textId="77777777" w:rsidR="005C78F7" w:rsidRDefault="00836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B1B7C"/>
    <w:multiLevelType w:val="hybridMultilevel"/>
    <w:tmpl w:val="29CA9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7FA"/>
    <w:rsid w:val="00027CCD"/>
    <w:rsid w:val="00077512"/>
    <w:rsid w:val="001E1F9B"/>
    <w:rsid w:val="00515DA9"/>
    <w:rsid w:val="005550B5"/>
    <w:rsid w:val="005C27FA"/>
    <w:rsid w:val="005C78F7"/>
    <w:rsid w:val="00632960"/>
    <w:rsid w:val="00635CA6"/>
    <w:rsid w:val="006513AC"/>
    <w:rsid w:val="00751F99"/>
    <w:rsid w:val="007651D6"/>
    <w:rsid w:val="008364BF"/>
    <w:rsid w:val="008C0D4F"/>
    <w:rsid w:val="00923F06"/>
    <w:rsid w:val="00A127D8"/>
    <w:rsid w:val="00A42B6B"/>
    <w:rsid w:val="00AC7EAD"/>
    <w:rsid w:val="00AE4F4E"/>
    <w:rsid w:val="00B46E10"/>
    <w:rsid w:val="00BE59E1"/>
    <w:rsid w:val="00C34BE2"/>
    <w:rsid w:val="00D5614E"/>
    <w:rsid w:val="00EA47E7"/>
    <w:rsid w:val="00FA21B9"/>
    <w:rsid w:val="00FB449F"/>
    <w:rsid w:val="00FF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7CC3C"/>
  <w15:chartTrackingRefBased/>
  <w15:docId w15:val="{2F5B2F38-1610-4043-BD7F-8789FBCE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7F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C27F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7FA"/>
    <w:rPr>
      <w:rFonts w:ascii="Cambria" w:eastAsia="Times New Roman" w:hAnsi="Cambria" w:cs="Times New Roman"/>
      <w:b/>
      <w:bCs/>
      <w:kern w:val="32"/>
      <w:sz w:val="32"/>
      <w:szCs w:val="32"/>
    </w:rPr>
  </w:style>
  <w:style w:type="paragraph" w:styleId="Footer">
    <w:name w:val="footer"/>
    <w:basedOn w:val="Normal"/>
    <w:link w:val="FooterChar"/>
    <w:uiPriority w:val="99"/>
    <w:rsid w:val="005C27FA"/>
    <w:pPr>
      <w:tabs>
        <w:tab w:val="center" w:pos="4320"/>
        <w:tab w:val="right" w:pos="8640"/>
      </w:tabs>
      <w:jc w:val="right"/>
    </w:pPr>
  </w:style>
  <w:style w:type="character" w:customStyle="1" w:styleId="FooterChar">
    <w:name w:val="Footer Char"/>
    <w:basedOn w:val="DefaultParagraphFont"/>
    <w:link w:val="Footer"/>
    <w:uiPriority w:val="99"/>
    <w:rsid w:val="005C27FA"/>
    <w:rPr>
      <w:rFonts w:ascii="Times New Roman" w:eastAsia="Times New Roman" w:hAnsi="Times New Roman" w:cs="Times New Roman"/>
      <w:sz w:val="24"/>
      <w:szCs w:val="24"/>
    </w:rPr>
  </w:style>
  <w:style w:type="paragraph" w:customStyle="1" w:styleId="RecipientAddress">
    <w:name w:val="Recipient Address"/>
    <w:basedOn w:val="Normal"/>
    <w:rsid w:val="005C27FA"/>
  </w:style>
  <w:style w:type="paragraph" w:styleId="BodyText">
    <w:name w:val="Body Text"/>
    <w:basedOn w:val="Normal"/>
    <w:link w:val="BodyTextChar"/>
    <w:uiPriority w:val="1"/>
    <w:qFormat/>
    <w:rsid w:val="005C27FA"/>
    <w:pPr>
      <w:widowControl w:val="0"/>
    </w:pPr>
  </w:style>
  <w:style w:type="character" w:customStyle="1" w:styleId="BodyTextChar">
    <w:name w:val="Body Text Char"/>
    <w:basedOn w:val="DefaultParagraphFont"/>
    <w:link w:val="BodyText"/>
    <w:uiPriority w:val="1"/>
    <w:rsid w:val="005C27FA"/>
    <w:rPr>
      <w:rFonts w:ascii="Times New Roman" w:eastAsia="Times New Roman" w:hAnsi="Times New Roman" w:cs="Times New Roman"/>
      <w:sz w:val="24"/>
      <w:szCs w:val="24"/>
    </w:rPr>
  </w:style>
  <w:style w:type="paragraph" w:styleId="ListParagraph">
    <w:name w:val="List Paragraph"/>
    <w:basedOn w:val="Normal"/>
    <w:uiPriority w:val="34"/>
    <w:qFormat/>
    <w:rsid w:val="00EA47E7"/>
    <w:pPr>
      <w:ind w:left="720"/>
      <w:contextualSpacing/>
    </w:pPr>
  </w:style>
  <w:style w:type="paragraph" w:styleId="Header">
    <w:name w:val="header"/>
    <w:basedOn w:val="Normal"/>
    <w:link w:val="HeaderChar"/>
    <w:uiPriority w:val="99"/>
    <w:unhideWhenUsed/>
    <w:rsid w:val="00A127D8"/>
    <w:pPr>
      <w:tabs>
        <w:tab w:val="center" w:pos="4680"/>
        <w:tab w:val="right" w:pos="9360"/>
      </w:tabs>
    </w:pPr>
  </w:style>
  <w:style w:type="character" w:customStyle="1" w:styleId="HeaderChar">
    <w:name w:val="Header Char"/>
    <w:basedOn w:val="DefaultParagraphFont"/>
    <w:link w:val="Header"/>
    <w:uiPriority w:val="99"/>
    <w:rsid w:val="00A127D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2020 BUDGET</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30"/>
      <c:rotY val="26"/>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3510697526445552E-2"/>
          <c:y val="0.12724220623501201"/>
          <c:w val="0.93598425196850399"/>
          <c:h val="0.65093411884665509"/>
        </c:manualLayout>
      </c:layout>
      <c:pie3DChart>
        <c:varyColors val="1"/>
        <c:ser>
          <c:idx val="0"/>
          <c:order val="0"/>
          <c:tx>
            <c:strRef>
              <c:f>Sheet1!$B$1</c:f>
              <c:strCache>
                <c:ptCount val="1"/>
                <c:pt idx="0">
                  <c:v>Budget</c:v>
                </c:pt>
              </c:strCache>
            </c:strRef>
          </c:tx>
          <c:explosion val="3"/>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20C7-4A7F-B4DE-0B16444F1521}"/>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20C7-4A7F-B4DE-0B16444F1521}"/>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20C7-4A7F-B4DE-0B16444F1521}"/>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20C7-4A7F-B4DE-0B16444F1521}"/>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20C7-4A7F-B4DE-0B16444F1521}"/>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B-20C7-4A7F-B4DE-0B16444F1521}"/>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D-20C7-4A7F-B4DE-0B16444F1521}"/>
              </c:ext>
            </c:extLst>
          </c:dPt>
          <c:dLbls>
            <c:delete val="1"/>
          </c:dLbls>
          <c:cat>
            <c:strRef>
              <c:f>Sheet1!$A$2:$A$8</c:f>
              <c:strCache>
                <c:ptCount val="7"/>
                <c:pt idx="0">
                  <c:v>Salaries</c:v>
                </c:pt>
                <c:pt idx="1">
                  <c:v>Supplies</c:v>
                </c:pt>
                <c:pt idx="2">
                  <c:v>Child Services</c:v>
                </c:pt>
                <c:pt idx="3">
                  <c:v>Parent Services</c:v>
                </c:pt>
                <c:pt idx="4">
                  <c:v>General</c:v>
                </c:pt>
                <c:pt idx="5">
                  <c:v>Contractual</c:v>
                </c:pt>
                <c:pt idx="6">
                  <c:v>Staff Travel</c:v>
                </c:pt>
              </c:strCache>
            </c:strRef>
          </c:cat>
          <c:val>
            <c:numRef>
              <c:f>Sheet1!$B$2:$B$8</c:f>
              <c:numCache>
                <c:formatCode>General</c:formatCode>
                <c:ptCount val="7"/>
                <c:pt idx="0">
                  <c:v>72.5</c:v>
                </c:pt>
                <c:pt idx="1">
                  <c:v>4.0999999999999996</c:v>
                </c:pt>
                <c:pt idx="2">
                  <c:v>1.1000000000000001</c:v>
                </c:pt>
                <c:pt idx="3">
                  <c:v>0.4</c:v>
                </c:pt>
                <c:pt idx="4">
                  <c:v>0.6</c:v>
                </c:pt>
                <c:pt idx="5">
                  <c:v>2.7</c:v>
                </c:pt>
                <c:pt idx="6">
                  <c:v>0.2</c:v>
                </c:pt>
              </c:numCache>
            </c:numRef>
          </c:val>
          <c:extLst>
            <c:ext xmlns:c16="http://schemas.microsoft.com/office/drawing/2014/chart" uri="{C3380CC4-5D6E-409C-BE32-E72D297353CC}">
              <c16:uniqueId val="{00000010-20C7-4A7F-B4DE-0B16444F1521}"/>
            </c:ext>
          </c:extLst>
        </c:ser>
        <c:dLbls>
          <c:dLblPos val="inEnd"/>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2020 Actual</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30"/>
      <c:rotY val="26"/>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4013605442176874E-2"/>
          <c:y val="0.12351415978663047"/>
          <c:w val="0.9016588997803846"/>
          <c:h val="0.65526243181866417"/>
        </c:manualLayout>
      </c:layout>
      <c:pie3DChart>
        <c:varyColors val="1"/>
        <c:ser>
          <c:idx val="0"/>
          <c:order val="0"/>
          <c:tx>
            <c:strRef>
              <c:f>Sheet1!$B$1</c:f>
              <c:strCache>
                <c:ptCount val="1"/>
                <c:pt idx="0">
                  <c:v>Actual</c:v>
                </c:pt>
              </c:strCache>
            </c:strRef>
          </c:tx>
          <c:explosion val="3"/>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D0E1-45FD-B486-871ECBD41D77}"/>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D0E1-45FD-B486-871ECBD41D77}"/>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D0E1-45FD-B486-871ECBD41D77}"/>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D0E1-45FD-B486-871ECBD41D77}"/>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D0E1-45FD-B486-871ECBD41D77}"/>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B-D0E1-45FD-B486-871ECBD41D77}"/>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D-D0E1-45FD-B486-871ECBD41D77}"/>
              </c:ext>
            </c:extLst>
          </c:dPt>
          <c:cat>
            <c:strRef>
              <c:f>Sheet1!$A$2:$A$8</c:f>
              <c:strCache>
                <c:ptCount val="7"/>
                <c:pt idx="0">
                  <c:v>Salaries</c:v>
                </c:pt>
                <c:pt idx="1">
                  <c:v>Supplies</c:v>
                </c:pt>
                <c:pt idx="2">
                  <c:v>Child Services</c:v>
                </c:pt>
                <c:pt idx="3">
                  <c:v>Parent Services</c:v>
                </c:pt>
                <c:pt idx="4">
                  <c:v>General</c:v>
                </c:pt>
                <c:pt idx="5">
                  <c:v>Contractual</c:v>
                </c:pt>
                <c:pt idx="6">
                  <c:v>Staff Travel</c:v>
                </c:pt>
              </c:strCache>
            </c:strRef>
          </c:cat>
          <c:val>
            <c:numRef>
              <c:f>Sheet1!$B$2:$B$8</c:f>
              <c:numCache>
                <c:formatCode>General</c:formatCode>
                <c:ptCount val="7"/>
                <c:pt idx="0">
                  <c:v>67</c:v>
                </c:pt>
                <c:pt idx="1">
                  <c:v>6.5</c:v>
                </c:pt>
                <c:pt idx="2">
                  <c:v>1.3</c:v>
                </c:pt>
                <c:pt idx="3">
                  <c:v>0.5</c:v>
                </c:pt>
                <c:pt idx="4">
                  <c:v>2.5</c:v>
                </c:pt>
                <c:pt idx="5">
                  <c:v>2.8</c:v>
                </c:pt>
                <c:pt idx="6">
                  <c:v>0</c:v>
                </c:pt>
              </c:numCache>
            </c:numRef>
          </c:val>
          <c:extLst>
            <c:ext xmlns:c16="http://schemas.microsoft.com/office/drawing/2014/chart" uri="{C3380CC4-5D6E-409C-BE32-E72D297353CC}">
              <c16:uniqueId val="{00000010-D0E1-45FD-B486-871ECBD41D77}"/>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5.4744228400021432E-2"/>
          <c:y val="0.75235689878387846"/>
          <c:w val="0.89391263592050996"/>
          <c:h val="0.2206889233185474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F98A2-4382-4021-BEC4-A3FFFEC97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Piche</dc:creator>
  <cp:keywords/>
  <dc:description/>
  <cp:lastModifiedBy>ellie giberson</cp:lastModifiedBy>
  <cp:revision>6</cp:revision>
  <cp:lastPrinted>2021-09-10T13:15:00Z</cp:lastPrinted>
  <dcterms:created xsi:type="dcterms:W3CDTF">2021-09-09T18:51:00Z</dcterms:created>
  <dcterms:modified xsi:type="dcterms:W3CDTF">2021-09-13T14:40:00Z</dcterms:modified>
</cp:coreProperties>
</file>