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0F18" w14:textId="07DB54F2" w:rsidR="00437AF5" w:rsidRPr="00A020DA" w:rsidRDefault="00437AF5" w:rsidP="00437AF5">
      <w:pPr>
        <w:jc w:val="center"/>
        <w:rPr>
          <w:rFonts w:ascii="Segoe UI" w:hAnsi="Segoe UI" w:cs="Segoe UI"/>
          <w:b/>
          <w:bCs/>
          <w:sz w:val="28"/>
          <w:szCs w:val="28"/>
        </w:rPr>
      </w:pPr>
      <w:bookmarkStart w:id="0" w:name="_Hlk505608789"/>
      <w:r w:rsidRPr="00A020DA">
        <w:rPr>
          <w:rFonts w:ascii="Segoe UI" w:hAnsi="Segoe UI" w:cs="Segoe UI"/>
          <w:b/>
          <w:bCs/>
          <w:sz w:val="28"/>
          <w:szCs w:val="28"/>
        </w:rPr>
        <w:t>Mottram Community Association</w:t>
      </w:r>
    </w:p>
    <w:p w14:paraId="4E661F1F" w14:textId="5D76D76B" w:rsidR="00190A2B" w:rsidRPr="00190A2B" w:rsidRDefault="00190A2B" w:rsidP="00437AF5">
      <w:pPr>
        <w:jc w:val="center"/>
        <w:rPr>
          <w:rFonts w:ascii="Segoe UI" w:hAnsi="Segoe UI" w:cs="Segoe UI"/>
          <w:b/>
          <w:bCs/>
          <w:sz w:val="28"/>
          <w:szCs w:val="28"/>
        </w:rPr>
      </w:pPr>
      <w:r w:rsidRPr="00190A2B">
        <w:rPr>
          <w:rFonts w:ascii="Segoe UI" w:hAnsi="Segoe UI" w:cs="Segoe UI"/>
          <w:b/>
          <w:bCs/>
          <w:sz w:val="28"/>
          <w:szCs w:val="28"/>
        </w:rPr>
        <w:t>Conflict of Interest Policy</w:t>
      </w:r>
    </w:p>
    <w:p w14:paraId="6E5C0710" w14:textId="0B9269A2"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Preliminary</w:t>
      </w:r>
    </w:p>
    <w:p w14:paraId="5B87DC8F" w14:textId="77777777" w:rsidR="00190A2B" w:rsidRPr="00190A2B" w:rsidRDefault="00190A2B" w:rsidP="00437AF5">
      <w:pPr>
        <w:rPr>
          <w:rFonts w:ascii="Segoe UI" w:hAnsi="Segoe UI" w:cs="Segoe UI"/>
          <w:sz w:val="22"/>
          <w:szCs w:val="22"/>
        </w:rPr>
      </w:pPr>
      <w:r w:rsidRPr="00190A2B">
        <w:rPr>
          <w:rFonts w:ascii="Segoe UI" w:hAnsi="Segoe UI" w:cs="Segoe UI"/>
          <w:sz w:val="22"/>
          <w:szCs w:val="22"/>
        </w:rPr>
        <w:t>All of the directors of the Charity are all of its charity trustees. ‘Trustee’ in this policy refers to each director/charity trustee of the Charity. This policy applies to all Trustees and staff and volunteers.</w:t>
      </w:r>
    </w:p>
    <w:p w14:paraId="06253B96" w14:textId="77777777" w:rsidR="00190A2B" w:rsidRPr="00190A2B" w:rsidRDefault="00190A2B" w:rsidP="00437AF5">
      <w:pPr>
        <w:rPr>
          <w:rFonts w:ascii="Segoe UI" w:hAnsi="Segoe UI" w:cs="Segoe UI"/>
          <w:sz w:val="22"/>
          <w:szCs w:val="22"/>
        </w:rPr>
      </w:pPr>
      <w:r w:rsidRPr="00190A2B">
        <w:rPr>
          <w:rFonts w:ascii="Segoe UI" w:hAnsi="Segoe UI" w:cs="Segoe UI"/>
          <w:sz w:val="22"/>
          <w:szCs w:val="22"/>
        </w:rPr>
        <w:t>All Trustees and staff and volunteers of the Charity must make every effort to avoid any conflict of interest between the interests of the Charity on the one hand, and personal, professional, and business interests on the other. This includes avoiding an actual conflict of interest as well as any appearance of a conflict of interest.</w:t>
      </w:r>
    </w:p>
    <w:p w14:paraId="5D6B909A" w14:textId="77777777" w:rsidR="00190A2B" w:rsidRPr="00190A2B" w:rsidRDefault="00190A2B" w:rsidP="00437AF5">
      <w:pPr>
        <w:rPr>
          <w:rFonts w:ascii="Segoe UI" w:hAnsi="Segoe UI" w:cs="Segoe UI"/>
          <w:sz w:val="22"/>
          <w:szCs w:val="22"/>
        </w:rPr>
      </w:pPr>
      <w:r w:rsidRPr="00190A2B">
        <w:rPr>
          <w:rFonts w:ascii="Segoe UI" w:hAnsi="Segoe UI" w:cs="Segoe UI"/>
          <w:sz w:val="22"/>
          <w:szCs w:val="22"/>
        </w:rPr>
        <w:t>The purpose of this policy is to protect the integrity of the Charity’s decision-making process, to enable outside parties to have confidence in the Charity’s integrity, and to protect the integrity and reputation of the Trustees and the Charity and its staff and volunteers.</w:t>
      </w:r>
    </w:p>
    <w:p w14:paraId="02975D1C" w14:textId="77777777" w:rsidR="00190A2B" w:rsidRPr="00190A2B" w:rsidRDefault="00190A2B" w:rsidP="00190A2B">
      <w:pPr>
        <w:rPr>
          <w:rFonts w:ascii="Segoe UI" w:hAnsi="Segoe UI" w:cs="Segoe UI"/>
          <w:sz w:val="22"/>
          <w:szCs w:val="22"/>
        </w:rPr>
      </w:pPr>
    </w:p>
    <w:p w14:paraId="03DBA3A3"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Legal Obligations</w:t>
      </w:r>
    </w:p>
    <w:p w14:paraId="1C215AFE" w14:textId="77777777" w:rsidR="00190A2B" w:rsidRPr="00190A2B" w:rsidRDefault="00190A2B" w:rsidP="00437AF5">
      <w:pPr>
        <w:rPr>
          <w:rFonts w:ascii="Segoe UI" w:hAnsi="Segoe UI" w:cs="Segoe UI"/>
          <w:sz w:val="22"/>
          <w:szCs w:val="22"/>
          <w:lang w:val="en"/>
        </w:rPr>
      </w:pPr>
      <w:r w:rsidRPr="00190A2B">
        <w:rPr>
          <w:rFonts w:ascii="Segoe UI" w:hAnsi="Segoe UI" w:cs="Segoe UI"/>
          <w:sz w:val="22"/>
          <w:szCs w:val="22"/>
        </w:rPr>
        <w:t>A Trustee has a personal legal obligation to act in the best interests of the Charity, to avoid conflicts of interest and/or conflicts of loyalties, and to act in accordance with the Charity’s Articles of Association (its constitution), and to avoid situations where there may be a potential conflict.</w:t>
      </w:r>
    </w:p>
    <w:p w14:paraId="43FF8E33" w14:textId="02563864" w:rsidR="00190A2B" w:rsidRDefault="00190A2B" w:rsidP="00190A2B">
      <w:pPr>
        <w:rPr>
          <w:rFonts w:ascii="Segoe UI" w:hAnsi="Segoe UI" w:cs="Segoe UI"/>
          <w:sz w:val="22"/>
          <w:szCs w:val="22"/>
          <w:lang w:val="en"/>
        </w:rPr>
      </w:pPr>
      <w:r w:rsidRPr="00190A2B">
        <w:rPr>
          <w:rFonts w:ascii="Segoe UI" w:hAnsi="Segoe UI" w:cs="Segoe UI"/>
          <w:sz w:val="22"/>
          <w:szCs w:val="22"/>
        </w:rPr>
        <w:t xml:space="preserve">Directors should also be aware of situations which may impact the Charity’s reputation and avoid such situations arising. </w:t>
      </w:r>
    </w:p>
    <w:p w14:paraId="54D3E04B" w14:textId="77777777" w:rsidR="006D10AD" w:rsidRPr="00190A2B" w:rsidRDefault="006D10AD" w:rsidP="00190A2B">
      <w:pPr>
        <w:rPr>
          <w:rFonts w:ascii="Segoe UI" w:hAnsi="Segoe UI" w:cs="Segoe UI"/>
          <w:sz w:val="22"/>
          <w:szCs w:val="22"/>
          <w:lang w:val="en"/>
        </w:rPr>
      </w:pPr>
    </w:p>
    <w:p w14:paraId="2502DD7A"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Conflicts of Interest</w:t>
      </w:r>
    </w:p>
    <w:p w14:paraId="79F74AF0"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 conflict of interests is any situation in which a Trustee’s business or personal interests (or those of a person “connected to” a Trustee), or loyalty that they owe to another organisation or person, may (or may appear to) influence or affect the Trustee’s decision making.</w:t>
      </w:r>
    </w:p>
    <w:p w14:paraId="1F02CD2E"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 person “connected to” a Trustee may be a relative (child, parent, grandchild, grandparent, brother, sister, spouse or civil partner of the Trustee or any person living with the Trustee as his/her partner, or a business partner of the Trustee, or an institution controlled by either the Trustee or a person connected with the Trustee).</w:t>
      </w:r>
    </w:p>
    <w:p w14:paraId="49861814"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Examples of conflicts of interest include the case of a Trustee who:</w:t>
      </w:r>
    </w:p>
    <w:p w14:paraId="74A57F1D" w14:textId="77777777" w:rsidR="006D10AD" w:rsidRDefault="006D10AD" w:rsidP="006D10AD">
      <w:pPr>
        <w:pStyle w:val="ListParagraph"/>
        <w:numPr>
          <w:ilvl w:val="0"/>
          <w:numId w:val="45"/>
        </w:numPr>
        <w:rPr>
          <w:rFonts w:ascii="Segoe UI" w:hAnsi="Segoe UI" w:cs="Segoe UI"/>
          <w:sz w:val="22"/>
          <w:szCs w:val="22"/>
        </w:rPr>
      </w:pPr>
      <w:r>
        <w:rPr>
          <w:rFonts w:ascii="Segoe UI" w:hAnsi="Segoe UI" w:cs="Segoe UI"/>
          <w:sz w:val="22"/>
          <w:szCs w:val="22"/>
        </w:rPr>
        <w:t>I</w:t>
      </w:r>
      <w:r w:rsidR="00190A2B" w:rsidRPr="006D10AD">
        <w:rPr>
          <w:rFonts w:ascii="Segoe UI" w:hAnsi="Segoe UI" w:cs="Segoe UI"/>
          <w:sz w:val="22"/>
          <w:szCs w:val="22"/>
        </w:rPr>
        <w:t>s also a beneficiary of the Charity and a Trustee board meeting considers whether fees for service users of the Charity (i.e. beneficiaries) should be increased.</w:t>
      </w:r>
    </w:p>
    <w:p w14:paraId="4A478083" w14:textId="77777777" w:rsidR="006D10AD" w:rsidRDefault="006D10AD" w:rsidP="006D10AD">
      <w:pPr>
        <w:pStyle w:val="ListParagraph"/>
        <w:numPr>
          <w:ilvl w:val="0"/>
          <w:numId w:val="45"/>
        </w:numPr>
        <w:rPr>
          <w:rFonts w:ascii="Segoe UI" w:hAnsi="Segoe UI" w:cs="Segoe UI"/>
          <w:sz w:val="22"/>
          <w:szCs w:val="22"/>
        </w:rPr>
      </w:pPr>
      <w:r>
        <w:rPr>
          <w:rFonts w:ascii="Segoe UI" w:hAnsi="Segoe UI" w:cs="Segoe UI"/>
          <w:sz w:val="22"/>
          <w:szCs w:val="22"/>
        </w:rPr>
        <w:lastRenderedPageBreak/>
        <w:t>I</w:t>
      </w:r>
      <w:r w:rsidR="00190A2B" w:rsidRPr="006D10AD">
        <w:rPr>
          <w:rFonts w:ascii="Segoe UI" w:hAnsi="Segoe UI" w:cs="Segoe UI"/>
          <w:sz w:val="22"/>
          <w:szCs w:val="22"/>
        </w:rPr>
        <w:t>s related to a member of the Charity’s staff and a Trustee board meeting considers staff pay and/or conditions.</w:t>
      </w:r>
    </w:p>
    <w:p w14:paraId="3BEBDFEE" w14:textId="77777777" w:rsidR="006D10AD" w:rsidRDefault="006D10AD" w:rsidP="006D10AD">
      <w:pPr>
        <w:pStyle w:val="ListParagraph"/>
        <w:numPr>
          <w:ilvl w:val="0"/>
          <w:numId w:val="45"/>
        </w:numPr>
        <w:rPr>
          <w:rFonts w:ascii="Segoe UI" w:hAnsi="Segoe UI" w:cs="Segoe UI"/>
          <w:sz w:val="22"/>
          <w:szCs w:val="22"/>
        </w:rPr>
      </w:pPr>
      <w:r>
        <w:rPr>
          <w:rFonts w:ascii="Segoe UI" w:hAnsi="Segoe UI" w:cs="Segoe UI"/>
          <w:sz w:val="22"/>
          <w:szCs w:val="22"/>
        </w:rPr>
        <w:t>I</w:t>
      </w:r>
      <w:r w:rsidR="00190A2B" w:rsidRPr="006D10AD">
        <w:rPr>
          <w:rFonts w:ascii="Segoe UI" w:hAnsi="Segoe UI" w:cs="Segoe UI"/>
          <w:sz w:val="22"/>
          <w:szCs w:val="22"/>
        </w:rPr>
        <w:t>s also a trustee, director or member of the management committee of another organisation that is competing for the same funding as the Charity.</w:t>
      </w:r>
    </w:p>
    <w:p w14:paraId="37800CD5" w14:textId="62FA711F" w:rsidR="00190A2B" w:rsidRPr="006D10AD" w:rsidRDefault="006D10AD" w:rsidP="006D10AD">
      <w:pPr>
        <w:pStyle w:val="ListParagraph"/>
        <w:numPr>
          <w:ilvl w:val="0"/>
          <w:numId w:val="45"/>
        </w:numPr>
        <w:rPr>
          <w:rFonts w:ascii="Segoe UI" w:hAnsi="Segoe UI" w:cs="Segoe UI"/>
          <w:sz w:val="22"/>
          <w:szCs w:val="22"/>
        </w:rPr>
      </w:pPr>
      <w:r>
        <w:rPr>
          <w:rFonts w:ascii="Segoe UI" w:hAnsi="Segoe UI" w:cs="Segoe UI"/>
          <w:sz w:val="22"/>
          <w:szCs w:val="22"/>
        </w:rPr>
        <w:t>H</w:t>
      </w:r>
      <w:r w:rsidR="00190A2B" w:rsidRPr="006D10AD">
        <w:rPr>
          <w:rFonts w:ascii="Segoe UI" w:hAnsi="Segoe UI" w:cs="Segoe UI"/>
          <w:sz w:val="22"/>
          <w:szCs w:val="22"/>
        </w:rPr>
        <w:t xml:space="preserve">as shares in a business that may be awarded a contract to do work or provide services for the Charity or is a director, partner or employee of such a business or is related to someone who has either shares in such a business or is a director, partner or employee of such a business. </w:t>
      </w:r>
    </w:p>
    <w:p w14:paraId="467929D6" w14:textId="77777777" w:rsidR="00190A2B" w:rsidRPr="00190A2B" w:rsidRDefault="00190A2B" w:rsidP="00190A2B">
      <w:pPr>
        <w:rPr>
          <w:rFonts w:ascii="Segoe UI" w:hAnsi="Segoe UI" w:cs="Segoe UI"/>
          <w:sz w:val="22"/>
          <w:szCs w:val="22"/>
        </w:rPr>
      </w:pPr>
    </w:p>
    <w:p w14:paraId="3146C425"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Declaring Conflicts of Interest</w:t>
      </w:r>
    </w:p>
    <w:p w14:paraId="02DF8B46"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 Trustee has a personal responsibility to declare conflicts of interest if s/he is to fulfil his/her legal duty to act only in the best interests of the Charity. A Trustee should be meticulous about declaring any actual or potential conflict of interest affecting him/herself and connected parties, and should declare the nature and extent of any interest, whether direct or indirect.</w:t>
      </w:r>
    </w:p>
    <w:p w14:paraId="54EEA903"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Upon appointment, each Trustee must make a full, written disclosure of interests, such as business or personal relationships, posts held, or financial or property interests that could potentially result in a conflict of interest. This written disclosure will be made on the form referred to below and be kept on file and will be updated at least annually, and when any material changes occur.</w:t>
      </w:r>
    </w:p>
    <w:p w14:paraId="62D6B4DA"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 xml:space="preserve">Each Trustee must also declare any gifts or hospitality offered and received in connection with their role in the charity that could potentially result in a conflict of interest. </w:t>
      </w:r>
    </w:p>
    <w:p w14:paraId="61E4FB17"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 declaration of interests’ form is provided by the Charity Secretary to each Trustee for the above purposes, and it will list each type of interest that a Trustee should declare.</w:t>
      </w:r>
    </w:p>
    <w:p w14:paraId="288190C7"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At the beginning and during any meeting of Trustees, a Trustee must declare any interests in a transaction or decision where there may be a conflict between the Charity’s best interests and the Trustee’s best interests or a conflict between the best interests of the Charity and another organisation that the Trustee is involved with. If in doubt the potential conflict must be declared anyway, and clarification sought.</w:t>
      </w:r>
    </w:p>
    <w:p w14:paraId="0D9BD998"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If a Trustee has any uncertainty as to whether s/he has an interest which should be declared, s/he should refer it for a decision on that question to the Chair of Trustees.  However, the preferred position is that in any situation where there is a doubt, the potential conflict be declared.</w:t>
      </w:r>
    </w:p>
    <w:p w14:paraId="2EF751A5"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Any declaration should be to the body of trustees at a board meeting of the trustees and any relevant committee or meeting thereof.</w:t>
      </w:r>
    </w:p>
    <w:p w14:paraId="6103EDF9" w14:textId="77777777" w:rsidR="00190A2B" w:rsidRPr="00190A2B" w:rsidRDefault="00190A2B" w:rsidP="00190A2B">
      <w:pPr>
        <w:rPr>
          <w:rFonts w:ascii="Segoe UI" w:hAnsi="Segoe UI" w:cs="Segoe UI"/>
          <w:sz w:val="22"/>
          <w:szCs w:val="22"/>
        </w:rPr>
      </w:pPr>
    </w:p>
    <w:p w14:paraId="6ECD4AC9"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lastRenderedPageBreak/>
        <w:t>Dealing with Conflicts of Interest</w:t>
      </w:r>
    </w:p>
    <w:p w14:paraId="54BAFF59"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If a Trustee believes that s/he has a real conflict of interest or that it might appear that s/he has a conflict of interest, s/he should declare the interest at the earliest opportunity and withdraw from any discussions or decisions or votes relating to the matter in relation to which s/he has a conflict. S/he will not be counted as part of the quorum for the part of the meeting which deals with that matter.</w:t>
      </w:r>
    </w:p>
    <w:p w14:paraId="24E2DCC4"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Where a conflict of interests arises for a Trustee because s/he owes a duty of loyalty to another organisation or person and the conflict is not authorised by virtue of any provision in the above Article 17 of the Articles of Association of the Charity, the unconflicted Trustees may authorise such a conflict of interests where the following conditions apply:</w:t>
      </w:r>
    </w:p>
    <w:p w14:paraId="445A660B" w14:textId="77777777" w:rsidR="006D10AD" w:rsidRDefault="00190A2B" w:rsidP="006D10AD">
      <w:pPr>
        <w:pStyle w:val="ListParagraph"/>
        <w:numPr>
          <w:ilvl w:val="0"/>
          <w:numId w:val="46"/>
        </w:numPr>
        <w:rPr>
          <w:rFonts w:ascii="Segoe UI" w:hAnsi="Segoe UI" w:cs="Segoe UI"/>
          <w:sz w:val="22"/>
          <w:szCs w:val="22"/>
        </w:rPr>
      </w:pPr>
      <w:r w:rsidRPr="006D10AD">
        <w:rPr>
          <w:rFonts w:ascii="Segoe UI" w:hAnsi="Segoe UI" w:cs="Segoe UI"/>
          <w:sz w:val="22"/>
          <w:szCs w:val="22"/>
        </w:rPr>
        <w:t>The Trustees ask for permission from the Charity Commission’s before a benefit for a Trustee is authorised that is not either authorised in the Charity’s Articles of Association or is not already authorised in writing from the Commission.</w:t>
      </w:r>
    </w:p>
    <w:p w14:paraId="34E6A098" w14:textId="77777777" w:rsidR="006D10AD" w:rsidRDefault="006D10AD" w:rsidP="006D10AD">
      <w:pPr>
        <w:pStyle w:val="ListParagraph"/>
        <w:numPr>
          <w:ilvl w:val="0"/>
          <w:numId w:val="46"/>
        </w:numPr>
        <w:rPr>
          <w:rFonts w:ascii="Segoe UI" w:hAnsi="Segoe UI" w:cs="Segoe UI"/>
          <w:sz w:val="22"/>
          <w:szCs w:val="22"/>
        </w:rPr>
      </w:pPr>
      <w:r>
        <w:rPr>
          <w:rFonts w:ascii="Segoe UI" w:hAnsi="Segoe UI" w:cs="Segoe UI"/>
          <w:sz w:val="22"/>
          <w:szCs w:val="22"/>
        </w:rPr>
        <w:t>T</w:t>
      </w:r>
      <w:r w:rsidR="00190A2B" w:rsidRPr="006D10AD">
        <w:rPr>
          <w:rFonts w:ascii="Segoe UI" w:hAnsi="Segoe UI" w:cs="Segoe UI"/>
          <w:sz w:val="22"/>
          <w:szCs w:val="22"/>
        </w:rPr>
        <w:t>he Trustee who has declared the conflict of interest withdraws from the part of the meeting at which there is discussion of any arrangement or transaction affecting that other organisation or person;</w:t>
      </w:r>
    </w:p>
    <w:p w14:paraId="413955C4" w14:textId="77777777" w:rsidR="006D10AD" w:rsidRDefault="006D10AD" w:rsidP="006D10AD">
      <w:pPr>
        <w:pStyle w:val="ListParagraph"/>
        <w:numPr>
          <w:ilvl w:val="0"/>
          <w:numId w:val="46"/>
        </w:numPr>
        <w:rPr>
          <w:rFonts w:ascii="Segoe UI" w:hAnsi="Segoe UI" w:cs="Segoe UI"/>
          <w:sz w:val="22"/>
          <w:szCs w:val="22"/>
        </w:rPr>
      </w:pPr>
      <w:r>
        <w:rPr>
          <w:rFonts w:ascii="Segoe UI" w:hAnsi="Segoe UI" w:cs="Segoe UI"/>
          <w:sz w:val="22"/>
          <w:szCs w:val="22"/>
        </w:rPr>
        <w:t>T</w:t>
      </w:r>
      <w:r w:rsidR="00190A2B" w:rsidRPr="006D10AD">
        <w:rPr>
          <w:rFonts w:ascii="Segoe UI" w:hAnsi="Segoe UI" w:cs="Segoe UI"/>
          <w:sz w:val="22"/>
          <w:szCs w:val="22"/>
        </w:rPr>
        <w:t>he Trustee who has the conflict of interest does not vote on any such matter and is not to be counted when considering whether a quorum of Trustees is present at the meeting;</w:t>
      </w:r>
    </w:p>
    <w:p w14:paraId="2219C4C8" w14:textId="77777777" w:rsidR="006D10AD" w:rsidRDefault="006D10AD" w:rsidP="006D10AD">
      <w:pPr>
        <w:pStyle w:val="ListParagraph"/>
        <w:numPr>
          <w:ilvl w:val="0"/>
          <w:numId w:val="46"/>
        </w:numPr>
        <w:rPr>
          <w:rFonts w:ascii="Segoe UI" w:hAnsi="Segoe UI" w:cs="Segoe UI"/>
          <w:sz w:val="22"/>
          <w:szCs w:val="22"/>
        </w:rPr>
      </w:pPr>
      <w:r>
        <w:rPr>
          <w:rFonts w:ascii="Segoe UI" w:hAnsi="Segoe UI" w:cs="Segoe UI"/>
          <w:sz w:val="22"/>
          <w:szCs w:val="22"/>
        </w:rPr>
        <w:t>T</w:t>
      </w:r>
      <w:r w:rsidR="00190A2B" w:rsidRPr="006D10AD">
        <w:rPr>
          <w:rFonts w:ascii="Segoe UI" w:hAnsi="Segoe UI" w:cs="Segoe UI"/>
          <w:sz w:val="22"/>
          <w:szCs w:val="22"/>
        </w:rPr>
        <w:t>he other Trustees who have no conflict of interest in this matter consider it is in the interests of the Charity to authorise the conflict of interest in the circumstances.</w:t>
      </w:r>
    </w:p>
    <w:p w14:paraId="7D7738C3" w14:textId="519EF33D" w:rsidR="00190A2B" w:rsidRPr="006D10AD" w:rsidRDefault="006D10AD" w:rsidP="006D10AD">
      <w:pPr>
        <w:pStyle w:val="ListParagraph"/>
        <w:numPr>
          <w:ilvl w:val="0"/>
          <w:numId w:val="46"/>
        </w:numPr>
        <w:rPr>
          <w:rFonts w:ascii="Segoe UI" w:hAnsi="Segoe UI" w:cs="Segoe UI"/>
          <w:sz w:val="22"/>
          <w:szCs w:val="22"/>
        </w:rPr>
      </w:pPr>
      <w:r>
        <w:rPr>
          <w:rFonts w:ascii="Segoe UI" w:hAnsi="Segoe UI" w:cs="Segoe UI"/>
          <w:sz w:val="22"/>
          <w:szCs w:val="22"/>
        </w:rPr>
        <w:t>A</w:t>
      </w:r>
      <w:r w:rsidR="00190A2B" w:rsidRPr="006D10AD">
        <w:rPr>
          <w:rFonts w:ascii="Segoe UI" w:hAnsi="Segoe UI" w:cs="Segoe UI"/>
          <w:sz w:val="22"/>
          <w:szCs w:val="22"/>
        </w:rPr>
        <w:t>ny such disclosed conflict of interests and the subsequent discussions, actions and decisions taken will be noted in the minutes.</w:t>
      </w:r>
    </w:p>
    <w:p w14:paraId="61C97B76" w14:textId="77777777" w:rsidR="00190A2B" w:rsidRPr="00190A2B" w:rsidRDefault="00190A2B" w:rsidP="006D10AD">
      <w:pPr>
        <w:rPr>
          <w:rFonts w:ascii="Segoe UI" w:hAnsi="Segoe UI" w:cs="Segoe UI"/>
          <w:sz w:val="22"/>
          <w:szCs w:val="22"/>
        </w:rPr>
      </w:pPr>
      <w:r w:rsidRPr="00190A2B">
        <w:rPr>
          <w:rFonts w:ascii="Segoe UI" w:hAnsi="Segoe UI" w:cs="Segoe UI"/>
          <w:sz w:val="22"/>
          <w:szCs w:val="22"/>
        </w:rPr>
        <w:t>For all other potential conflicts of interest, the Trustees will ask the Charity Commission to advise, and that advice will be recorded in the minutes. The Trustees will record in writing all steps taken to implement that advice.</w:t>
      </w:r>
    </w:p>
    <w:p w14:paraId="099249FE" w14:textId="77777777" w:rsidR="00190A2B" w:rsidRPr="00190A2B" w:rsidRDefault="00190A2B" w:rsidP="00190A2B">
      <w:pPr>
        <w:rPr>
          <w:rFonts w:ascii="Segoe UI" w:hAnsi="Segoe UI" w:cs="Segoe UI"/>
          <w:sz w:val="22"/>
          <w:szCs w:val="22"/>
        </w:rPr>
      </w:pPr>
    </w:p>
    <w:p w14:paraId="4C2D4CDF"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Benefits</w:t>
      </w:r>
    </w:p>
    <w:p w14:paraId="00EAD850" w14:textId="77777777" w:rsidR="00190A2B" w:rsidRPr="00190A2B" w:rsidRDefault="00190A2B" w:rsidP="00190A2B">
      <w:pPr>
        <w:rPr>
          <w:rFonts w:ascii="Segoe UI" w:hAnsi="Segoe UI" w:cs="Segoe UI"/>
          <w:sz w:val="22"/>
          <w:szCs w:val="22"/>
        </w:rPr>
      </w:pPr>
      <w:r w:rsidRPr="00190A2B">
        <w:rPr>
          <w:rFonts w:ascii="Segoe UI" w:hAnsi="Segoe UI" w:cs="Segoe UI"/>
          <w:sz w:val="22"/>
          <w:szCs w:val="22"/>
        </w:rPr>
        <w:t xml:space="preserve">It is essential that a Trustee does not derive any benefit from any transaction to which the Charity is a party unless and until s/he has beforehand considered legal authority to do so. Examples: payment by the Charity to a Trustee of a salary, payment by the Charity to a Trustee for goods or services, or sale of property to a Trustee by the Charity at below market value. That legal authority may come from a clause in the </w:t>
      </w:r>
      <w:r w:rsidRPr="00190A2B">
        <w:rPr>
          <w:rFonts w:ascii="Segoe UI" w:hAnsi="Segoe UI" w:cs="Segoe UI"/>
          <w:sz w:val="22"/>
          <w:szCs w:val="22"/>
          <w:lang w:val="en"/>
        </w:rPr>
        <w:t>Articles of Association</w:t>
      </w:r>
      <w:r w:rsidRPr="00190A2B">
        <w:rPr>
          <w:rFonts w:ascii="Segoe UI" w:hAnsi="Segoe UI" w:cs="Segoe UI"/>
          <w:sz w:val="22"/>
          <w:szCs w:val="22"/>
        </w:rPr>
        <w:t>, a statutory provision, the Charity Commission or the court.</w:t>
      </w:r>
    </w:p>
    <w:p w14:paraId="4C792B9C" w14:textId="77777777" w:rsidR="00190A2B" w:rsidRDefault="00190A2B" w:rsidP="00190A2B">
      <w:pPr>
        <w:rPr>
          <w:rFonts w:ascii="Segoe UI" w:hAnsi="Segoe UI" w:cs="Segoe UI"/>
          <w:sz w:val="22"/>
          <w:szCs w:val="22"/>
        </w:rPr>
      </w:pPr>
    </w:p>
    <w:p w14:paraId="5F6CFC5D" w14:textId="77777777" w:rsidR="00A020DA" w:rsidRPr="00190A2B" w:rsidRDefault="00A020DA" w:rsidP="00190A2B">
      <w:pPr>
        <w:rPr>
          <w:rFonts w:ascii="Segoe UI" w:hAnsi="Segoe UI" w:cs="Segoe UI"/>
          <w:sz w:val="22"/>
          <w:szCs w:val="22"/>
        </w:rPr>
      </w:pPr>
    </w:p>
    <w:p w14:paraId="5F8AE280"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lastRenderedPageBreak/>
        <w:t>Data Protection</w:t>
      </w:r>
    </w:p>
    <w:p w14:paraId="6E204434" w14:textId="77777777" w:rsidR="00190A2B" w:rsidRPr="00190A2B" w:rsidRDefault="00190A2B" w:rsidP="00190A2B">
      <w:pPr>
        <w:rPr>
          <w:rFonts w:ascii="Segoe UI" w:hAnsi="Segoe UI" w:cs="Segoe UI"/>
          <w:sz w:val="22"/>
          <w:szCs w:val="22"/>
        </w:rPr>
      </w:pPr>
      <w:r w:rsidRPr="00190A2B">
        <w:rPr>
          <w:rFonts w:ascii="Segoe UI" w:hAnsi="Segoe UI" w:cs="Segoe UI"/>
          <w:sz w:val="22"/>
          <w:szCs w:val="22"/>
        </w:rPr>
        <w:t>The information provided in declarations of interests will be processed in accordance with the Data Protection Legislation. Data will be processed only to ensure that Trustees act in the best interests of the Charity. The information provided will not be used for any other purpose.</w:t>
      </w:r>
    </w:p>
    <w:p w14:paraId="66E57AD2" w14:textId="77777777" w:rsidR="00190A2B" w:rsidRPr="00190A2B" w:rsidRDefault="00190A2B" w:rsidP="00190A2B">
      <w:pPr>
        <w:rPr>
          <w:rFonts w:ascii="Segoe UI" w:hAnsi="Segoe UI" w:cs="Segoe UI"/>
          <w:sz w:val="22"/>
          <w:szCs w:val="22"/>
        </w:rPr>
      </w:pPr>
      <w:r w:rsidRPr="00190A2B">
        <w:rPr>
          <w:rFonts w:ascii="Segoe UI" w:hAnsi="Segoe UI" w:cs="Segoe UI"/>
          <w:sz w:val="22"/>
          <w:szCs w:val="22"/>
        </w:rPr>
        <w:t xml:space="preserve">The “Data Protection Legislation” means all applicable legislation in force from time to time in the United Kingdom applicable to data protection and privacy including, but not limited to the retained EU law version of the General Data Protection Regulation ((EU) 2016/679) (the “UK GDPR”), as it forms part of the law of England and Wales, Scotland, and Northern Ireland by virtue of section 3 of the European Union (Withdrawal) Act 2018; the Data Protection Act 2018 (and regulations made thereunder); and the Privacy and Electronic Communications Regulations 2003, as amended. </w:t>
      </w:r>
    </w:p>
    <w:p w14:paraId="0CA5B4EA" w14:textId="77777777" w:rsidR="00190A2B" w:rsidRPr="00190A2B" w:rsidRDefault="00190A2B" w:rsidP="00190A2B">
      <w:pPr>
        <w:rPr>
          <w:rFonts w:ascii="Segoe UI" w:hAnsi="Segoe UI" w:cs="Segoe UI"/>
          <w:b/>
          <w:bCs/>
          <w:sz w:val="22"/>
          <w:szCs w:val="22"/>
        </w:rPr>
      </w:pPr>
    </w:p>
    <w:p w14:paraId="4C1A3AB1" w14:textId="77777777" w:rsidR="00190A2B" w:rsidRPr="00190A2B" w:rsidRDefault="00190A2B" w:rsidP="00190A2B">
      <w:pPr>
        <w:numPr>
          <w:ilvl w:val="0"/>
          <w:numId w:val="35"/>
        </w:numPr>
        <w:rPr>
          <w:rFonts w:ascii="Segoe UI" w:hAnsi="Segoe UI" w:cs="Segoe UI"/>
          <w:b/>
          <w:bCs/>
          <w:sz w:val="22"/>
          <w:szCs w:val="22"/>
        </w:rPr>
      </w:pPr>
      <w:r w:rsidRPr="00190A2B">
        <w:rPr>
          <w:rFonts w:ascii="Segoe UI" w:hAnsi="Segoe UI" w:cs="Segoe UI"/>
          <w:b/>
          <w:bCs/>
          <w:sz w:val="22"/>
          <w:szCs w:val="22"/>
        </w:rPr>
        <w:t>General</w:t>
      </w:r>
    </w:p>
    <w:p w14:paraId="254A6F4B" w14:textId="77777777" w:rsidR="00190A2B" w:rsidRPr="00190A2B" w:rsidRDefault="00190A2B" w:rsidP="004D4262">
      <w:pPr>
        <w:rPr>
          <w:rFonts w:ascii="Segoe UI" w:hAnsi="Segoe UI" w:cs="Segoe UI"/>
          <w:sz w:val="22"/>
          <w:szCs w:val="22"/>
        </w:rPr>
      </w:pPr>
      <w:r w:rsidRPr="00190A2B">
        <w:rPr>
          <w:rFonts w:ascii="Segoe UI" w:hAnsi="Segoe UI" w:cs="Segoe UI"/>
          <w:sz w:val="22"/>
          <w:szCs w:val="22"/>
        </w:rPr>
        <w:t>This policy is meant to supplement good judgment. Trustees, staff and volunteers should respect its spirit as well as its wording.</w:t>
      </w:r>
    </w:p>
    <w:p w14:paraId="339C65AA" w14:textId="77777777" w:rsidR="00190A2B" w:rsidRPr="00190A2B" w:rsidRDefault="00190A2B" w:rsidP="004D4262">
      <w:pPr>
        <w:rPr>
          <w:rFonts w:ascii="Segoe UI" w:hAnsi="Segoe UI" w:cs="Segoe UI"/>
          <w:sz w:val="22"/>
          <w:szCs w:val="22"/>
        </w:rPr>
      </w:pPr>
      <w:r w:rsidRPr="00190A2B">
        <w:rPr>
          <w:rFonts w:ascii="Segoe UI" w:hAnsi="Segoe UI" w:cs="Segoe UI"/>
          <w:sz w:val="22"/>
          <w:szCs w:val="22"/>
        </w:rPr>
        <w:t>The Trustees will bring this policy to the attention of all senior staff when they are recruited and then on an annual basis. Senior staff should in turn take appropriate steps to bring this policy to the attention of all other staff and volunteers.</w:t>
      </w:r>
    </w:p>
    <w:p w14:paraId="11F5074C" w14:textId="77777777" w:rsidR="00190A2B" w:rsidRPr="00190A2B" w:rsidRDefault="00190A2B" w:rsidP="00190A2B">
      <w:pPr>
        <w:rPr>
          <w:rFonts w:ascii="Segoe UI" w:hAnsi="Segoe UI" w:cs="Segoe UI"/>
          <w:sz w:val="22"/>
          <w:szCs w:val="22"/>
        </w:rPr>
      </w:pPr>
    </w:p>
    <w:bookmarkEnd w:id="0"/>
    <w:p w14:paraId="0025AE9A" w14:textId="77777777" w:rsidR="00190A2B" w:rsidRPr="00190A2B" w:rsidRDefault="00190A2B" w:rsidP="00190A2B">
      <w:pPr>
        <w:rPr>
          <w:rFonts w:ascii="Segoe UI" w:hAnsi="Segoe UI" w:cs="Segoe UI"/>
          <w:sz w:val="22"/>
          <w:szCs w:val="22"/>
        </w:rPr>
      </w:pPr>
    </w:p>
    <w:p w14:paraId="7CD734EC" w14:textId="77777777" w:rsidR="005F5CEC" w:rsidRPr="00437AF5" w:rsidRDefault="005F5CEC" w:rsidP="00190A2B"/>
    <w:sectPr w:rsidR="005F5CEC" w:rsidRPr="00437AF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971D" w14:textId="77777777" w:rsidR="00087D67" w:rsidRDefault="00087D67" w:rsidP="00C163FF">
      <w:pPr>
        <w:spacing w:after="0" w:line="240" w:lineRule="auto"/>
      </w:pPr>
      <w:r>
        <w:separator/>
      </w:r>
    </w:p>
  </w:endnote>
  <w:endnote w:type="continuationSeparator" w:id="0">
    <w:p w14:paraId="637A436B" w14:textId="77777777" w:rsidR="00087D67" w:rsidRDefault="00087D67" w:rsidP="00C1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CBD5" w14:textId="77777777" w:rsidR="00087D67" w:rsidRDefault="00087D67" w:rsidP="00C163FF">
      <w:pPr>
        <w:spacing w:after="0" w:line="240" w:lineRule="auto"/>
      </w:pPr>
      <w:r>
        <w:separator/>
      </w:r>
    </w:p>
  </w:footnote>
  <w:footnote w:type="continuationSeparator" w:id="0">
    <w:p w14:paraId="0509CEC0" w14:textId="77777777" w:rsidR="00087D67" w:rsidRDefault="00087D67" w:rsidP="00C1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5AAF" w14:textId="138D4AAD" w:rsidR="00236005" w:rsidRPr="00236005" w:rsidRDefault="00236005" w:rsidP="00236005">
    <w:pPr>
      <w:pStyle w:val="Header"/>
      <w:jc w:val="right"/>
    </w:pPr>
    <w:r w:rsidRPr="00236005">
      <w:drawing>
        <wp:anchor distT="0" distB="0" distL="114300" distR="114300" simplePos="0" relativeHeight="251658240" behindDoc="0" locked="0" layoutInCell="1" allowOverlap="1" wp14:anchorId="5239B937" wp14:editId="0670BFEC">
          <wp:simplePos x="0" y="0"/>
          <wp:positionH relativeFrom="column">
            <wp:posOffset>-696595</wp:posOffset>
          </wp:positionH>
          <wp:positionV relativeFrom="paragraph">
            <wp:posOffset>-210004</wp:posOffset>
          </wp:positionV>
          <wp:extent cx="1842087" cy="674915"/>
          <wp:effectExtent l="0" t="0" r="6350" b="0"/>
          <wp:wrapNone/>
          <wp:docPr id="43101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087" cy="674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D2825" w14:textId="67B8B028" w:rsidR="00C163FF" w:rsidRDefault="00C163FF" w:rsidP="00C163FF">
    <w:pPr>
      <w:pStyle w:val="Header"/>
      <w:jc w:val="right"/>
    </w:pPr>
    <w:r>
      <w:t xml:space="preserve">Board Approval – </w:t>
    </w:r>
  </w:p>
  <w:p w14:paraId="08B9EB6A" w14:textId="371306D1" w:rsidR="00C163FF" w:rsidRDefault="00C163FF" w:rsidP="00C163FF">
    <w:pPr>
      <w:pStyle w:val="Header"/>
      <w:jc w:val="right"/>
    </w:pPr>
    <w:r>
      <w:t xml:space="preserve">Review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749"/>
    <w:multiLevelType w:val="hybridMultilevel"/>
    <w:tmpl w:val="0F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137"/>
    <w:multiLevelType w:val="multilevel"/>
    <w:tmpl w:val="BCBE7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741B"/>
    <w:multiLevelType w:val="multilevel"/>
    <w:tmpl w:val="114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D0C42"/>
    <w:multiLevelType w:val="hybridMultilevel"/>
    <w:tmpl w:val="0EFC1502"/>
    <w:lvl w:ilvl="0" w:tplc="58F04928">
      <w:start w:val="1"/>
      <w:numFmt w:val="decimal"/>
      <w:lvlText w:val="5.2.%1"/>
      <w:lvlJc w:val="left"/>
      <w:pPr>
        <w:ind w:left="2138" w:hanging="360"/>
      </w:p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start w:val="1"/>
      <w:numFmt w:val="decimal"/>
      <w:lvlText w:val="%4."/>
      <w:lvlJc w:val="left"/>
      <w:pPr>
        <w:ind w:left="4298" w:hanging="360"/>
      </w:pPr>
    </w:lvl>
    <w:lvl w:ilvl="4" w:tplc="08090019">
      <w:start w:val="1"/>
      <w:numFmt w:val="lowerLetter"/>
      <w:lvlText w:val="%5."/>
      <w:lvlJc w:val="left"/>
      <w:pPr>
        <w:ind w:left="5018" w:hanging="360"/>
      </w:pPr>
    </w:lvl>
    <w:lvl w:ilvl="5" w:tplc="0809001B">
      <w:start w:val="1"/>
      <w:numFmt w:val="lowerRoman"/>
      <w:lvlText w:val="%6."/>
      <w:lvlJc w:val="right"/>
      <w:pPr>
        <w:ind w:left="5738" w:hanging="180"/>
      </w:pPr>
    </w:lvl>
    <w:lvl w:ilvl="6" w:tplc="0809000F">
      <w:start w:val="1"/>
      <w:numFmt w:val="decimal"/>
      <w:lvlText w:val="%7."/>
      <w:lvlJc w:val="left"/>
      <w:pPr>
        <w:ind w:left="6458" w:hanging="360"/>
      </w:pPr>
    </w:lvl>
    <w:lvl w:ilvl="7" w:tplc="08090019">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4" w15:restartNumberingAfterBreak="0">
    <w:nsid w:val="0D9A7A08"/>
    <w:multiLevelType w:val="multilevel"/>
    <w:tmpl w:val="A654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F3E07"/>
    <w:multiLevelType w:val="hybridMultilevel"/>
    <w:tmpl w:val="22E0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669B"/>
    <w:multiLevelType w:val="hybridMultilevel"/>
    <w:tmpl w:val="35569B6A"/>
    <w:lvl w:ilvl="0" w:tplc="8DE88C76">
      <w:start w:val="1"/>
      <w:numFmt w:val="decimal"/>
      <w:lvlText w:val="1.%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7" w15:restartNumberingAfterBreak="0">
    <w:nsid w:val="18912796"/>
    <w:multiLevelType w:val="multilevel"/>
    <w:tmpl w:val="CD26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638E8"/>
    <w:multiLevelType w:val="hybridMultilevel"/>
    <w:tmpl w:val="9EC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F1D94"/>
    <w:multiLevelType w:val="multilevel"/>
    <w:tmpl w:val="DC9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E46D5"/>
    <w:multiLevelType w:val="multilevel"/>
    <w:tmpl w:val="3D60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D51BC"/>
    <w:multiLevelType w:val="multilevel"/>
    <w:tmpl w:val="ADC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25480"/>
    <w:multiLevelType w:val="hybridMultilevel"/>
    <w:tmpl w:val="DEF4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1483A"/>
    <w:multiLevelType w:val="hybridMultilevel"/>
    <w:tmpl w:val="C682085A"/>
    <w:lvl w:ilvl="0" w:tplc="D58AA414">
      <w:start w:val="1"/>
      <w:numFmt w:val="decimal"/>
      <w:lvlText w:val="3.3.%1"/>
      <w:lvlJc w:val="left"/>
      <w:pPr>
        <w:ind w:left="2138" w:hanging="360"/>
      </w:pPr>
      <w:rPr>
        <w:b w:val="0"/>
        <w:sz w:val="22"/>
      </w:r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start w:val="1"/>
      <w:numFmt w:val="decimal"/>
      <w:lvlText w:val="%4."/>
      <w:lvlJc w:val="left"/>
      <w:pPr>
        <w:ind w:left="4298" w:hanging="360"/>
      </w:pPr>
    </w:lvl>
    <w:lvl w:ilvl="4" w:tplc="08090019">
      <w:start w:val="1"/>
      <w:numFmt w:val="lowerLetter"/>
      <w:lvlText w:val="%5."/>
      <w:lvlJc w:val="left"/>
      <w:pPr>
        <w:ind w:left="5018" w:hanging="360"/>
      </w:pPr>
    </w:lvl>
    <w:lvl w:ilvl="5" w:tplc="0809001B">
      <w:start w:val="1"/>
      <w:numFmt w:val="lowerRoman"/>
      <w:lvlText w:val="%6."/>
      <w:lvlJc w:val="right"/>
      <w:pPr>
        <w:ind w:left="5738" w:hanging="180"/>
      </w:pPr>
    </w:lvl>
    <w:lvl w:ilvl="6" w:tplc="0809000F">
      <w:start w:val="1"/>
      <w:numFmt w:val="decimal"/>
      <w:lvlText w:val="%7."/>
      <w:lvlJc w:val="left"/>
      <w:pPr>
        <w:ind w:left="6458" w:hanging="360"/>
      </w:pPr>
    </w:lvl>
    <w:lvl w:ilvl="7" w:tplc="08090019">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14" w15:restartNumberingAfterBreak="0">
    <w:nsid w:val="310014EC"/>
    <w:multiLevelType w:val="hybridMultilevel"/>
    <w:tmpl w:val="D08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D4D1C"/>
    <w:multiLevelType w:val="hybridMultilevel"/>
    <w:tmpl w:val="067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A0014"/>
    <w:multiLevelType w:val="hybridMultilevel"/>
    <w:tmpl w:val="7F3CB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7A0E80"/>
    <w:multiLevelType w:val="multilevel"/>
    <w:tmpl w:val="D3A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763A3"/>
    <w:multiLevelType w:val="hybridMultilevel"/>
    <w:tmpl w:val="A632530A"/>
    <w:lvl w:ilvl="0" w:tplc="71927278">
      <w:start w:val="1"/>
      <w:numFmt w:val="decimal"/>
      <w:lvlText w:val="8.%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9" w15:restartNumberingAfterBreak="0">
    <w:nsid w:val="401E7215"/>
    <w:multiLevelType w:val="multilevel"/>
    <w:tmpl w:val="A28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64E36"/>
    <w:multiLevelType w:val="hybridMultilevel"/>
    <w:tmpl w:val="31B09A90"/>
    <w:lvl w:ilvl="0" w:tplc="F8F8E97C">
      <w:start w:val="1"/>
      <w:numFmt w:val="decimal"/>
      <w:lvlText w:val="2.%1"/>
      <w:lvlJc w:val="left"/>
      <w:pPr>
        <w:ind w:left="1429" w:hanging="360"/>
      </w:pPr>
      <w:rPr>
        <w:b w:val="0"/>
        <w:i w:val="0"/>
        <w:sz w:val="22"/>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21" w15:restartNumberingAfterBreak="0">
    <w:nsid w:val="410816ED"/>
    <w:multiLevelType w:val="hybridMultilevel"/>
    <w:tmpl w:val="1A50F932"/>
    <w:lvl w:ilvl="0" w:tplc="C65E7AB6">
      <w:start w:val="1"/>
      <w:numFmt w:val="decimal"/>
      <w:lvlText w:val="3.%1"/>
      <w:lvlJc w:val="left"/>
      <w:pPr>
        <w:ind w:left="1429" w:hanging="360"/>
      </w:pPr>
      <w:rPr>
        <w:rFonts w:ascii="Arial" w:hAnsi="Arial" w:cs="Arial"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22" w15:restartNumberingAfterBreak="0">
    <w:nsid w:val="41826A01"/>
    <w:multiLevelType w:val="multilevel"/>
    <w:tmpl w:val="E04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50229"/>
    <w:multiLevelType w:val="hybridMultilevel"/>
    <w:tmpl w:val="2B8C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63BCB"/>
    <w:multiLevelType w:val="hybridMultilevel"/>
    <w:tmpl w:val="417A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11DD6"/>
    <w:multiLevelType w:val="multilevel"/>
    <w:tmpl w:val="B75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B10DF"/>
    <w:multiLevelType w:val="hybridMultilevel"/>
    <w:tmpl w:val="B998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424CA"/>
    <w:multiLevelType w:val="hybridMultilevel"/>
    <w:tmpl w:val="8BFCB3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174D3"/>
    <w:multiLevelType w:val="hybridMultilevel"/>
    <w:tmpl w:val="474C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E0748"/>
    <w:multiLevelType w:val="hybridMultilevel"/>
    <w:tmpl w:val="8AB02AB2"/>
    <w:lvl w:ilvl="0" w:tplc="AA249962">
      <w:start w:val="1"/>
      <w:numFmt w:val="decimal"/>
      <w:lvlText w:val="4.%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30" w15:restartNumberingAfterBreak="0">
    <w:nsid w:val="562E6CDB"/>
    <w:multiLevelType w:val="hybridMultilevel"/>
    <w:tmpl w:val="0A90868A"/>
    <w:lvl w:ilvl="0" w:tplc="FBFA702E">
      <w:start w:val="1"/>
      <w:numFmt w:val="decimal"/>
      <w:lvlText w:val="5.%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31" w15:restartNumberingAfterBreak="0">
    <w:nsid w:val="57867908"/>
    <w:multiLevelType w:val="multilevel"/>
    <w:tmpl w:val="F90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11E79"/>
    <w:multiLevelType w:val="hybridMultilevel"/>
    <w:tmpl w:val="EECA5A8A"/>
    <w:lvl w:ilvl="0" w:tplc="6C86BF10">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15:restartNumberingAfterBreak="0">
    <w:nsid w:val="62785FC0"/>
    <w:multiLevelType w:val="multilevel"/>
    <w:tmpl w:val="130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706C8"/>
    <w:multiLevelType w:val="multilevel"/>
    <w:tmpl w:val="CD1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41D7"/>
    <w:multiLevelType w:val="hybridMultilevel"/>
    <w:tmpl w:val="B69E3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409BE"/>
    <w:multiLevelType w:val="multilevel"/>
    <w:tmpl w:val="DB8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6180E"/>
    <w:multiLevelType w:val="multilevel"/>
    <w:tmpl w:val="F1C6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A36DF"/>
    <w:multiLevelType w:val="multilevel"/>
    <w:tmpl w:val="AF4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8590C"/>
    <w:multiLevelType w:val="hybridMultilevel"/>
    <w:tmpl w:val="C704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7627D"/>
    <w:multiLevelType w:val="hybridMultilevel"/>
    <w:tmpl w:val="933854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203622"/>
    <w:multiLevelType w:val="multilevel"/>
    <w:tmpl w:val="D35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03CCB"/>
    <w:multiLevelType w:val="multilevel"/>
    <w:tmpl w:val="EAF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ED6E1A"/>
    <w:multiLevelType w:val="multilevel"/>
    <w:tmpl w:val="763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D90D22"/>
    <w:multiLevelType w:val="hybridMultilevel"/>
    <w:tmpl w:val="85B29C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93097650">
    <w:abstractNumId w:val="44"/>
  </w:num>
  <w:num w:numId="2" w16cid:durableId="66533511">
    <w:abstractNumId w:val="27"/>
  </w:num>
  <w:num w:numId="3" w16cid:durableId="92434541">
    <w:abstractNumId w:val="15"/>
  </w:num>
  <w:num w:numId="4" w16cid:durableId="259409307">
    <w:abstractNumId w:val="28"/>
  </w:num>
  <w:num w:numId="5" w16cid:durableId="281739420">
    <w:abstractNumId w:val="35"/>
  </w:num>
  <w:num w:numId="6" w16cid:durableId="1870487377">
    <w:abstractNumId w:val="5"/>
  </w:num>
  <w:num w:numId="7" w16cid:durableId="1978411635">
    <w:abstractNumId w:val="26"/>
  </w:num>
  <w:num w:numId="8" w16cid:durableId="1195382824">
    <w:abstractNumId w:val="0"/>
  </w:num>
  <w:num w:numId="9" w16cid:durableId="2125612769">
    <w:abstractNumId w:val="40"/>
  </w:num>
  <w:num w:numId="10" w16cid:durableId="598370577">
    <w:abstractNumId w:val="1"/>
  </w:num>
  <w:num w:numId="11" w16cid:durableId="1867517880">
    <w:abstractNumId w:val="17"/>
  </w:num>
  <w:num w:numId="12" w16cid:durableId="1633171494">
    <w:abstractNumId w:val="16"/>
  </w:num>
  <w:num w:numId="13" w16cid:durableId="1655405677">
    <w:abstractNumId w:val="12"/>
  </w:num>
  <w:num w:numId="14" w16cid:durableId="2101875864">
    <w:abstractNumId w:val="22"/>
  </w:num>
  <w:num w:numId="15" w16cid:durableId="1587226875">
    <w:abstractNumId w:val="36"/>
  </w:num>
  <w:num w:numId="16" w16cid:durableId="2088915593">
    <w:abstractNumId w:val="11"/>
  </w:num>
  <w:num w:numId="17" w16cid:durableId="695036529">
    <w:abstractNumId w:val="2"/>
  </w:num>
  <w:num w:numId="18" w16cid:durableId="1910341450">
    <w:abstractNumId w:val="31"/>
  </w:num>
  <w:num w:numId="19" w16cid:durableId="1705981803">
    <w:abstractNumId w:val="33"/>
  </w:num>
  <w:num w:numId="20" w16cid:durableId="154033370">
    <w:abstractNumId w:val="25"/>
  </w:num>
  <w:num w:numId="21" w16cid:durableId="2031298796">
    <w:abstractNumId w:val="14"/>
  </w:num>
  <w:num w:numId="22" w16cid:durableId="1927349445">
    <w:abstractNumId w:val="7"/>
  </w:num>
  <w:num w:numId="23" w16cid:durableId="1778987033">
    <w:abstractNumId w:val="42"/>
  </w:num>
  <w:num w:numId="24" w16cid:durableId="1763187799">
    <w:abstractNumId w:val="38"/>
  </w:num>
  <w:num w:numId="25" w16cid:durableId="795028769">
    <w:abstractNumId w:val="37"/>
  </w:num>
  <w:num w:numId="26" w16cid:durableId="1917203586">
    <w:abstractNumId w:val="10"/>
  </w:num>
  <w:num w:numId="27" w16cid:durableId="495078876">
    <w:abstractNumId w:val="23"/>
  </w:num>
  <w:num w:numId="28" w16cid:durableId="882330885">
    <w:abstractNumId w:val="19"/>
  </w:num>
  <w:num w:numId="29" w16cid:durableId="93286667">
    <w:abstractNumId w:val="43"/>
  </w:num>
  <w:num w:numId="30" w16cid:durableId="1959919792">
    <w:abstractNumId w:val="34"/>
  </w:num>
  <w:num w:numId="31" w16cid:durableId="883982183">
    <w:abstractNumId w:val="4"/>
  </w:num>
  <w:num w:numId="32" w16cid:durableId="354429914">
    <w:abstractNumId w:val="9"/>
  </w:num>
  <w:num w:numId="33" w16cid:durableId="144594164">
    <w:abstractNumId w:val="41"/>
  </w:num>
  <w:num w:numId="34" w16cid:durableId="62877703">
    <w:abstractNumId w:val="8"/>
  </w:num>
  <w:num w:numId="35" w16cid:durableId="5120360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8641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9347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7755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9421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71305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88423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1019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2047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181021">
    <w:abstractNumId w:val="3"/>
  </w:num>
  <w:num w:numId="45" w16cid:durableId="725682287">
    <w:abstractNumId w:val="24"/>
  </w:num>
  <w:num w:numId="46" w16cid:durableId="2156297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E"/>
    <w:rsid w:val="00087D67"/>
    <w:rsid w:val="00096DB2"/>
    <w:rsid w:val="00190A2B"/>
    <w:rsid w:val="00193DD0"/>
    <w:rsid w:val="00236005"/>
    <w:rsid w:val="00286D9E"/>
    <w:rsid w:val="00437AF5"/>
    <w:rsid w:val="004D4262"/>
    <w:rsid w:val="0051506A"/>
    <w:rsid w:val="005F5CEC"/>
    <w:rsid w:val="006D10AD"/>
    <w:rsid w:val="00A020DA"/>
    <w:rsid w:val="00B956BB"/>
    <w:rsid w:val="00C163FF"/>
    <w:rsid w:val="00F7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D8E65"/>
  <w15:chartTrackingRefBased/>
  <w15:docId w15:val="{4F263E39-0993-43F2-93BE-A5EFFC78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D9E"/>
    <w:rPr>
      <w:rFonts w:eastAsiaTheme="majorEastAsia" w:cstheme="majorBidi"/>
      <w:color w:val="272727" w:themeColor="text1" w:themeTint="D8"/>
    </w:rPr>
  </w:style>
  <w:style w:type="paragraph" w:styleId="Title">
    <w:name w:val="Title"/>
    <w:basedOn w:val="Normal"/>
    <w:next w:val="Normal"/>
    <w:link w:val="TitleChar"/>
    <w:uiPriority w:val="10"/>
    <w:qFormat/>
    <w:rsid w:val="00286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9E"/>
    <w:pPr>
      <w:spacing w:before="160"/>
      <w:jc w:val="center"/>
    </w:pPr>
    <w:rPr>
      <w:i/>
      <w:iCs/>
      <w:color w:val="404040" w:themeColor="text1" w:themeTint="BF"/>
    </w:rPr>
  </w:style>
  <w:style w:type="character" w:customStyle="1" w:styleId="QuoteChar">
    <w:name w:val="Quote Char"/>
    <w:basedOn w:val="DefaultParagraphFont"/>
    <w:link w:val="Quote"/>
    <w:uiPriority w:val="29"/>
    <w:rsid w:val="00286D9E"/>
    <w:rPr>
      <w:i/>
      <w:iCs/>
      <w:color w:val="404040" w:themeColor="text1" w:themeTint="BF"/>
    </w:rPr>
  </w:style>
  <w:style w:type="paragraph" w:styleId="ListParagraph">
    <w:name w:val="List Paragraph"/>
    <w:basedOn w:val="Normal"/>
    <w:uiPriority w:val="34"/>
    <w:qFormat/>
    <w:rsid w:val="00286D9E"/>
    <w:pPr>
      <w:ind w:left="720"/>
      <w:contextualSpacing/>
    </w:pPr>
  </w:style>
  <w:style w:type="character" w:styleId="IntenseEmphasis">
    <w:name w:val="Intense Emphasis"/>
    <w:basedOn w:val="DefaultParagraphFont"/>
    <w:uiPriority w:val="21"/>
    <w:qFormat/>
    <w:rsid w:val="00286D9E"/>
    <w:rPr>
      <w:i/>
      <w:iCs/>
      <w:color w:val="0F4761" w:themeColor="accent1" w:themeShade="BF"/>
    </w:rPr>
  </w:style>
  <w:style w:type="paragraph" w:styleId="IntenseQuote">
    <w:name w:val="Intense Quote"/>
    <w:basedOn w:val="Normal"/>
    <w:next w:val="Normal"/>
    <w:link w:val="IntenseQuoteChar"/>
    <w:uiPriority w:val="30"/>
    <w:qFormat/>
    <w:rsid w:val="0028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D9E"/>
    <w:rPr>
      <w:i/>
      <w:iCs/>
      <w:color w:val="0F4761" w:themeColor="accent1" w:themeShade="BF"/>
    </w:rPr>
  </w:style>
  <w:style w:type="character" w:styleId="IntenseReference">
    <w:name w:val="Intense Reference"/>
    <w:basedOn w:val="DefaultParagraphFont"/>
    <w:uiPriority w:val="32"/>
    <w:qFormat/>
    <w:rsid w:val="00286D9E"/>
    <w:rPr>
      <w:b/>
      <w:bCs/>
      <w:smallCaps/>
      <w:color w:val="0F4761" w:themeColor="accent1" w:themeShade="BF"/>
      <w:spacing w:val="5"/>
    </w:rPr>
  </w:style>
  <w:style w:type="table" w:styleId="TableGrid">
    <w:name w:val="Table Grid"/>
    <w:basedOn w:val="TableNormal"/>
    <w:uiPriority w:val="39"/>
    <w:rsid w:val="00286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FF"/>
  </w:style>
  <w:style w:type="paragraph" w:styleId="Footer">
    <w:name w:val="footer"/>
    <w:basedOn w:val="Normal"/>
    <w:link w:val="FooterChar"/>
    <w:uiPriority w:val="99"/>
    <w:unhideWhenUsed/>
    <w:rsid w:val="00C1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FF"/>
  </w:style>
  <w:style w:type="character" w:styleId="Hyperlink">
    <w:name w:val="Hyperlink"/>
    <w:uiPriority w:val="99"/>
    <w:rsid w:val="00C163FF"/>
    <w:rPr>
      <w:color w:val="0000FF"/>
      <w:u w:val="single"/>
    </w:rPr>
  </w:style>
  <w:style w:type="paragraph" w:styleId="NormalWeb">
    <w:name w:val="Normal (Web)"/>
    <w:basedOn w:val="Normal"/>
    <w:uiPriority w:val="99"/>
    <w:semiHidden/>
    <w:rsid w:val="00C163FF"/>
    <w:pPr>
      <w:spacing w:before="100" w:beforeAutospacing="1" w:after="100" w:afterAutospacing="1" w:line="336" w:lineRule="auto"/>
    </w:pPr>
    <w:rPr>
      <w:rFonts w:ascii="Times New Roman" w:eastAsia="Times New Roman" w:hAnsi="Times New Roman"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51506A"/>
    <w:rPr>
      <w:color w:val="605E5C"/>
      <w:shd w:val="clear" w:color="auto" w:fill="E1DFDD"/>
    </w:rPr>
  </w:style>
  <w:style w:type="character" w:styleId="Strong">
    <w:name w:val="Strong"/>
    <w:basedOn w:val="DefaultParagraphFont"/>
    <w:uiPriority w:val="22"/>
    <w:qFormat/>
    <w:rsid w:val="00096DB2"/>
    <w:rPr>
      <w:b/>
      <w:bCs/>
    </w:rPr>
  </w:style>
  <w:style w:type="character" w:customStyle="1" w:styleId="whitespace-normal">
    <w:name w:val="whitespace-normal"/>
    <w:basedOn w:val="DefaultParagraphFont"/>
    <w:rsid w:val="005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A8A95-0263-47C2-A52A-F49290D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Lauren Moore</cp:lastModifiedBy>
  <cp:revision>5</cp:revision>
  <dcterms:created xsi:type="dcterms:W3CDTF">2026-03-27T21:58:00Z</dcterms:created>
  <dcterms:modified xsi:type="dcterms:W3CDTF">2026-03-27T22:02:00Z</dcterms:modified>
</cp:coreProperties>
</file>