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464A" w14:textId="77777777" w:rsidR="00DF11E1" w:rsidRPr="00DF11E1" w:rsidRDefault="00DF11E1" w:rsidP="00DF11E1">
      <w:pPr>
        <w:spacing w:after="0"/>
      </w:pPr>
      <w:r w:rsidRPr="00DF11E1">
        <w:t>[YOUR NAME]</w:t>
      </w:r>
    </w:p>
    <w:p w14:paraId="50BA58E0" w14:textId="77777777" w:rsidR="00DF11E1" w:rsidRPr="00DF11E1" w:rsidRDefault="00DF11E1" w:rsidP="00DF11E1">
      <w:pPr>
        <w:spacing w:after="0"/>
      </w:pPr>
      <w:r w:rsidRPr="00DF11E1">
        <w:t>[YOUR ADDRESS]</w:t>
      </w:r>
    </w:p>
    <w:p w14:paraId="17F07AF8" w14:textId="77777777" w:rsidR="00DF11E1" w:rsidRPr="00DF11E1" w:rsidRDefault="00DF11E1" w:rsidP="00DF11E1">
      <w:pPr>
        <w:spacing w:after="0"/>
      </w:pPr>
      <w:r w:rsidRPr="00DF11E1">
        <w:t>[SUBURB AND POSTCODE]</w:t>
      </w:r>
    </w:p>
    <w:p w14:paraId="7FAA3DA7" w14:textId="68475FFF" w:rsidR="00DF11E1" w:rsidRPr="00DF11E1" w:rsidRDefault="00DF11E1" w:rsidP="00DF11E1"/>
    <w:p w14:paraId="410C2D66" w14:textId="77777777" w:rsidR="00DF11E1" w:rsidRPr="00DF11E1" w:rsidRDefault="00DF11E1" w:rsidP="00DF11E1">
      <w:r w:rsidRPr="00DF11E1">
        <w:t>[TODAY’S DATE}</w:t>
      </w:r>
    </w:p>
    <w:p w14:paraId="4310DF50" w14:textId="795FBAAF" w:rsidR="00DF11E1" w:rsidRPr="00DF11E1" w:rsidRDefault="00DF11E1" w:rsidP="00DF11E1">
      <w:pPr>
        <w:spacing w:after="0"/>
      </w:pPr>
      <w:r w:rsidRPr="00DF11E1">
        <w:br/>
        <w:t>To: Springfield City Group</w:t>
      </w:r>
    </w:p>
    <w:p w14:paraId="7953E00B" w14:textId="77777777" w:rsidR="00DF11E1" w:rsidRPr="00DF11E1" w:rsidRDefault="00DF11E1" w:rsidP="00DF11E1">
      <w:pPr>
        <w:spacing w:after="0"/>
      </w:pPr>
      <w:r w:rsidRPr="00DF11E1">
        <w:t xml:space="preserve">PO Box 4167, Springfield QLD 4300 </w:t>
      </w:r>
    </w:p>
    <w:p w14:paraId="69711947" w14:textId="7B199974" w:rsidR="00DF11E1" w:rsidRPr="00DF11E1" w:rsidRDefault="00DF11E1" w:rsidP="00DF11E1">
      <w:r w:rsidRPr="00DF11E1">
        <w:br/>
        <w:t>Dear Minister for the Environment and Water</w:t>
      </w:r>
    </w:p>
    <w:p w14:paraId="139CFD77" w14:textId="2020E177" w:rsidR="00EC730B" w:rsidRPr="00EC730B" w:rsidRDefault="00DF11E1">
      <w:pPr>
        <w:rPr>
          <w:b/>
          <w:bCs/>
        </w:rPr>
      </w:pPr>
      <w:r w:rsidRPr="00DF11E1">
        <w:rPr>
          <w:b/>
          <w:bCs/>
        </w:rPr>
        <w:t>REF: EPBC case number 2020/8629</w:t>
      </w:r>
      <w:r w:rsidR="00EC730B" w:rsidRPr="00EC730B">
        <w:rPr>
          <w:b/>
          <w:bCs/>
        </w:rPr>
        <w:t xml:space="preserve">, Queensland </w:t>
      </w:r>
    </w:p>
    <w:p w14:paraId="112CB3E1" w14:textId="77777777" w:rsidR="00EC730B" w:rsidRDefault="00EC730B"/>
    <w:p w14:paraId="6BCAEED8" w14:textId="77777777" w:rsidR="00EC730B" w:rsidRDefault="00EC730B">
      <w:r w:rsidRPr="00EC730B">
        <w:t xml:space="preserve">I refer to a proposal to clear 18 Ha of Koala habitat by Springfield City Group on Lot 163 SP303741. This was deemed to be a “controlled action” in 2020, with Assessment by Preliminary Documentation. </w:t>
      </w:r>
    </w:p>
    <w:p w14:paraId="395F01BD" w14:textId="77777777" w:rsidR="00EC730B" w:rsidRPr="00EC730B" w:rsidRDefault="00EC730B">
      <w:pPr>
        <w:rPr>
          <w:b/>
          <w:bCs/>
        </w:rPr>
      </w:pPr>
      <w:r w:rsidRPr="00EC730B">
        <w:rPr>
          <w:b/>
          <w:bCs/>
        </w:rPr>
        <w:t xml:space="preserve">This referral should be rejected due to the unacceptable impact to EPBC-listed species (including the Endangered Koala), and other Matters of National Environmental Significance. </w:t>
      </w:r>
    </w:p>
    <w:p w14:paraId="000C520D" w14:textId="77777777" w:rsidR="00EC730B" w:rsidRPr="00DF11E1" w:rsidRDefault="00EC730B" w:rsidP="00EC730B">
      <w:pPr>
        <w:pStyle w:val="Subtitle"/>
        <w:rPr>
          <w:rFonts w:asciiTheme="majorHAnsi" w:hAnsiTheme="majorHAnsi"/>
          <w:color w:val="0F4761" w:themeColor="accent1" w:themeShade="BF"/>
          <w:spacing w:val="0"/>
          <w:sz w:val="32"/>
          <w:szCs w:val="32"/>
        </w:rPr>
      </w:pPr>
      <w:r w:rsidRPr="00DF11E1">
        <w:rPr>
          <w:rFonts w:asciiTheme="majorHAnsi" w:hAnsiTheme="majorHAnsi"/>
          <w:color w:val="0F4761" w:themeColor="accent1" w:themeShade="BF"/>
          <w:spacing w:val="0"/>
          <w:sz w:val="32"/>
          <w:szCs w:val="32"/>
        </w:rPr>
        <w:t xml:space="preserve">EPBC threatened species within the referral area </w:t>
      </w:r>
    </w:p>
    <w:p w14:paraId="4D6539EA" w14:textId="474BA743" w:rsidR="00EC730B" w:rsidRDefault="00EC730B">
      <w:r w:rsidRPr="00EC730B">
        <w:t>The Peninsula Precinct project area occupies a total land area of 18 ha within ‘Woogaroo Forest.” This eucalypt forest contains remnants scattered across Bellbird Park, Goodna, Redbank, Camira, Brookwater, Redbank Plains and even Collingwood Park and has been locally labelled as the “Woogaroo Forest.” The entirety of this ‘Woogaroo Forest’ area is considered to contain ‘critical habitat’ for the Shaggy-Leaved Plectranthus (Coleus habrophyllus), Angle-Stemmed Myrtle (Gossia gonoclada) (Endangered, EPBC; Critically Endangered, NCA), Koala (Endangered, EPBC), Grey headed Flying-fox (Vulnerable, EPBC), Swift Parrot (Critically Endangered, EPBC) and Regent Honeyeater (Critically Endangered, EPBC). Clearing of EPBC-listed species’ habitat is ill-advised and squarely ‘unacceptable impact’, as doing so would render these listed species at a higher level of endangerment, regardless of o</w:t>
      </w:r>
      <w:r w:rsidR="00904FCB">
        <w:t>ff</w:t>
      </w:r>
      <w:r w:rsidRPr="00EC730B">
        <w:t xml:space="preserve">set attempts. </w:t>
      </w:r>
    </w:p>
    <w:p w14:paraId="2232F33A" w14:textId="1807569E" w:rsidR="00EC730B" w:rsidRDefault="00EC730B">
      <w:r w:rsidRPr="00EC730B">
        <w:t xml:space="preserve">Regarding the </w:t>
      </w:r>
      <w:r w:rsidRPr="00EC730B">
        <w:rPr>
          <w:b/>
          <w:bCs/>
        </w:rPr>
        <w:t>Swift Parrot</w:t>
      </w:r>
      <w:r w:rsidRPr="00EC730B">
        <w:t xml:space="preserve">, the presence of eucalypt dominated vegetation communities in the referral area provides suitable foraging habitat for this species, particularly during winter flowering events. This species is nearly impossible to survey for outside of breeding areas during migration, however, they have been observed just 500m from the referral area, making it completely plausible that this species utilises the referral area. Indeed, an assessment of foraging habitat values for the Swift Parrot within </w:t>
      </w:r>
      <w:r w:rsidRPr="00EC730B">
        <w:lastRenderedPageBreak/>
        <w:t xml:space="preserve">the referral area identified the presence of preferred foraging species (Corymbia citriodora and Eucalyptus tereticornis) listed under the National Recovery Plan for the Swift Parrot. The proposal will result in the removal of preferred foraging species and as such, a significant residual impact is anticipated, likely pushing this Critically Endangered species toward further endangerment of extinction. </w:t>
      </w:r>
    </w:p>
    <w:p w14:paraId="64409EDB" w14:textId="77777777" w:rsidR="00EC730B" w:rsidRDefault="00EC730B">
      <w:r w:rsidRPr="00EC730B">
        <w:t xml:space="preserve">Regarding </w:t>
      </w:r>
      <w:r w:rsidRPr="00EC730B">
        <w:rPr>
          <w:b/>
          <w:bCs/>
        </w:rPr>
        <w:t>Regent Honeyeater</w:t>
      </w:r>
      <w:r w:rsidRPr="00EC730B">
        <w:t xml:space="preserve">, an assessment of foraging habitat values within the referral area identified the presence of preferred foraging species, including Corymbia citriodora and Eucalyptus fibrosa, that are listed under the National Recovery Plan for the Regent Honeyeater. The proposal will result in the removal of preferred foraging species and as such, a significant residual impact to this Critically Endangered species is anticipated. </w:t>
      </w:r>
    </w:p>
    <w:p w14:paraId="523F2292" w14:textId="77777777" w:rsidR="00474AF2" w:rsidRDefault="00EC730B">
      <w:r w:rsidRPr="00EC730B">
        <w:t xml:space="preserve">Another EPBC-listed species highly likely to occur in the referral area is the </w:t>
      </w:r>
      <w:r w:rsidRPr="00EC730B">
        <w:rPr>
          <w:b/>
          <w:bCs/>
        </w:rPr>
        <w:t>Collared Delma (Delma torquata) (Vulnerable, EPBC</w:t>
      </w:r>
      <w:r w:rsidRPr="00EC730B">
        <w:t>). The Collared Delma is the smallest species in the legless lizard (Pygopodidae) family, weighing around 2 grams and reaching total lengths of around 10cm. Endemic to south-east Queensland, with many records found around the western suburbs of Brisbane, and with suitable habitat within the referral area, this species is likely to occur there. Without pitfall trapping survey technique or active rock-turning, this small, semi-fossorial species would never be encountered during walking observation-only surveys through an area, which is what techniques Saunders and Havill group employed during their environmental surveys of the area. The Collared Delma has been found in nearby areas in similar habitat, so there is no reason to suspect they would not occur in the referral area. Being a relatively sedentary species with undoubtedly small home-ranges, many populations live within a 10 x 10m area. The main threat to the species is the destruction or modification of habitat for urban and agricultural development, with the removal of surface rocks of particular concern- exactly what this development will do, with fauna spotter catchers unable to save and relocate such small and fossorial species during pre-clear surveys.</w:t>
      </w:r>
    </w:p>
    <w:p w14:paraId="2FE52171" w14:textId="77777777" w:rsidR="00474AF2" w:rsidRDefault="00EC730B" w:rsidP="00474AF2">
      <w:pPr>
        <w:pStyle w:val="Heading2"/>
      </w:pPr>
      <w:r w:rsidRPr="00EC730B">
        <w:t xml:space="preserve"> Functional ecosystem supporting species of special concern </w:t>
      </w:r>
    </w:p>
    <w:p w14:paraId="12F2C63F" w14:textId="77777777" w:rsidR="00474AF2" w:rsidRDefault="00EC730B">
      <w:r w:rsidRPr="00EC730B">
        <w:t xml:space="preserve">Furthermore, beyond the significant impacts to EPBC-listed species, the proposed project will result in the removal and loss of a functional ecosystem that supports the many other species of special importance such as Short-beaked Echidna, Frilled Lizard, Platypus, and the Powerful Owl (Vulnerable, NCA). While not an EPBC-listed species, having an apex predator like Powerful Owls nest and roost in and around Woogaroo Forest is a strong indication of the high biodiversity and habitat values the area contains. Furthermore, the Powerful Owls in the area have attracted considerable public attention, garnering strong local and broader public interest in conserving them and their habitat. </w:t>
      </w:r>
    </w:p>
    <w:p w14:paraId="13A23BF1" w14:textId="402F4806" w:rsidR="00474AF2" w:rsidRDefault="00EC730B">
      <w:r w:rsidRPr="00EC730B">
        <w:lastRenderedPageBreak/>
        <w:t xml:space="preserve">Of particular interest regarding species of special concern is the </w:t>
      </w:r>
      <w:r w:rsidRPr="00474AF2">
        <w:rPr>
          <w:b/>
          <w:bCs/>
        </w:rPr>
        <w:t>Frilled Lizard</w:t>
      </w:r>
      <w:r w:rsidRPr="00EC730B">
        <w:t xml:space="preserve"> (Chlamydosaurus kingii). This species has experienced severe declines in the southernmost portion of their range encompassing SE Qld. Colleagues and I are preparing a scientific paper for peer-review, which utilised 80 surveys combined with 15 years of Atlas of Living Australia database records, revealing a steep decline of Frilled Lizards in SE Qld, dropping 4.7-fold (470%) in just 15 years. Our findings, which account for overall changes in observations added to ALA over that time-period in SE 2 Qld, illustrates that this species may meet the EPBC Criterion 2C1 (Critically Endangered: An observed, estimated, or projected continuing decline of at least 25% in 1 generation (15–20 years)). Our results highlight the urgent need for immediate habitat protection of this species, particularly in SE Qld. Of special interest, the last remaining population in the southern portion of its range exists in Woogaroo Forest, which contains the referral area. Indeed, a juvenile specimen was recorded in Feb. 2025 less than 1km (of continuous forest) from the referral area, confirming a breeding population adjacent the referral area. It is therefore highly likely that the referral area provides habitat for this species, and this development will negatively a</w:t>
      </w:r>
      <w:r w:rsidR="00DF11E1">
        <w:t>ff</w:t>
      </w:r>
      <w:r w:rsidRPr="00EC730B">
        <w:t xml:space="preserve">ect this possibly critically endangered species. </w:t>
      </w:r>
    </w:p>
    <w:p w14:paraId="708CF157" w14:textId="77777777" w:rsidR="00904FCB" w:rsidRDefault="00EC730B">
      <w:r w:rsidRPr="00EC730B">
        <w:t>In addition, esteemed botanist Lloyd Bird states “</w:t>
      </w:r>
      <w:r w:rsidRPr="00474AF2">
        <w:rPr>
          <w:b/>
          <w:bCs/>
        </w:rPr>
        <w:t>the Woogaroo Vine Scrub</w:t>
      </w:r>
      <w:r w:rsidRPr="00EC730B">
        <w:t xml:space="preserve"> is one of only four remaining in SEQ.” It is imperative for the conservation of other listed flora species that the Woogaroo forest remains intact, notably Scaly Myrtle (Gossia hillii) and Slender Milkvine (Leichardtia coronata) (Vulnerable, NCA).” </w:t>
      </w:r>
    </w:p>
    <w:p w14:paraId="095CF9AE" w14:textId="77777777" w:rsidR="00904FCB" w:rsidRDefault="00EC730B" w:rsidP="00904FCB">
      <w:pPr>
        <w:pStyle w:val="Heading2"/>
      </w:pPr>
      <w:r w:rsidRPr="00EC730B">
        <w:t xml:space="preserve">30 by 30 </w:t>
      </w:r>
    </w:p>
    <w:p w14:paraId="0325FC26" w14:textId="2876627B" w:rsidR="00904FCB" w:rsidRDefault="00EC730B">
      <w:r w:rsidRPr="00EC730B">
        <w:t>The Federal Government has agreed to an international commitment under the Kunming-Montreal Global Biodiversity Framework—a global agreement to stem biodiversity loss—to protecting 30% of Australia’s land and sea by 2030. This 30% figure is based on decades of peer-reviewed scientific literature and proposed by experts as being a minimal figure to sustain ecosystems that sustain humans and our economy (&gt;50% of which relies on a functional environment). Australia’s National Reserve System, as of 30June2024 covered around 22% of Australia’s land, falling 8% short of the 30% figure. The Ipswich City Council region has less than 21% of its land protected, making for the perfect case to purchase the Peninsula Precinct and adjacent parcels making up Woogaroo Forest (which includes the referral area) to create a ‘</w:t>
      </w:r>
      <w:r w:rsidRPr="00904FCB">
        <w:rPr>
          <w:b/>
          <w:bCs/>
        </w:rPr>
        <w:t xml:space="preserve">gem of Ipswich.’ </w:t>
      </w:r>
      <w:r w:rsidRPr="00EC730B">
        <w:t xml:space="preserve">How to practically do this is explained in the subsequent section. </w:t>
      </w:r>
    </w:p>
    <w:p w14:paraId="3363EBAD" w14:textId="71F1BCCB" w:rsidR="00904FCB" w:rsidRDefault="00EC730B" w:rsidP="00904FCB">
      <w:pPr>
        <w:pStyle w:val="Heading2"/>
      </w:pPr>
      <w:r w:rsidRPr="00EC730B">
        <w:t>Nature laws and environmental o</w:t>
      </w:r>
      <w:r w:rsidR="00904FCB">
        <w:t>ff</w:t>
      </w:r>
      <w:r w:rsidRPr="00EC730B">
        <w:t xml:space="preserve">sets </w:t>
      </w:r>
    </w:p>
    <w:p w14:paraId="4EF733C8" w14:textId="60D1BF00" w:rsidR="00904FCB" w:rsidRDefault="00EC730B">
      <w:r w:rsidRPr="00EC730B">
        <w:t xml:space="preserve">New reforms to Australia’s nature laws in December 2025 include recognition of damage to critical habitat as an ‘unacceptable impact.’ Clearing (destroying) of habitat in Lot 163 SP303741 “Peninsula Precinct” that supports all the </w:t>
      </w:r>
      <w:r w:rsidR="00DF11E1" w:rsidRPr="00EC730B">
        <w:t>EPBC</w:t>
      </w:r>
      <w:r w:rsidRPr="00EC730B">
        <w:t xml:space="preserve"> listed species undoubtedly constitutes unacceptable impact. Not only will vegetation which supports </w:t>
      </w:r>
      <w:r w:rsidRPr="00EC730B">
        <w:lastRenderedPageBreak/>
        <w:t xml:space="preserve">threatened species be removed, but flooding conditions will be exacerbated by the presence of exposed earth, reducing water absorption into the soil, thereby increasing the volume of flood waters, plus increasing the speed of those waters. Such changed conditions will undoubtedly cause sedimentation build-up in deep pools in the creek (‘sand slugs’), removing the resilience of the creeks to a warming climate and extreme temperatures, plus cause erosion of creek banks that irreversibly damage both Woogaroo Creek and Opossum Creek, both of which support the declining </w:t>
      </w:r>
      <w:r w:rsidRPr="00904FCB">
        <w:rPr>
          <w:b/>
          <w:bCs/>
        </w:rPr>
        <w:t>Platypus,</w:t>
      </w:r>
      <w:r w:rsidRPr="00EC730B">
        <w:t xml:space="preserve"> a species of special concern that has been shown to have concerning declines in the past 10 years in SEQ. In addition, once proposed homes are built, impervious surfaces will further increase the severity of flooding into Woogaroo</w:t>
      </w:r>
      <w:r w:rsidR="00904FCB">
        <w:t xml:space="preserve"> </w:t>
      </w:r>
      <w:r w:rsidRPr="00EC730B">
        <w:t xml:space="preserve">Creek and Opossum Creek by increasing the speed and quantity of water during storms. The severity and frequency of super-cell storms in SEQ make land-clearing and development on slopes in this region, such as the referral area, particularly irresponsible. </w:t>
      </w:r>
    </w:p>
    <w:p w14:paraId="6D0DEA73" w14:textId="56DDC280" w:rsidR="00904FCB" w:rsidRDefault="00EC730B">
      <w:r w:rsidRPr="00EC730B">
        <w:t xml:space="preserve">The solution: The referral and surrounding land (Woogaroo Forest) could be purchased using </w:t>
      </w:r>
      <w:r w:rsidRPr="00904FCB">
        <w:rPr>
          <w:b/>
          <w:bCs/>
        </w:rPr>
        <w:t>financial o</w:t>
      </w:r>
      <w:r w:rsidR="00904FCB" w:rsidRPr="00904FCB">
        <w:rPr>
          <w:b/>
          <w:bCs/>
        </w:rPr>
        <w:t>ff</w:t>
      </w:r>
      <w:r w:rsidRPr="00904FCB">
        <w:rPr>
          <w:b/>
          <w:bCs/>
        </w:rPr>
        <w:t>set accounts</w:t>
      </w:r>
      <w:r w:rsidRPr="00EC730B">
        <w:t xml:space="preserve"> (currently sitting at ~$100M in Qld unused) and utilised as a Key Biodiversity Area for threatened species habitat and for a sustainable birdwatching industry, carving out part of the $2.6B birdwatching industry nationally annually. This new parcel of protected estate could be included in the network of conserved areas, also called Other E</w:t>
      </w:r>
      <w:r w:rsidR="00904FCB">
        <w:t>ff</w:t>
      </w:r>
      <w:r w:rsidRPr="00EC730B">
        <w:t>ective Area-based Conservation Measures (OECMs).</w:t>
      </w:r>
    </w:p>
    <w:p w14:paraId="652F4824" w14:textId="3AEB8FC2" w:rsidR="00904FCB" w:rsidRDefault="00EC730B">
      <w:r w:rsidRPr="00EC730B">
        <w:t xml:space="preserve"> The biodiversity financial-o</w:t>
      </w:r>
      <w:r w:rsidR="00904FCB">
        <w:t>ff</w:t>
      </w:r>
      <w:r w:rsidRPr="00EC730B">
        <w:t>set account is weakening in value with every year the money sits unused. Land prices are continually going up, resulting in a significant drop in purchasing power by that account. For example, prices of land have doubled in some places (e.g. western VIC) in the last 10 years. Indeed, o</w:t>
      </w:r>
      <w:r w:rsidR="00904FCB">
        <w:t>ff</w:t>
      </w:r>
      <w:r w:rsidRPr="00EC730B">
        <w:t>sets often fall short of their stated goal: to achieve at least no net loss of a</w:t>
      </w:r>
      <w:r w:rsidR="00904FCB">
        <w:t>ff</w:t>
      </w:r>
      <w:r w:rsidRPr="00EC730B">
        <w:t>ected biodiversity (Maron et al, 2025). This referral area provides a perfect opportunity to uphold best practice principles through rigorous implementation of no net loss of a</w:t>
      </w:r>
      <w:r w:rsidR="00904FCB">
        <w:t>ff</w:t>
      </w:r>
      <w:r w:rsidRPr="00EC730B">
        <w:t>ected biodiversity. Land clearing surrounding the referral area over the past 10 years renders this last remaining forest (Woogaroo Forest, 420ha, inclusive of the referral area) an exemplary use of the existing Qld financial o</w:t>
      </w:r>
      <w:r w:rsidR="00904FCB">
        <w:t>ff</w:t>
      </w:r>
      <w:r w:rsidRPr="00EC730B">
        <w:t xml:space="preserve">set account. </w:t>
      </w:r>
    </w:p>
    <w:p w14:paraId="3B291611" w14:textId="77777777" w:rsidR="00904FCB" w:rsidRDefault="00EC730B" w:rsidP="00904FCB">
      <w:pPr>
        <w:pStyle w:val="Heading2"/>
      </w:pPr>
      <w:r w:rsidRPr="00EC730B">
        <w:t xml:space="preserve">Cumulative impacts </w:t>
      </w:r>
    </w:p>
    <w:p w14:paraId="6E223449" w14:textId="067B8C9E" w:rsidR="00904FCB" w:rsidRDefault="00EC730B">
      <w:r w:rsidRPr="00EC730B">
        <w:t xml:space="preserve">New reforms to Australia’s nature laws in December 2025 include recognition of cumulative impacts to nature. Rather than project-by-project approval, these reforms now must explicitly consider the combined </w:t>
      </w:r>
      <w:r w:rsidR="00DF11E1" w:rsidRPr="00EC730B">
        <w:t>e</w:t>
      </w:r>
      <w:r w:rsidR="00DF11E1">
        <w:t>f</w:t>
      </w:r>
      <w:r w:rsidR="00DF11E1" w:rsidRPr="00EC730B">
        <w:t>fect</w:t>
      </w:r>
      <w:r w:rsidRPr="00EC730B">
        <w:t xml:space="preserve"> of multiple actions or conditions that create a greater impact. In this referral case, the surrounding areas (Springfield, Augustine Heights, Bellbird Park, Springfield Lakes, Spring Mountain, and Springfield Central) have all been developed (habitat destroyed) in the past 10–15 years, totalling 396 hectares of native vegetation that had no avoidance or mitigation (100% ‘o</w:t>
      </w:r>
      <w:r w:rsidR="00904FCB">
        <w:t>ff</w:t>
      </w:r>
      <w:r w:rsidRPr="00EC730B">
        <w:t xml:space="preserve">set’). </w:t>
      </w:r>
    </w:p>
    <w:p w14:paraId="027ADFCC" w14:textId="40C74BE3" w:rsidR="00904FCB" w:rsidRDefault="00EC730B">
      <w:r w:rsidRPr="00EC730B">
        <w:lastRenderedPageBreak/>
        <w:t xml:space="preserve">The referral area is part of the largest remaining intact habitat in this region, and one of the last remaining substantial land parcels in all of SE Qld, making it exceptionally valuable from a biological perspective. During the </w:t>
      </w:r>
      <w:r w:rsidR="00DF11E1" w:rsidRPr="00EC730B">
        <w:t>other</w:t>
      </w:r>
      <w:r w:rsidRPr="00EC730B">
        <w:t xml:space="preserve"> surrounding developments, animals would have been removed and brought to nearby uncleared areas such as Woogaroo Forest, concentrating the abundance of wildlife attempting to survive. A global review of conservation parcel sizes by Wintle et al (2017) confirmed that small patches contain more biodiversity per hectare than large patches. Thus, this paper, in combination with the new reforms to Australia’s nature laws that require the consideration of cumulative impacts, provide a powerful argument for redressing the neglect of small, isolated habitat patches such as Woogaroo Forest for urgently prioritising their protection and restoration. </w:t>
      </w:r>
    </w:p>
    <w:p w14:paraId="72653F82" w14:textId="1D97FF58" w:rsidR="00904FCB" w:rsidRDefault="00EC730B">
      <w:r w:rsidRPr="00EC730B">
        <w:t xml:space="preserve">This Peninsula Precinct referral area is of particular importance for local biodiversity and EPBC-listed species in the area due to extensive surrounding development that has rendered this lot the </w:t>
      </w:r>
      <w:r w:rsidRPr="00904FCB">
        <w:rPr>
          <w:b/>
          <w:bCs/>
        </w:rPr>
        <w:t>last remaining wildlife corridor connecting</w:t>
      </w:r>
      <w:r w:rsidRPr="00EC730B">
        <w:t xml:space="preserve"> Woogaroo Forest to the Greenbank Military Range (via </w:t>
      </w:r>
      <w:r w:rsidR="00DF11E1" w:rsidRPr="00EC730B">
        <w:t>Springfield Lakes River</w:t>
      </w:r>
      <w:r w:rsidRPr="00EC730B">
        <w:t xml:space="preserve"> corridors) through to Whiterock Conservation Area (via western Greenbank). Without habitat connectivity, the genetic viability, and thus population viability, of many species are at serious, unacceptable risk. For example, fragmentation of habitat is a well-known threat for the Endangered Koala (e.g. Frere et al, 2023), a species found regularly in the referral area and throughout Woogaroo Forest (an area verbally defined at the start of this letter). </w:t>
      </w:r>
      <w:r w:rsidRPr="00904FCB">
        <w:rPr>
          <w:b/>
          <w:bCs/>
        </w:rPr>
        <w:t>Greater Gliders</w:t>
      </w:r>
      <w:r w:rsidRPr="00EC730B">
        <w:t xml:space="preserve"> face similar population viability and habitat connectivity issues, and this species may be in the referral area due to confirmed sightings in nearby similar forests (Whiterock Conservation Area). As such, thermal drone surveys are required in winter to appropriately survey for this species in subtropical regions such as the referral area. </w:t>
      </w:r>
    </w:p>
    <w:p w14:paraId="57A6B0E1" w14:textId="77777777" w:rsidR="00904FCB" w:rsidRDefault="00EC730B" w:rsidP="00904FCB">
      <w:pPr>
        <w:pStyle w:val="Heading2"/>
      </w:pPr>
      <w:r w:rsidRPr="00EC730B">
        <w:t xml:space="preserve">Conclusion </w:t>
      </w:r>
    </w:p>
    <w:p w14:paraId="3F9FBCF1" w14:textId="31424D92" w:rsidR="00A468D0" w:rsidRPr="00DF11E1" w:rsidRDefault="00EC730B">
      <w:r w:rsidRPr="00EC730B">
        <w:t xml:space="preserve">Moreover, this proposed action is a controlled action that should be rejected due to the </w:t>
      </w:r>
      <w:r w:rsidRPr="00DF11E1">
        <w:t>myriad, serious EPBC-related concerns above.</w:t>
      </w:r>
    </w:p>
    <w:p w14:paraId="18984F9A" w14:textId="77777777" w:rsidR="00DF11E1" w:rsidRPr="00DF11E1" w:rsidRDefault="00DF11E1" w:rsidP="00DF11E1">
      <w:r w:rsidRPr="00DF11E1">
        <w:rPr>
          <w:i/>
          <w:iCs/>
        </w:rPr>
        <w:t>[Any final words you may have]</w:t>
      </w:r>
    </w:p>
    <w:p w14:paraId="7D6C266A" w14:textId="484B39A0" w:rsidR="00DF11E1" w:rsidRPr="00DF11E1" w:rsidRDefault="00DF11E1" w:rsidP="00DF11E1">
      <w:r w:rsidRPr="00DF11E1">
        <w:br/>
        <w:t>Yours sincerely,</w:t>
      </w:r>
    </w:p>
    <w:p w14:paraId="390AB20F" w14:textId="77777777" w:rsidR="00DF11E1" w:rsidRPr="00DF11E1" w:rsidRDefault="00DF11E1" w:rsidP="00DF11E1">
      <w:pPr>
        <w:rPr>
          <w:b/>
          <w:bCs/>
        </w:rPr>
      </w:pPr>
      <w:r w:rsidRPr="00DF11E1">
        <w:rPr>
          <w:b/>
          <w:bCs/>
        </w:rPr>
        <w:t>[YOUR NAME]</w:t>
      </w:r>
    </w:p>
    <w:p w14:paraId="02D3F26E" w14:textId="77777777" w:rsidR="00DF11E1" w:rsidRPr="00904FCB" w:rsidRDefault="00DF11E1">
      <w:pPr>
        <w:rPr>
          <w:b/>
          <w:bCs/>
        </w:rPr>
      </w:pPr>
    </w:p>
    <w:sectPr w:rsidR="00DF11E1" w:rsidRPr="00904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D19D1"/>
    <w:multiLevelType w:val="multilevel"/>
    <w:tmpl w:val="2C90D6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5259A8"/>
    <w:multiLevelType w:val="multilevel"/>
    <w:tmpl w:val="799E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11FCE"/>
    <w:multiLevelType w:val="multilevel"/>
    <w:tmpl w:val="CF9AD4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6661771"/>
    <w:multiLevelType w:val="multilevel"/>
    <w:tmpl w:val="F29AB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5143EF1"/>
    <w:multiLevelType w:val="multilevel"/>
    <w:tmpl w:val="B49C37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504D75"/>
    <w:multiLevelType w:val="multilevel"/>
    <w:tmpl w:val="7FCAD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CF0974"/>
    <w:multiLevelType w:val="multilevel"/>
    <w:tmpl w:val="9230E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5847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789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53716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77890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4845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26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190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5D"/>
    <w:rsid w:val="001B10A0"/>
    <w:rsid w:val="0042437B"/>
    <w:rsid w:val="00474AF2"/>
    <w:rsid w:val="00670A5D"/>
    <w:rsid w:val="00904FCB"/>
    <w:rsid w:val="00A468D0"/>
    <w:rsid w:val="00B2399A"/>
    <w:rsid w:val="00D477A6"/>
    <w:rsid w:val="00DF11E1"/>
    <w:rsid w:val="00E262A3"/>
    <w:rsid w:val="00EC7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65D"/>
  <w15:chartTrackingRefBased/>
  <w15:docId w15:val="{58FCDAF5-3373-4FAE-9835-EEB35C0E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5D"/>
    <w:rPr>
      <w:rFonts w:eastAsiaTheme="majorEastAsia" w:cstheme="majorBidi"/>
      <w:color w:val="272727" w:themeColor="text1" w:themeTint="D8"/>
    </w:rPr>
  </w:style>
  <w:style w:type="paragraph" w:styleId="Title">
    <w:name w:val="Title"/>
    <w:basedOn w:val="Normal"/>
    <w:next w:val="Normal"/>
    <w:link w:val="TitleChar"/>
    <w:uiPriority w:val="10"/>
    <w:qFormat/>
    <w:rsid w:val="00670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5D"/>
    <w:pPr>
      <w:spacing w:before="160"/>
      <w:jc w:val="center"/>
    </w:pPr>
    <w:rPr>
      <w:i/>
      <w:iCs/>
      <w:color w:val="404040" w:themeColor="text1" w:themeTint="BF"/>
    </w:rPr>
  </w:style>
  <w:style w:type="character" w:customStyle="1" w:styleId="QuoteChar">
    <w:name w:val="Quote Char"/>
    <w:basedOn w:val="DefaultParagraphFont"/>
    <w:link w:val="Quote"/>
    <w:uiPriority w:val="29"/>
    <w:rsid w:val="00670A5D"/>
    <w:rPr>
      <w:i/>
      <w:iCs/>
      <w:color w:val="404040" w:themeColor="text1" w:themeTint="BF"/>
    </w:rPr>
  </w:style>
  <w:style w:type="paragraph" w:styleId="ListParagraph">
    <w:name w:val="List Paragraph"/>
    <w:basedOn w:val="Normal"/>
    <w:uiPriority w:val="34"/>
    <w:qFormat/>
    <w:rsid w:val="00670A5D"/>
    <w:pPr>
      <w:ind w:left="720"/>
      <w:contextualSpacing/>
    </w:pPr>
  </w:style>
  <w:style w:type="character" w:styleId="IntenseEmphasis">
    <w:name w:val="Intense Emphasis"/>
    <w:basedOn w:val="DefaultParagraphFont"/>
    <w:uiPriority w:val="21"/>
    <w:qFormat/>
    <w:rsid w:val="00670A5D"/>
    <w:rPr>
      <w:i/>
      <w:iCs/>
      <w:color w:val="0F4761" w:themeColor="accent1" w:themeShade="BF"/>
    </w:rPr>
  </w:style>
  <w:style w:type="paragraph" w:styleId="IntenseQuote">
    <w:name w:val="Intense Quote"/>
    <w:basedOn w:val="Normal"/>
    <w:next w:val="Normal"/>
    <w:link w:val="IntenseQuoteChar"/>
    <w:uiPriority w:val="30"/>
    <w:qFormat/>
    <w:rsid w:val="0067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A5D"/>
    <w:rPr>
      <w:i/>
      <w:iCs/>
      <w:color w:val="0F4761" w:themeColor="accent1" w:themeShade="BF"/>
    </w:rPr>
  </w:style>
  <w:style w:type="character" w:styleId="IntenseReference">
    <w:name w:val="Intense Reference"/>
    <w:basedOn w:val="DefaultParagraphFont"/>
    <w:uiPriority w:val="32"/>
    <w:qFormat/>
    <w:rsid w:val="00670A5D"/>
    <w:rPr>
      <w:b/>
      <w:bCs/>
      <w:smallCaps/>
      <w:color w:val="0F4761" w:themeColor="accent1" w:themeShade="BF"/>
      <w:spacing w:val="5"/>
    </w:rPr>
  </w:style>
  <w:style w:type="character" w:styleId="Hyperlink">
    <w:name w:val="Hyperlink"/>
    <w:basedOn w:val="DefaultParagraphFont"/>
    <w:uiPriority w:val="99"/>
    <w:unhideWhenUsed/>
    <w:rsid w:val="00670A5D"/>
    <w:rPr>
      <w:color w:val="467886" w:themeColor="hyperlink"/>
      <w:u w:val="single"/>
    </w:rPr>
  </w:style>
  <w:style w:type="character" w:styleId="UnresolvedMention">
    <w:name w:val="Unresolved Mention"/>
    <w:basedOn w:val="DefaultParagraphFont"/>
    <w:uiPriority w:val="99"/>
    <w:semiHidden/>
    <w:unhideWhenUsed/>
    <w:rsid w:val="0067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1966</Words>
  <Characters>11329</Characters>
  <Application>Microsoft Office Word</Application>
  <DocSecurity>4</DocSecurity>
  <Lines>174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Singh</dc:creator>
  <cp:keywords/>
  <dc:description/>
  <cp:lastModifiedBy>Uma Singh</cp:lastModifiedBy>
  <cp:revision>2</cp:revision>
  <dcterms:created xsi:type="dcterms:W3CDTF">2025-12-29T09:12:00Z</dcterms:created>
  <dcterms:modified xsi:type="dcterms:W3CDTF">2025-12-29T09:12:00Z</dcterms:modified>
</cp:coreProperties>
</file>