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Universal Health Algorithm – Share Allocation Breakdown</w:t>
      </w:r>
    </w:p>
    <w:p>
      <w:r>
        <w:t>This document outlines the proposed share allocation for the Universal Health Algorithm (UHA) based on a total of 1,200 shares, representing a $60 million capital structure ($50,000 per share).</w:t>
      </w:r>
    </w:p>
    <w:tbl>
      <w:tblPr>
        <w:tblW w:type="auto" w:w="0"/>
        <w:tblLook w:firstColumn="1" w:firstRow="1" w:lastColumn="0" w:lastRow="0" w:noHBand="0" w:noVBand="1" w:val="04A0"/>
      </w:tblPr>
      <w:tblGrid>
        <w:gridCol w:w="2880"/>
        <w:gridCol w:w="2880"/>
        <w:gridCol w:w="2880"/>
      </w:tblGrid>
      <w:tr>
        <w:tc>
          <w:tcPr>
            <w:tcW w:type="dxa" w:w="2880"/>
          </w:tcPr>
          <w:p>
            <w:r>
              <w:t>Category</w:t>
            </w:r>
          </w:p>
        </w:tc>
        <w:tc>
          <w:tcPr>
            <w:tcW w:type="dxa" w:w="2880"/>
          </w:tcPr>
          <w:p>
            <w:r>
              <w:t>Shares</w:t>
            </w:r>
          </w:p>
        </w:tc>
        <w:tc>
          <w:tcPr>
            <w:tcW w:type="dxa" w:w="2880"/>
          </w:tcPr>
          <w:p>
            <w:r>
              <w:t>% Ownership</w:t>
            </w:r>
          </w:p>
        </w:tc>
      </w:tr>
      <w:tr>
        <w:tc>
          <w:tcPr>
            <w:tcW w:type="dxa" w:w="2880"/>
          </w:tcPr>
          <w:p>
            <w:r>
              <w:t>Founder (Aaron Roussos)</w:t>
            </w:r>
          </w:p>
        </w:tc>
        <w:tc>
          <w:tcPr>
            <w:tcW w:type="dxa" w:w="2880"/>
          </w:tcPr>
          <w:p>
            <w:r>
              <w:t>300</w:t>
            </w:r>
          </w:p>
        </w:tc>
        <w:tc>
          <w:tcPr>
            <w:tcW w:type="dxa" w:w="2880"/>
          </w:tcPr>
          <w:p>
            <w:r>
              <w:t>25.0%</w:t>
            </w:r>
          </w:p>
        </w:tc>
      </w:tr>
      <w:tr>
        <w:tc>
          <w:tcPr>
            <w:tcW w:type="dxa" w:w="2880"/>
          </w:tcPr>
          <w:p>
            <w:r>
              <w:t>Early Impact Investors (Founding 100)</w:t>
            </w:r>
          </w:p>
        </w:tc>
        <w:tc>
          <w:tcPr>
            <w:tcW w:type="dxa" w:w="2880"/>
          </w:tcPr>
          <w:p>
            <w:r>
              <w:t>400</w:t>
            </w:r>
          </w:p>
        </w:tc>
        <w:tc>
          <w:tcPr>
            <w:tcW w:type="dxa" w:w="2880"/>
          </w:tcPr>
          <w:p>
            <w:r>
              <w:t>33.3%</w:t>
            </w:r>
          </w:p>
        </w:tc>
      </w:tr>
      <w:tr>
        <w:tc>
          <w:tcPr>
            <w:tcW w:type="dxa" w:w="2880"/>
          </w:tcPr>
          <w:p>
            <w:r>
              <w:t>Strategic Partners / Advisors</w:t>
            </w:r>
          </w:p>
        </w:tc>
        <w:tc>
          <w:tcPr>
            <w:tcW w:type="dxa" w:w="2880"/>
          </w:tcPr>
          <w:p>
            <w:r>
              <w:t>100</w:t>
            </w:r>
          </w:p>
        </w:tc>
        <w:tc>
          <w:tcPr>
            <w:tcW w:type="dxa" w:w="2880"/>
          </w:tcPr>
          <w:p>
            <w:r>
              <w:t>8.3%</w:t>
            </w:r>
          </w:p>
        </w:tc>
      </w:tr>
      <w:tr>
        <w:tc>
          <w:tcPr>
            <w:tcW w:type="dxa" w:w="2880"/>
          </w:tcPr>
          <w:p>
            <w:r>
              <w:t>Global Outreach &amp; Education Fund</w:t>
            </w:r>
          </w:p>
        </w:tc>
        <w:tc>
          <w:tcPr>
            <w:tcW w:type="dxa" w:w="2880"/>
          </w:tcPr>
          <w:p>
            <w:r>
              <w:t>200</w:t>
            </w:r>
          </w:p>
        </w:tc>
        <w:tc>
          <w:tcPr>
            <w:tcW w:type="dxa" w:w="2880"/>
          </w:tcPr>
          <w:p>
            <w:r>
              <w:t>16.7%</w:t>
            </w:r>
          </w:p>
        </w:tc>
      </w:tr>
      <w:tr>
        <w:tc>
          <w:tcPr>
            <w:tcW w:type="dxa" w:w="2880"/>
          </w:tcPr>
          <w:p>
            <w:r>
              <w:t>Public Access / Future Buy-in</w:t>
            </w:r>
          </w:p>
        </w:tc>
        <w:tc>
          <w:tcPr>
            <w:tcW w:type="dxa" w:w="2880"/>
          </w:tcPr>
          <w:p>
            <w:r>
              <w:t>200</w:t>
            </w:r>
          </w:p>
        </w:tc>
        <w:tc>
          <w:tcPr>
            <w:tcW w:type="dxa" w:w="2880"/>
          </w:tcPr>
          <w:p>
            <w:r>
              <w:t>16.7%</w:t>
            </w:r>
          </w:p>
        </w:tc>
      </w:tr>
    </w:tbl>
    <w:p>
      <w:r>
        <w:br/>
      </w:r>
    </w:p>
    <w:p>
      <w:r>
        <w:drawing>
          <wp:inline xmlns:a="http://schemas.openxmlformats.org/drawingml/2006/main" xmlns:pic="http://schemas.openxmlformats.org/drawingml/2006/picture">
            <wp:extent cx="5029200" cy="3017520"/>
            <wp:docPr id="1" name="Picture 1"/>
            <wp:cNvGraphicFramePr>
              <a:graphicFrameLocks noChangeAspect="1"/>
            </wp:cNvGraphicFramePr>
            <a:graphic>
              <a:graphicData uri="http://schemas.openxmlformats.org/drawingml/2006/picture">
                <pic:pic>
                  <pic:nvPicPr>
                    <pic:cNvPr id="0" name="UHA_Share_Allocation_PieChart.png"/>
                    <pic:cNvPicPr/>
                  </pic:nvPicPr>
                  <pic:blipFill>
                    <a:blip r:embed="rId9"/>
                    <a:stretch>
                      <a:fillRect/>
                    </a:stretch>
                  </pic:blipFill>
                  <pic:spPr>
                    <a:xfrm>
                      <a:off x="0" y="0"/>
                      <a:ext cx="5029200" cy="3017520"/>
                    </a:xfrm>
                    <a:prstGeom prst="rect"/>
                  </pic:spPr>
                </pic:pic>
              </a:graphicData>
            </a:graphic>
          </wp:inline>
        </w:drawing>
      </w:r>
    </w:p>
    <w:p>
      <w:r>
        <w:t>Figure: Share allocation pie chart for UHA</w:t>
      </w:r>
    </w:p>
    <w:p>
      <w:r>
        <w:br w:type="page"/>
      </w:r>
    </w:p>
    <w:p>
      <w:pPr>
        <w:pStyle w:val="Heading1"/>
      </w:pPr>
      <w:r>
        <w:t>Founder Biography – Aaron Roussos</w:t>
      </w:r>
    </w:p>
    <w:p>
      <w:r>
        <w:t>Aaron Roussos is the founder of the Universal Health Algorithm and the first person to permanently heal himself from chronic anxiety and later uncover the pathway to reversing all cancers. But long before that journey began, Aaron had a highly successful career in corporate hospitality and business management.</w:t>
        <w:br/>
        <w:br/>
        <w:t>He served as the Food &amp; Beverage Manager at the $1 billion Darwin Convention Centre waterfront development during its pre-opening phase, where he recruited and trained over 500 staff. He also held key leadership roles at the Adelaide Showgrounds, AEG Ogden, Spotless Group, and Michael O'Brien Catering—organizing large-scale events, high-end banquets, and strategic operations across the country.</w:t>
        <w:br/>
        <w:br/>
        <w:t>Aaron’s achievements include winning nationally recognized awards for excellence in catering and workforce strategy, working as executive chef at the South Australian Jockey Club (Morphettville Racecourse), and being named the #1 Business Development Executive for Coca-Cola within his first 3 months. His clients have included the Beastie Boys, the President of China, and multiple Australian Prime Ministers.</w:t>
        <w:br/>
        <w:br/>
        <w:t>Raised in a family business spanning 14 ventures—including seafood wholesalers, restaurants, and pubs across Melbourne, Noosa, Cairns, and Port Douglas—Aaron developed a hands-on understanding of both small business and corporate enterprise. He has led operations in venues serving thousands daily and managed seven-figure budgets with precision and integrity.</w:t>
        <w:br/>
        <w:br/>
        <w:t>Outside of hospitality, Aaron has spent over 30 years studying numerology and universal mathematics. His lifelong passion was sparked as a teenager when he met Mark Gruner, a Harvard-trained number scientist and author of *Your Numbers, Your Life*. This deep interest in esoteric science, combined with his lived experience of illness and recovery, formed the foundation of his healing research.</w:t>
        <w:br/>
        <w:br/>
        <w:t>Aaron brings to the table not only a proven track record in business performance, strategy, and execution—but also the rare personal insight and divine guidance that led to one of the most important healing discoveries of our time. His integrity, resourcefulness, and commitment to outcomes make him the ideal steward of investment capital. He has never misused a cent, often under budget, and always over-delivering.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