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drawing>
          <wp:inline xmlns:a="http://schemas.openxmlformats.org/drawingml/2006/main" xmlns:pic="http://schemas.openxmlformats.org/drawingml/2006/picture">
            <wp:extent cx="3246120" cy="1803255"/>
            <wp:docPr id="1" name="Picture 1"/>
            <wp:cNvGraphicFramePr>
              <a:graphicFrameLocks noChangeAspect="1"/>
            </wp:cNvGraphicFramePr>
            <a:graphic>
              <a:graphicData uri="http://schemas.openxmlformats.org/drawingml/2006/picture">
                <pic:pic>
                  <pic:nvPicPr>
                    <pic:cNvPr id="0" name="dts_logo_cropped.png"/>
                    <pic:cNvPicPr/>
                  </pic:nvPicPr>
                  <pic:blipFill>
                    <a:blip r:embed="rId11"/>
                    <a:stretch>
                      <a:fillRect/>
                    </a:stretch>
                  </pic:blipFill>
                  <pic:spPr>
                    <a:xfrm>
                      <a:off x="0" y="0"/>
                      <a:ext cx="3246120" cy="1803255"/>
                    </a:xfrm>
                    <a:prstGeom prst="rect"/>
                  </pic:spPr>
                </pic:pic>
              </a:graphicData>
            </a:graphic>
          </wp:inline>
        </w:drawing>
      </w:r>
    </w:p>
    <w:p>
      <w:pPr>
        <w:spacing w:before="0" w:after="60"/>
        <w:jc w:val="center"/>
      </w:pPr>
      <w:r>
        <w:rPr>
          <w:rFonts w:ascii="Aptos Display" w:hAnsi="Aptos Display"/>
          <w:b/>
          <w:color w:val="111111"/>
          <w:sz w:val="40"/>
        </w:rPr>
        <w:t>FREQUENTLY ASKED QUESTIONS</w:t>
      </w:r>
    </w:p>
    <w:p>
      <w:pPr>
        <w:spacing w:after="280"/>
        <w:jc w:val="center"/>
      </w:pPr>
      <w:r>
        <w:rPr>
          <w:rFonts w:ascii="Aptos" w:hAnsi="Aptos"/>
          <w:color w:val="666666"/>
          <w:sz w:val="21"/>
        </w:rPr>
        <w:t>A straightforward guide for owners and prospective buyers</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vAlign w:val="center"/>
            <w:shd w:fill="F7F3EC"/>
            <w:tcMar>
              <w:top w:w="160" w:type="dxa"/>
              <w:start w:w="190" w:type="dxa"/>
              <w:bottom w:w="160" w:type="dxa"/>
              <w:end w:w="190" w:type="dxa"/>
            </w:tcMar>
          </w:tcPr>
          <w:p>
            <w:pPr>
              <w:spacing w:after="60"/>
            </w:pPr>
            <w:r>
              <w:rPr>
                <w:rFonts w:ascii="Aptos" w:hAnsi="Aptos"/>
                <w:b/>
                <w:color w:val="9A7135"/>
                <w:sz w:val="17"/>
              </w:rPr>
              <w:t>PROJECT STATUS</w:t>
            </w:r>
          </w:p>
          <w:p>
            <w:pPr>
              <w:spacing w:after="0"/>
            </w:pPr>
            <w:r>
              <w:rPr>
                <w:rFonts w:ascii="Aptos" w:hAnsi="Aptos"/>
                <w:color w:val="111111"/>
                <w:sz w:val="20"/>
              </w:rPr>
              <w:t>Construction is underway, with the goal of having units ready by the end of 2026. Figures identified as estimates remain subject to final budgets, governing documents, and professional confirmation.</w:t>
            </w:r>
          </w:p>
        </w:tc>
      </w:tr>
    </w:tbl>
    <w:p>
      <w:pPr>
        <w:spacing w:after="40"/>
      </w:pPr>
    </w:p>
    <w:p>
      <w:pPr>
        <w:keepNext/>
        <w:spacing w:before="140" w:after="120"/>
      </w:pPr>
      <w:r>
        <w:rPr>
          <w:rFonts w:ascii="Aptos" w:hAnsi="Aptos"/>
          <w:b/>
          <w:color w:val="9A7135"/>
          <w:sz w:val="23"/>
        </w:rPr>
        <w:t>ASSOCIATION, DUES &amp; OWNERSHIP</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Is my unit part of an association?</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Yes. Each unit is part of the Daytona Toy Storage condominium association. There are 63 units, with one association membership assigned to each unit.</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What are the projected annual association dues?</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The current projected Condominium Owners Association (COA) fee is approximately $1.77 per square foot annually. This is an estimate and may be adjusted once the final operating budget is completed and the association is fully established.</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Is a projected COA budget available?</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Yes. A preliminary operating budget has been developed for planning purposes and is available for review by interested potential owners. The final budget will be established as the project nears completion and operating costs are finalized.</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How are association dues calculated?</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The association budget is allocated based on unit size. Total association operating costs are divided by the total square footage of the building and then assessed to each owner according to the actual square footage of the owner's unit.</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When do unit owners take control of the COA?</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The condominium bylaws provide for a phased transition. When owners other than the developer own 15% or more of the units, those owners are entitled to elect at least one-third of the Board. When 90% or more of the units have been conveyed to purchasers, owners other than the developer are entitled to elect a majority of the Board. The developer must relinquish control and transfer association records and property within 90 days after the unit owners become entitled to elect a majority, subject to the condominium documents and applicable Florida law.</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What are the rules of the association?</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The bylaws, articles of incorporation, rules of operation, and other governing documents are available upon request through the sales representative.</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Can I rent out my unit?</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Yes. Owners may rent their units, subject to the association's governing documents and leasing guidelines.</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Will the HOA place limits on an owner's ability to sell their unit?</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Any limits on the sale of a unit would be reflected in the Declaration. Our attorney reviewed the Declaration and confirmed that there are no limits on, or approval requirements for, the sale of a unit.</w:t>
            </w:r>
          </w:p>
        </w:tc>
      </w:tr>
    </w:tbl>
    <w:p>
      <w:pPr>
        <w:spacing w:after="20" w:before="0"/>
      </w:pPr>
    </w:p>
    <w:p>
      <w:pPr>
        <w:keepNext/>
        <w:spacing w:before="240" w:after="120"/>
      </w:pPr>
      <w:r>
        <w:rPr>
          <w:rFonts w:ascii="Aptos" w:hAnsi="Aptos"/>
          <w:b/>
          <w:color w:val="9A7135"/>
          <w:sz w:val="23"/>
        </w:rPr>
        <w:t>CONSTRUCTION &amp; BUILDING SPECIFICATIONS</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How will the building be constructed?</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The exterior uses tilt-wall concrete construction. The exterior wall panels are approximately 8 to 12 inches thick.</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How thick is the concrete floor slab?</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The concrete floor inside the units and throughout the interior courtyard is 6-inch high-strength concrete.</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Is the entire property concrete, or is there asphalt to maintain?</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The unit floors and interior courtyard are concrete. The driving and parking surfaces are asphalt and will be maintained by the association as common elements.</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What is the roof material?</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The roof system consists of open-web steel joists, thermal insulation, a metal deck, and a rubber roof membrane.</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How are the interior walls between units constructed?</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The dividing walls use galvanized 20-gauge metal studs extending from the floor to the underside of the metal roof deck, with 5/8-inch fire-rated drywall on both sides and 6 inches of insulation in the wall cavity.</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Will the building be painted?</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Yes. The exterior concrete walls will be painted in accordance with the approved architectural design. Interior walls receive a light spray texture and finish paint. The underside of the roof deck and bar joists are also painted.</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What is the ceiling height?</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The units do not have a separate finished ceiling. The underside of the metal roof deck varies by unit and location. A loft may be possible; exact measurements should be confirmed for the specific unit being considered.</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What is the width between the buildings?</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The distance between the buildings is approximately 65 feet.</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Is the building in a flood zone?</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Yes. However, the building has been engineered to sit 3 feet above the 100-year flood elevation. The design calculations have been reviewed and approved by the applicable water management district, county, and City of Daytona Beach.</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What is the design wind rating for the buildings?</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The building design wind rating is 136 mph, according to our Structural Engineer, WCT Associates.</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Article XI of the Bylaws discusses "Hurricane Shutters." Where would these hurricane shutters be installed?</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The building does not have traditional glass windows requiring hurricane shutters. The window-like exterior features are false spandrel storefront systems.</w:t>
            </w:r>
          </w:p>
        </w:tc>
      </w:tr>
    </w:tbl>
    <w:p>
      <w:pPr>
        <w:spacing w:after="20" w:before="0"/>
      </w:pPr>
    </w:p>
    <w:p>
      <w:pPr>
        <w:keepNext/>
        <w:spacing w:before="240" w:after="120"/>
      </w:pPr>
      <w:r>
        <w:rPr>
          <w:rFonts w:ascii="Aptos" w:hAnsi="Aptos"/>
          <w:b/>
          <w:color w:val="9A7135"/>
          <w:sz w:val="23"/>
        </w:rPr>
        <w:t>UNIT FEATURES &amp; UTILITIES</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What type of electrical service will be available?</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Each unit includes a main electrical distribution panel. The minimum service is 125 amps, with larger panels provided for larger units. Each unit also includes a 50-amp, 220-volt RV connection, 110-volt outlets, and electrical service to the HVAC equipment.</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Is lighting included?</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Yes. Each unit includes standard overhead lighting. The exact fixture type, quantity, and placement may vary by unit and should be confirmed for the specific suite.</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Will units have plumbing?</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Yes. Each unit includes a 3/4-inch cold-water line with a shutoff valve. A sewer line runs beneath each unit and may be accessed by cutting through the concrete floor.</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Are the units finished?</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Yes. Interior walls receive a light spray texture and finish paint. Doors are factory painted, door jambs are painted on site, and the underside of the roof deck and bar joists is painted. The concrete floor will receive a plain painted epoxy finish, and vinyl base is included.</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Can I omit the standard epoxy flooring if I plan to install a different floor?</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Yes. Owners who plan to install a different type of flooring, including a custom or upgraded epoxy finish, may choose to have the standard epoxy flooring omitted during construction. Owners who select this option will receive a credit of $0.31 per square foot based on the square footage of their individual unit. Leaving the concrete unfinished also provides a clean, untouched surface for the flooring contractor and may avoid approximately $1.00 per square foot in removal costs that could otherwise be incurred to remove the standard epoxy before installing a different flooring system. Owners who would like the standard epoxy omitted should notify Daytona Toy Storage in time for the change to be coordinated prior to installation.</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Will each unit have heating and air conditioning?</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Yes. Every unit includes heating and air conditioning through a roof-mounted HVAC unit. The HVAC system will be either 2 tons or 3 tons, depending on the size and configuration of the suite.</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What size are the exterior doors?</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The 16-foot-wide units include a 14-foot by 14-foot overhead door. Units 20 feet wide and larger include the same 14-foot by 14-foot overhead door plus an additional 3-foot by 7-foot entry door. All doors are insulated and painted.</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What is the wind rating for the overhead doors?</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According to the garage door submittal from the General Contractor, the overhead doors have a +/- 30.0 psf design wind load and a +/- 45.0 psf test wind load requirement.</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What is the insulation R-value for the overhead doors?</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The overhead doors have an R-value of 16.20, in accordance with DASMA TDS-163, as provided in the garage door submittal from the General Contractor.</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How rodent-proof are the overhead doors?</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All doors are equipped with gaskets. The building is new construction and is sealed concrete except for the door openings. Rodent prevention and control would be considered part of an ongoing building maintenance strategy and is not specifically addressed as part of the architectural drawings.</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Are garage door openers included?</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Garage door openers are included on the 16-foot-wide units. Other units use a chain mechanism and are pre-wired with 110-volt power so an opener may be installed later if desired.</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Will Wi-Fi be available?</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Yes. The association will maintain Wi-Fi for association operations and access to the camera system. The system may also be available for owner use. In addition, units are planned to be pre-wired for service from one or more commercial providers.</w:t>
            </w:r>
          </w:p>
        </w:tc>
      </w:tr>
    </w:tbl>
    <w:p>
      <w:pPr>
        <w:spacing w:after="20" w:before="0"/>
      </w:pPr>
    </w:p>
    <w:p>
      <w:pPr>
        <w:keepNext/>
        <w:spacing w:before="240" w:after="120"/>
      </w:pPr>
      <w:r>
        <w:rPr>
          <w:rFonts w:ascii="Aptos" w:hAnsi="Aptos"/>
          <w:b/>
          <w:color w:val="9A7135"/>
          <w:sz w:val="23"/>
        </w:rPr>
        <w:t>SECURITY, ACCESS &amp; COMMON AREAS</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Will there be security cameras?</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Yes. Video surveillance will cover the interior courtyard and exterior of the building. Owners are expected to have 24/7 viewing access, with the cost included in association dues.</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Will there be gates?</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Yes. The property will include an entrance gate, an exit gate, and a pedestrian access gate.</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Will there be on-site management?</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There will not be a full-time on-site manager. A manager will be available electronically.</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Is there a clubhouse?</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No. The property will include men's and women's restrooms and two storage rooms for maintenance personnel near the opposite end of the building from the main entrance.</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Do owners have 24/7 access to the common area bathrooms?</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Yes. Owners will have 24/7 access to the common area bathrooms.</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Do the bathrooms have hot water?</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Yes. Hot water is provided in the common area bathrooms.</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Are there hose bibs in the common areas?</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Yes. Hose bibs are available in common areas.</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Will there be a wash bay?</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There will not be a dedicated wash bay. However, the concrete interior courtyard includes drainage, allowing owners to wash motorhomes and other stored vehicles in designated areas.</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The Bylaws mention costs for recreation facilities. What recreation facilities are anticipated?</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At this time, we are not aware of any specific recreation facilities planned for the property. This could potentially include common area amenities such as BBQs, picnic tables, or similar items that may be provided on the property in the future.</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Will the property have a generator?</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No. The property will not include a standby or whole-building generator.</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What maintenance is the owner responsible for?</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The association will maintain the building exterior and common elements. Each owner is responsible for maintenance inside the owner's individual unit.</w:t>
            </w:r>
          </w:p>
        </w:tc>
      </w:tr>
    </w:tbl>
    <w:p>
      <w:pPr>
        <w:spacing w:after="20" w:before="0"/>
      </w:pPr>
    </w:p>
    <w:p>
      <w:pPr>
        <w:keepNext/>
        <w:spacing w:before="240" w:after="120"/>
      </w:pPr>
      <w:r>
        <w:rPr>
          <w:rFonts w:ascii="Aptos" w:hAnsi="Aptos"/>
          <w:b/>
          <w:color w:val="9A7135"/>
          <w:sz w:val="23"/>
        </w:rPr>
        <w:t>INSURANCE, TAXES, FINANCING &amp; PURCHASE</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Will owners be required to carry insurance on their specific unit?</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Yes. The association will maintain master insurance coverage for the building and common elements, including association liability coverage. Owners are responsible for insuring the contents of their units and should obtain appropriate condominium, contents, and personal liability coverage. Owners should consult their insurance agent for specific requirements.</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Are projected property tax amounts available?</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No exact property tax amount is available yet because the units have not been completed or individually assessed. After completion, taxes will be based on the assessed value of each unit as determined by Volusia County. Buyers should contact the Volusia County taxing authorities for exact information.</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Is financing available?</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Financing may be available depending on the buyer's financial qualifications and the lending program selected.</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Do you offer a Veteran's discount?</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We do not currently offer a specific Veteran's discount.</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What does purchasing during pre-construction look like?</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The buyer selects an available suite, signs a purchase contract, and provides the required deposit. The standard deposit is 10% of the purchase price and is held in an attorney's escrow account. The buyer then completes any financing, title, insurance, and entity-planning requirements before closing.</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Can I assign the Purchase Contract to a trust or other entity?</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The Purchase Contract contains assignment provisions. Please see Paragraph 14 of the Contract for the applicable assignment language.</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When does the purchase close?</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Closing is expected to occur after the suite and project have reached the completion stage required by the purchase contract, including applicable final inspections, approvals, and certificate-of-occupancy requirements. The exact closing date and conditions are controlled by the signed purchase agreement and closing documents, so buyers should review those terms with the closing attorney.</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What is the inspection period between the time the unit is ready for closing and the closing?</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The inspection period begins after a Certificate of Occupancy is issued for the condominium building. Please see Paragraph 7(c) of the Purchase Contract for the specific inspection provisions.</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Is a deposit required to secure a unit?</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Yes. The standard deposit is 10% of the purchase price and is held in an attorney's escrow account. Sample contracts are available through the sales team.</w:t>
            </w:r>
          </w:p>
        </w:tc>
      </w:tr>
    </w:tbl>
    <w:p>
      <w:pPr>
        <w:spacing w:after="20" w:before="0"/>
      </w:pP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9936"/>
      </w:tblGrid>
      <w:tr>
        <w:tc>
          <w:tcPr>
            <w:tcW w:type="dxa" w:w="10166"/>
            <w:shd w:fill="F3F3F3"/>
            <w:tcMar>
              <w:top w:w="105" w:type="dxa"/>
              <w:start w:w="150" w:type="dxa"/>
              <w:bottom w:w="80" w:type="dxa"/>
              <w:end w:w="150" w:type="dxa"/>
            </w:tcMar>
          </w:tcPr>
          <w:p>
            <w:pPr>
              <w:spacing w:after="0"/>
            </w:pPr>
            <w:r>
              <w:rPr>
                <w:rFonts w:ascii="Aptos" w:hAnsi="Aptos"/>
                <w:b/>
                <w:color w:val="9A7135"/>
                <w:sz w:val="21"/>
              </w:rPr>
              <w:t xml:space="preserve">Q  </w:t>
            </w:r>
            <w:r>
              <w:rPr>
                <w:rFonts w:ascii="Aptos" w:hAnsi="Aptos"/>
                <w:b/>
                <w:color w:val="111111"/>
                <w:sz w:val="21"/>
              </w:rPr>
              <w:t>Will the builder install bathrooms or complete custom build-outs?</w:t>
            </w:r>
          </w:p>
        </w:tc>
      </w:tr>
      <w:tr>
        <w:tc>
          <w:tcPr>
            <w:tcW w:type="dxa" w:w="10166"/>
            <w:shd w:fill="FFFFFF"/>
            <w:tcMar>
              <w:top w:w="85" w:type="dxa"/>
              <w:start w:w="150" w:type="dxa"/>
              <w:bottom w:w="115" w:type="dxa"/>
              <w:end w:w="150" w:type="dxa"/>
            </w:tcMar>
          </w:tcPr>
          <w:p>
            <w:pPr>
              <w:spacing w:after="0"/>
            </w:pPr>
            <w:r>
              <w:rPr>
                <w:rFonts w:ascii="Aptos" w:hAnsi="Aptos"/>
                <w:color w:val="111111"/>
                <w:sz w:val="20"/>
              </w:rPr>
              <w:t>The builder will install only the bathrooms shown on the current plans. Owners may work directly with approved contractors for additional improvements or build-outs after coordinating the required approvals.</w:t>
            </w:r>
          </w:p>
        </w:tc>
      </w:tr>
    </w:tbl>
    <w:p>
      <w:pPr>
        <w:spacing w:after="20" w:before="0"/>
      </w:pPr>
    </w:p>
    <w:p>
      <w:pPr>
        <w:spacing w:before="200" w:after="0"/>
        <w:jc w:val="center"/>
      </w:pPr>
      <w:r>
        <w:rPr>
          <w:rFonts w:ascii="Aptos" w:hAnsi="Aptos"/>
          <w:color w:val="666666"/>
          <w:sz w:val="17"/>
        </w:rPr>
        <w:t>Information is subject to change as construction, budgets, governing documents, and final approvals are completed.</w:t>
      </w:r>
    </w:p>
    <w:sectPr w:rsidR="00FC693F" w:rsidRPr="0006063C" w:rsidSect="00034616">
      <w:headerReference w:type="default" r:id="rId9"/>
      <w:footerReference w:type="default" r:id="rId10"/>
      <w:pgSz w:w="12240" w:h="15840"/>
      <w:pgMar w:top="792" w:right="1037" w:bottom="864"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66666"/>
        <w:sz w:val="16"/>
      </w:rPr>
      <w:t xml:space="preserve">Daytona Toy Storage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9A7135"/>
        <w:sz w:val="16"/>
      </w:rPr>
      <w:t>DAYTONA TOY STORAGE  |  FAQ</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color w:val="111111"/>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Daytona Toy Storage Frequently Asked Questions</dc:title>
  <dc:subject>Owner and prospective buyer FAQ</dc:subject>
  <dc:creator>Daytona Toy Storage</dc:creator>
  <cp:keywords/>
  <dc:description>generated by python-docx</dc:description>
  <cp:lastModifiedBy/>
  <cp:revision>1</cp:revision>
  <dcterms:created xsi:type="dcterms:W3CDTF">2013-12-23T23:15:00Z</dcterms:created>
  <dcterms:modified xsi:type="dcterms:W3CDTF">2013-12-23T23:15:00Z</dcterms:modified>
  <cp:category/>
</cp:coreProperties>
</file>