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BDF61" w14:textId="77777777" w:rsidR="00B76A8A" w:rsidRPr="00F111A0" w:rsidRDefault="000176AF" w:rsidP="00B76A8A">
      <w:pPr>
        <w:spacing w:before="160" w:line="240" w:lineRule="auto"/>
        <w:jc w:val="center"/>
        <w:rPr>
          <w:rFonts w:asciiTheme="majorHAnsi" w:hAnsiTheme="majorHAnsi" w:cs="Times New Roman"/>
          <w:i/>
          <w:sz w:val="28"/>
          <w:szCs w:val="24"/>
        </w:rPr>
      </w:pPr>
      <w:bookmarkStart w:id="0" w:name="_Hlk2586686"/>
      <w:r w:rsidRPr="00F111A0">
        <w:rPr>
          <w:rFonts w:asciiTheme="majorHAnsi" w:hAnsiTheme="majorHAnsi" w:cs="Times New Roman"/>
          <w:i/>
          <w:sz w:val="28"/>
          <w:szCs w:val="24"/>
        </w:rPr>
        <w:t xml:space="preserve">In this month’s </w:t>
      </w:r>
      <w:r w:rsidRPr="00B46303">
        <w:rPr>
          <w:rFonts w:asciiTheme="majorHAnsi" w:hAnsiTheme="majorHAnsi" w:cs="Times New Roman"/>
          <w:i/>
          <w:sz w:val="28"/>
          <w:szCs w:val="24"/>
        </w:rPr>
        <w:t xml:space="preserve">recap: </w:t>
      </w:r>
      <w:r>
        <w:rPr>
          <w:rFonts w:asciiTheme="majorHAnsi" w:hAnsiTheme="majorHAnsi" w:cs="Times New Roman"/>
          <w:i/>
          <w:sz w:val="28"/>
          <w:szCs w:val="24"/>
        </w:rPr>
        <w:t>T</w:t>
      </w:r>
      <w:r>
        <w:rPr>
          <w:rFonts w:asciiTheme="majorHAnsi" w:hAnsiTheme="majorHAnsi" w:cs="Times New Roman"/>
          <w:i/>
          <w:sz w:val="28"/>
          <w:szCs w:val="24"/>
        </w:rPr>
        <w:t xml:space="preserve">he Fed cuts interest rates, the price of oil spikes, and trade negotiations between the U.S. and China </w:t>
      </w:r>
      <w:r>
        <w:rPr>
          <w:rFonts w:asciiTheme="majorHAnsi" w:hAnsiTheme="majorHAnsi" w:cs="Times New Roman"/>
          <w:i/>
          <w:sz w:val="28"/>
          <w:szCs w:val="24"/>
        </w:rPr>
        <w:t>are rescheduled</w:t>
      </w:r>
      <w:r w:rsidRPr="00B46303">
        <w:rPr>
          <w:rFonts w:asciiTheme="majorHAnsi" w:hAnsiTheme="majorHAnsi" w:cs="Times New Roman"/>
          <w:i/>
          <w:sz w:val="28"/>
          <w:szCs w:val="24"/>
        </w:rPr>
        <w:t>.</w:t>
      </w:r>
    </w:p>
    <w:p w14:paraId="4F2542EF" w14:textId="77777777" w:rsidR="00F82321" w:rsidRPr="00A56786" w:rsidRDefault="000176AF" w:rsidP="00B76A8A">
      <w:pPr>
        <w:spacing w:before="160" w:line="276" w:lineRule="auto"/>
        <w:jc w:val="center"/>
        <w:rPr>
          <w:rFonts w:asciiTheme="majorHAnsi" w:hAnsiTheme="majorHAnsi" w:cs="Times New Roman"/>
          <w:b/>
          <w:color w:val="000000" w:themeColor="text1"/>
          <w:sz w:val="72"/>
          <w:szCs w:val="24"/>
        </w:rPr>
      </w:pPr>
      <w:r>
        <w:rPr>
          <w:rFonts w:asciiTheme="majorHAnsi" w:hAnsiTheme="majorHAnsi"/>
          <w:b/>
          <w:noProof/>
          <w:sz w:val="72"/>
        </w:rPr>
        <w:t>Monthly</w:t>
      </w:r>
      <w:r w:rsidRPr="00A56786">
        <w:rPr>
          <w:rFonts w:asciiTheme="majorHAnsi" w:hAnsiTheme="majorHAnsi"/>
          <w:b/>
          <w:noProof/>
          <w:sz w:val="72"/>
        </w:rPr>
        <w:t xml:space="preserve"> Economic Update</w:t>
      </w:r>
    </w:p>
    <w:p w14:paraId="6385BB97" w14:textId="77777777" w:rsidR="00B2579B" w:rsidRDefault="000176AF" w:rsidP="00EE6BF2">
      <w:pPr>
        <w:spacing w:before="160" w:line="276" w:lineRule="auto"/>
        <w:jc w:val="center"/>
        <w:rPr>
          <w:rFonts w:asciiTheme="majorHAnsi" w:hAnsiTheme="majorHAnsi" w:cs="Times New Roman"/>
          <w:i/>
          <w:color w:val="376B8D"/>
          <w:sz w:val="28"/>
          <w:szCs w:val="24"/>
        </w:rPr>
      </w:pPr>
      <w:r w:rsidRPr="001D1391">
        <w:rPr>
          <w:rFonts w:asciiTheme="majorHAnsi" w:hAnsiTheme="majorHAnsi"/>
          <w:noProof/>
          <w:sz w:val="10"/>
          <w:vertAlign w:val="subscript"/>
        </w:rPr>
        <w:drawing>
          <wp:inline distT="0" distB="0" distL="0" distR="0" wp14:anchorId="0E79FA30" wp14:editId="787FAD2B">
            <wp:extent cx="5825083" cy="26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C7A77DC" w14:textId="77777777" w:rsidR="00A56786" w:rsidRPr="00DD38C0" w:rsidRDefault="000176AF" w:rsidP="00EE6BF2">
      <w:pPr>
        <w:spacing w:before="160" w:line="276" w:lineRule="auto"/>
        <w:jc w:val="center"/>
        <w:rPr>
          <w:rFonts w:asciiTheme="majorHAnsi" w:hAnsiTheme="majorHAnsi" w:cs="Times New Roman"/>
          <w:color w:val="808080" w:themeColor="background1" w:themeShade="80"/>
          <w:sz w:val="2"/>
          <w:szCs w:val="24"/>
        </w:rPr>
      </w:pPr>
    </w:p>
    <w:p w14:paraId="2154EAE5" w14:textId="22691F48" w:rsidR="00F82321" w:rsidRPr="001D1391" w:rsidRDefault="000176AF" w:rsidP="00EE6BF2">
      <w:pPr>
        <w:spacing w:before="160" w:line="276" w:lineRule="auto"/>
        <w:jc w:val="center"/>
        <w:rPr>
          <w:rFonts w:asciiTheme="majorHAnsi" w:hAnsiTheme="majorHAnsi" w:cs="Times New Roman"/>
          <w:i/>
          <w:color w:val="646464"/>
          <w:sz w:val="24"/>
          <w:szCs w:val="24"/>
          <w:vertAlign w:val="subscript"/>
        </w:rPr>
      </w:pPr>
      <w:r w:rsidRPr="00DD38C0">
        <w:rPr>
          <w:rFonts w:asciiTheme="majorHAnsi" w:hAnsiTheme="majorHAnsi" w:cs="Times New Roman"/>
          <w:i/>
          <w:color w:val="646464"/>
          <w:sz w:val="24"/>
          <w:szCs w:val="24"/>
        </w:rPr>
        <w:t>Presented</w:t>
      </w:r>
      <w:r w:rsidRPr="00DD38C0">
        <w:rPr>
          <w:rFonts w:asciiTheme="majorHAnsi" w:hAnsiTheme="majorHAnsi" w:cs="Times New Roman"/>
          <w:i/>
          <w:color w:val="646464"/>
          <w:sz w:val="24"/>
          <w:szCs w:val="24"/>
        </w:rPr>
        <w:t xml:space="preserve"> </w:t>
      </w:r>
      <w:r w:rsidRPr="00DD38C0">
        <w:rPr>
          <w:rFonts w:asciiTheme="majorHAnsi" w:hAnsiTheme="majorHAnsi" w:cs="Times New Roman"/>
          <w:i/>
          <w:color w:val="646464"/>
          <w:sz w:val="24"/>
          <w:szCs w:val="24"/>
        </w:rPr>
        <w:t>b</w:t>
      </w:r>
      <w:r w:rsidRPr="00DD38C0">
        <w:rPr>
          <w:rFonts w:asciiTheme="majorHAnsi" w:hAnsiTheme="majorHAnsi" w:cs="Times New Roman"/>
          <w:i/>
          <w:color w:val="646464"/>
          <w:sz w:val="24"/>
          <w:szCs w:val="24"/>
        </w:rPr>
        <w:t>y</w:t>
      </w:r>
      <w:r w:rsidRPr="00DD38C0">
        <w:rPr>
          <w:rFonts w:asciiTheme="majorHAnsi" w:hAnsiTheme="majorHAnsi" w:cs="Times New Roman"/>
          <w:i/>
          <w:color w:val="646464"/>
          <w:sz w:val="24"/>
          <w:szCs w:val="24"/>
        </w:rPr>
        <w:t xml:space="preserve"> </w:t>
      </w:r>
      <w:r w:rsidR="00594671">
        <w:rPr>
          <w:rFonts w:asciiTheme="majorHAnsi" w:hAnsiTheme="majorHAnsi" w:cs="Times New Roman"/>
          <w:i/>
          <w:color w:val="646464"/>
          <w:sz w:val="24"/>
          <w:szCs w:val="24"/>
        </w:rPr>
        <w:t>HyLee Hansen</w:t>
      </w:r>
      <w:r>
        <w:rPr>
          <w:rFonts w:asciiTheme="majorHAnsi" w:hAnsiTheme="majorHAnsi" w:cs="Times New Roman"/>
          <w:i/>
          <w:color w:val="646464"/>
          <w:sz w:val="24"/>
          <w:szCs w:val="24"/>
        </w:rPr>
        <w:t xml:space="preserve"> CFP</w:t>
      </w:r>
      <w:bookmarkStart w:id="1" w:name="_GoBack"/>
      <w:bookmarkEnd w:id="1"/>
      <w:r w:rsidR="00594671" w:rsidRPr="00141CC8">
        <w:rPr>
          <w:rFonts w:asciiTheme="majorHAnsi" w:hAnsiTheme="majorHAnsi" w:cs="Times New Roman"/>
          <w:i/>
          <w:color w:val="646464"/>
          <w:sz w:val="24"/>
          <w:szCs w:val="24"/>
        </w:rPr>
        <w:t xml:space="preserve"> ®</w:t>
      </w:r>
      <w:r w:rsidRPr="00DD38C0">
        <w:rPr>
          <w:rFonts w:asciiTheme="majorHAnsi" w:hAnsiTheme="majorHAnsi" w:cs="Times New Roman"/>
          <w:i/>
          <w:color w:val="646464"/>
          <w:sz w:val="24"/>
          <w:szCs w:val="24"/>
        </w:rPr>
        <w:t xml:space="preserve">, </w:t>
      </w:r>
      <w:r>
        <w:rPr>
          <w:rFonts w:asciiTheme="majorHAnsi" w:hAnsiTheme="majorHAnsi" w:cs="Times New Roman"/>
          <w:i/>
          <w:color w:val="646464"/>
          <w:sz w:val="24"/>
          <w:szCs w:val="24"/>
        </w:rPr>
        <w:t>October 2019</w:t>
      </w:r>
    </w:p>
    <w:p w14:paraId="51C420F7" w14:textId="77777777" w:rsidR="002544C5" w:rsidRPr="00DD38C0" w:rsidRDefault="000176AF" w:rsidP="00EE6BF2">
      <w:pPr>
        <w:spacing w:before="160" w:line="276" w:lineRule="auto"/>
        <w:jc w:val="center"/>
        <w:rPr>
          <w:rFonts w:asciiTheme="majorHAnsi" w:hAnsiTheme="majorHAnsi" w:cs="Times New Roman"/>
          <w:color w:val="000000" w:themeColor="text1"/>
          <w:sz w:val="4"/>
          <w:szCs w:val="24"/>
        </w:rPr>
      </w:pPr>
    </w:p>
    <w:p w14:paraId="6C319266" w14:textId="77777777" w:rsidR="00775662" w:rsidRDefault="000176AF"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THE MONTH IN BRIEF</w:t>
      </w:r>
    </w:p>
    <w:p w14:paraId="44CA37C2" w14:textId="77777777" w:rsidR="00775662" w:rsidRPr="001748AF" w:rsidRDefault="000176AF" w:rsidP="00EE6BF2">
      <w:pPr>
        <w:spacing w:line="276" w:lineRule="auto"/>
        <w:jc w:val="both"/>
        <w:rPr>
          <w:rFonts w:asciiTheme="majorHAnsi" w:hAnsiTheme="majorHAnsi"/>
          <w:sz w:val="24"/>
          <w:szCs w:val="24"/>
        </w:rPr>
      </w:pPr>
      <w:r w:rsidRPr="00E17822">
        <w:rPr>
          <w:rFonts w:asciiTheme="majorHAnsi" w:hAnsiTheme="majorHAnsi" w:cstheme="majorHAnsi"/>
          <w:sz w:val="24"/>
          <w:szCs w:val="24"/>
        </w:rPr>
        <w:t>September brought an economic event that was widely expected: a quarter-point cut in short-term interest rates by the Federal Reserve. It also brought</w:t>
      </w:r>
      <w:r w:rsidRPr="00E17822">
        <w:rPr>
          <w:rFonts w:asciiTheme="majorHAnsi" w:hAnsiTheme="majorHAnsi" w:cstheme="majorHAnsi"/>
          <w:sz w:val="24"/>
          <w:szCs w:val="24"/>
        </w:rPr>
        <w:t xml:space="preserve"> an attack on two of the world’s largest oil fields that threatened to dent global crude output. A resumption of U.S.-China trade talks was scheduled for October, and White House officials decided to delay some planned tariff increases. Clear signals of an</w:t>
      </w:r>
      <w:r w:rsidRPr="00E17822">
        <w:rPr>
          <w:rFonts w:asciiTheme="majorHAnsi" w:hAnsiTheme="majorHAnsi" w:cstheme="majorHAnsi"/>
          <w:sz w:val="24"/>
          <w:szCs w:val="24"/>
        </w:rPr>
        <w:t xml:space="preserve"> economic slowdown emerged from both the eurozone and China; some of the key U.S. economic indicators looked much better </w:t>
      </w:r>
      <w:r>
        <w:rPr>
          <w:rFonts w:asciiTheme="majorHAnsi" w:hAnsiTheme="majorHAnsi" w:cstheme="majorHAnsi"/>
          <w:sz w:val="24"/>
          <w:szCs w:val="24"/>
        </w:rPr>
        <w:t>by</w:t>
      </w:r>
      <w:r w:rsidRPr="00E17822">
        <w:rPr>
          <w:rFonts w:asciiTheme="majorHAnsi" w:hAnsiTheme="majorHAnsi" w:cstheme="majorHAnsi"/>
          <w:sz w:val="24"/>
          <w:szCs w:val="24"/>
        </w:rPr>
        <w:t xml:space="preserve"> comparison. While all these events transpired, the S&amp;P 500 gained 1.72% for the month</w:t>
      </w:r>
      <w:r w:rsidRPr="001748AF">
        <w:rPr>
          <w:rFonts w:asciiTheme="majorHAnsi" w:hAnsiTheme="majorHAnsi"/>
          <w:sz w:val="24"/>
          <w:szCs w:val="24"/>
        </w:rPr>
        <w:t>.</w:t>
      </w:r>
      <w:r w:rsidRPr="001748AF">
        <w:rPr>
          <w:rFonts w:asciiTheme="majorHAnsi" w:hAnsiTheme="majorHAnsi"/>
          <w:sz w:val="24"/>
          <w:szCs w:val="24"/>
          <w:vertAlign w:val="superscript"/>
        </w:rPr>
        <w:t>1</w:t>
      </w:r>
      <w:r w:rsidRPr="001748AF">
        <w:rPr>
          <w:rFonts w:asciiTheme="majorHAnsi" w:hAnsiTheme="majorHAnsi"/>
          <w:sz w:val="24"/>
          <w:szCs w:val="24"/>
        </w:rPr>
        <w:t xml:space="preserve">  </w:t>
      </w:r>
    </w:p>
    <w:p w14:paraId="1CC9EC1D" w14:textId="77777777" w:rsidR="00775662" w:rsidRPr="00DD38C0" w:rsidRDefault="000176AF" w:rsidP="00EE6BF2">
      <w:pPr>
        <w:spacing w:line="276" w:lineRule="auto"/>
        <w:rPr>
          <w:rFonts w:asciiTheme="majorHAnsi" w:hAnsiTheme="majorHAnsi"/>
          <w:sz w:val="6"/>
          <w:szCs w:val="24"/>
        </w:rPr>
      </w:pPr>
    </w:p>
    <w:p w14:paraId="0973D7D3" w14:textId="77777777" w:rsidR="00775662" w:rsidRDefault="000176AF" w:rsidP="00DD05FD">
      <w:pPr>
        <w:spacing w:line="276" w:lineRule="auto"/>
        <w:jc w:val="center"/>
        <w:rPr>
          <w:rFonts w:asciiTheme="majorHAnsi" w:hAnsiTheme="majorHAnsi"/>
          <w:sz w:val="24"/>
          <w:szCs w:val="24"/>
        </w:rPr>
      </w:pPr>
      <w:r w:rsidRPr="004A2938">
        <w:rPr>
          <w:rFonts w:asciiTheme="majorHAnsi" w:hAnsiTheme="majorHAnsi"/>
          <w:noProof/>
          <w:sz w:val="10"/>
        </w:rPr>
        <w:drawing>
          <wp:inline distT="0" distB="0" distL="0" distR="0" wp14:anchorId="5523517E" wp14:editId="46FA26D0">
            <wp:extent cx="5825083" cy="268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69AD1528" w14:textId="77777777" w:rsidR="00775662" w:rsidRDefault="000176AF" w:rsidP="00EE6BF2">
      <w:pPr>
        <w:spacing w:line="276" w:lineRule="auto"/>
        <w:rPr>
          <w:rFonts w:asciiTheme="majorHAnsi" w:hAnsiTheme="majorHAnsi"/>
          <w:b/>
          <w:color w:val="3E7BB6"/>
          <w:sz w:val="28"/>
          <w:szCs w:val="24"/>
        </w:rPr>
      </w:pPr>
      <w:r w:rsidRPr="00775662">
        <w:rPr>
          <w:rFonts w:asciiTheme="majorHAnsi" w:hAnsiTheme="majorHAnsi"/>
          <w:b/>
          <w:color w:val="3E7BB6"/>
          <w:sz w:val="28"/>
          <w:szCs w:val="24"/>
        </w:rPr>
        <w:t xml:space="preserve">DOMESTIC ECONOMIC HEALTH </w:t>
      </w:r>
    </w:p>
    <w:p w14:paraId="30119672" w14:textId="77777777" w:rsidR="00E17822" w:rsidRPr="00E1782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t>As futures traders widely anticipated, the Federal Reserve lowered the benchmark interest rate by 0.25% on September 18. The 7-3 vote of the Federal Open Market Committee left the federal funds rate in a range of 1.75%-2.00%. As t</w:t>
      </w:r>
      <w:r w:rsidRPr="00E17822">
        <w:rPr>
          <w:rStyle w:val="st"/>
          <w:rFonts w:asciiTheme="majorHAnsi" w:hAnsiTheme="majorHAnsi"/>
          <w:sz w:val="24"/>
        </w:rPr>
        <w:t>he less-than-unanimous vote hinted, Fed policymakers shared little consensus about the outlook for rates for the balance of the year. The Fed also released its latest dot-plot chart (a Fed tool that projects the cost of borrowing money in the future). Acco</w:t>
      </w:r>
      <w:r w:rsidRPr="00E17822">
        <w:rPr>
          <w:rStyle w:val="st"/>
          <w:rFonts w:asciiTheme="majorHAnsi" w:hAnsiTheme="majorHAnsi"/>
          <w:sz w:val="24"/>
        </w:rPr>
        <w:t>rding to the new dot-plot forecast, ten Fed officials saw no more cuts for the rest of the year, but seven others felt at least one more cut would happen before 2020.</w:t>
      </w:r>
      <w:r w:rsidRPr="00E17822">
        <w:rPr>
          <w:rStyle w:val="st"/>
          <w:rFonts w:asciiTheme="majorHAnsi" w:hAnsiTheme="majorHAnsi"/>
          <w:sz w:val="24"/>
          <w:vertAlign w:val="superscript"/>
        </w:rPr>
        <w:t>2</w:t>
      </w:r>
      <w:r w:rsidRPr="00E17822">
        <w:rPr>
          <w:rStyle w:val="st"/>
          <w:rFonts w:asciiTheme="majorHAnsi" w:hAnsiTheme="majorHAnsi"/>
          <w:sz w:val="24"/>
        </w:rPr>
        <w:t xml:space="preserve">  </w:t>
      </w:r>
    </w:p>
    <w:p w14:paraId="2DC55102" w14:textId="77777777" w:rsidR="00E17822" w:rsidRPr="00E1782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t>On September 14, two of the world’s largest oil producing facilities were hit by drone</w:t>
      </w:r>
      <w:r w:rsidRPr="00E17822">
        <w:rPr>
          <w:rStyle w:val="st"/>
          <w:rFonts w:asciiTheme="majorHAnsi" w:hAnsiTheme="majorHAnsi"/>
          <w:sz w:val="24"/>
        </w:rPr>
        <w:t xml:space="preserve"> attacks. The damage to these Saudi Arabian plants reduced daily global crude output by about 5% and sent the price of oil soaring when commodities markets opened the following Monday. The price of West Texas Intermediate (WTI) crude, the U.S. benchmark, j</w:t>
      </w:r>
      <w:r w:rsidRPr="00E17822">
        <w:rPr>
          <w:rStyle w:val="st"/>
          <w:rFonts w:asciiTheme="majorHAnsi" w:hAnsiTheme="majorHAnsi"/>
          <w:sz w:val="24"/>
        </w:rPr>
        <w:t>umped more than $8 during the September 16 trading session to close at $62.90 on the New York Mercantile Exchange (NYMEX). The price soon fell, however.  On September 30, a barrel of WTI crude was $54.20.</w:t>
      </w:r>
      <w:r w:rsidRPr="00E17822">
        <w:rPr>
          <w:rStyle w:val="st"/>
          <w:rFonts w:asciiTheme="majorHAnsi" w:hAnsiTheme="majorHAnsi"/>
          <w:sz w:val="24"/>
          <w:vertAlign w:val="superscript"/>
        </w:rPr>
        <w:t>3,4</w:t>
      </w:r>
      <w:r w:rsidRPr="00E17822">
        <w:rPr>
          <w:rStyle w:val="st"/>
          <w:rFonts w:asciiTheme="majorHAnsi" w:hAnsiTheme="majorHAnsi"/>
          <w:sz w:val="24"/>
        </w:rPr>
        <w:t xml:space="preserve"> </w:t>
      </w:r>
    </w:p>
    <w:p w14:paraId="05C1790B" w14:textId="77777777" w:rsidR="00E17822" w:rsidRPr="00E1782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t>Trade representatives from the U.S. and China w</w:t>
      </w:r>
      <w:r w:rsidRPr="00E17822">
        <w:rPr>
          <w:rStyle w:val="st"/>
          <w:rFonts w:asciiTheme="majorHAnsi" w:hAnsiTheme="majorHAnsi"/>
          <w:sz w:val="24"/>
        </w:rPr>
        <w:t xml:space="preserve">ere scheduled to restart negotiations on October 10. At mid-month, White House officials said </w:t>
      </w:r>
      <w:r>
        <w:rPr>
          <w:rStyle w:val="st"/>
          <w:rFonts w:asciiTheme="majorHAnsi" w:hAnsiTheme="majorHAnsi"/>
          <w:sz w:val="24"/>
        </w:rPr>
        <w:t xml:space="preserve">that </w:t>
      </w:r>
      <w:r w:rsidRPr="00E17822">
        <w:rPr>
          <w:rStyle w:val="st"/>
          <w:rFonts w:asciiTheme="majorHAnsi" w:hAnsiTheme="majorHAnsi"/>
          <w:sz w:val="24"/>
        </w:rPr>
        <w:t>a planned 5% increase in tariffs on certain Chinese imports would be postponed from October 1 to October 15 to honor a request made by Chinese Vice Premier L</w:t>
      </w:r>
      <w:r w:rsidRPr="00E17822">
        <w:rPr>
          <w:rStyle w:val="st"/>
          <w:rFonts w:asciiTheme="majorHAnsi" w:hAnsiTheme="majorHAnsi"/>
          <w:sz w:val="24"/>
        </w:rPr>
        <w:t>iu He. Late in the month, stocks fell on a rumor that the White House was considering limits on U.S. investment in Chinese companies.</w:t>
      </w:r>
      <w:r w:rsidRPr="00E17822">
        <w:rPr>
          <w:rStyle w:val="st"/>
          <w:rFonts w:asciiTheme="majorHAnsi" w:hAnsiTheme="majorHAnsi"/>
          <w:sz w:val="24"/>
          <w:vertAlign w:val="superscript"/>
        </w:rPr>
        <w:t>5,6</w:t>
      </w:r>
      <w:r w:rsidRPr="00E17822">
        <w:rPr>
          <w:rStyle w:val="st"/>
          <w:rFonts w:asciiTheme="majorHAnsi" w:hAnsiTheme="majorHAnsi"/>
          <w:sz w:val="24"/>
        </w:rPr>
        <w:t xml:space="preserve"> </w:t>
      </w:r>
    </w:p>
    <w:p w14:paraId="6A4D6120" w14:textId="77777777" w:rsidR="00E17822" w:rsidRPr="00E1782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t xml:space="preserve">Employers added 130,000 net new workers in August, and only 96,000 were private-sector hires. The main jobless </w:t>
      </w:r>
      <w:r w:rsidRPr="00E17822">
        <w:rPr>
          <w:rStyle w:val="st"/>
          <w:rFonts w:asciiTheme="majorHAnsi" w:hAnsiTheme="majorHAnsi"/>
          <w:sz w:val="24"/>
        </w:rPr>
        <w:t>rate remained at 3.7%, but the U-6 rate</w:t>
      </w:r>
      <w:r>
        <w:rPr>
          <w:rStyle w:val="st"/>
          <w:rFonts w:asciiTheme="majorHAnsi" w:hAnsiTheme="majorHAnsi"/>
          <w:sz w:val="24"/>
        </w:rPr>
        <w:t>,</w:t>
      </w:r>
      <w:r w:rsidRPr="00E17822">
        <w:rPr>
          <w:rStyle w:val="st"/>
          <w:rFonts w:asciiTheme="majorHAnsi" w:hAnsiTheme="majorHAnsi"/>
          <w:sz w:val="24"/>
        </w:rPr>
        <w:t xml:space="preserve"> </w:t>
      </w:r>
      <w:r>
        <w:rPr>
          <w:rStyle w:val="st"/>
          <w:rFonts w:asciiTheme="majorHAnsi" w:hAnsiTheme="majorHAnsi"/>
          <w:sz w:val="24"/>
        </w:rPr>
        <w:t>which</w:t>
      </w:r>
      <w:r w:rsidRPr="00E17822">
        <w:rPr>
          <w:rStyle w:val="st"/>
          <w:rFonts w:asciiTheme="majorHAnsi" w:hAnsiTheme="majorHAnsi"/>
          <w:sz w:val="24"/>
        </w:rPr>
        <w:t xml:space="preserve"> also counts the underemployed</w:t>
      </w:r>
      <w:r>
        <w:rPr>
          <w:rStyle w:val="st"/>
          <w:rFonts w:asciiTheme="majorHAnsi" w:hAnsiTheme="majorHAnsi"/>
          <w:sz w:val="24"/>
        </w:rPr>
        <w:t>,</w:t>
      </w:r>
      <w:r w:rsidRPr="00E17822">
        <w:rPr>
          <w:rStyle w:val="st"/>
          <w:rFonts w:asciiTheme="majorHAnsi" w:hAnsiTheme="majorHAnsi"/>
          <w:sz w:val="24"/>
        </w:rPr>
        <w:t xml:space="preserve"> rose from 7.0% to 7.2%. Annualized wage growth stayed at 3.2%.</w:t>
      </w:r>
      <w:r w:rsidRPr="00E17822">
        <w:rPr>
          <w:rStyle w:val="st"/>
          <w:rFonts w:asciiTheme="majorHAnsi" w:hAnsiTheme="majorHAnsi"/>
          <w:sz w:val="24"/>
          <w:vertAlign w:val="superscript"/>
        </w:rPr>
        <w:t>7</w:t>
      </w:r>
    </w:p>
    <w:p w14:paraId="3594096D" w14:textId="77777777" w:rsidR="00E17822" w:rsidRPr="00E1782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lastRenderedPageBreak/>
        <w:t xml:space="preserve">A much-watched gauge of U.S. manufacturing, the Institute for Supply Management’s monthly </w:t>
      </w:r>
      <w:r>
        <w:rPr>
          <w:rStyle w:val="st"/>
          <w:rFonts w:asciiTheme="majorHAnsi" w:hAnsiTheme="majorHAnsi"/>
          <w:sz w:val="24"/>
        </w:rPr>
        <w:t>P</w:t>
      </w:r>
      <w:r w:rsidRPr="00E17822">
        <w:rPr>
          <w:rStyle w:val="st"/>
          <w:rFonts w:asciiTheme="majorHAnsi" w:hAnsiTheme="majorHAnsi"/>
          <w:sz w:val="24"/>
        </w:rPr>
        <w:t xml:space="preserve">urchasing </w:t>
      </w:r>
      <w:r>
        <w:rPr>
          <w:rStyle w:val="st"/>
          <w:rFonts w:asciiTheme="majorHAnsi" w:hAnsiTheme="majorHAnsi"/>
          <w:sz w:val="24"/>
        </w:rPr>
        <w:t>M</w:t>
      </w:r>
      <w:r w:rsidRPr="00E17822">
        <w:rPr>
          <w:rStyle w:val="st"/>
          <w:rFonts w:asciiTheme="majorHAnsi" w:hAnsiTheme="majorHAnsi"/>
          <w:sz w:val="24"/>
        </w:rPr>
        <w:t xml:space="preserve">anagers </w:t>
      </w:r>
      <w:r>
        <w:rPr>
          <w:rStyle w:val="st"/>
          <w:rFonts w:asciiTheme="majorHAnsi" w:hAnsiTheme="majorHAnsi"/>
          <w:sz w:val="24"/>
        </w:rPr>
        <w:t>I</w:t>
      </w:r>
      <w:r w:rsidRPr="00E17822">
        <w:rPr>
          <w:rStyle w:val="st"/>
          <w:rFonts w:asciiTheme="majorHAnsi" w:hAnsiTheme="majorHAnsi"/>
          <w:sz w:val="24"/>
        </w:rPr>
        <w:t>nde</w:t>
      </w:r>
      <w:r w:rsidRPr="00E17822">
        <w:rPr>
          <w:rStyle w:val="st"/>
          <w:rFonts w:asciiTheme="majorHAnsi" w:hAnsiTheme="majorHAnsi"/>
          <w:sz w:val="24"/>
        </w:rPr>
        <w:t xml:space="preserve">x, fell below 50 in August. That news broke early in September, and the number (49.1) was important because any reading below 50 signals sector contraction. Meanwhile, ISM’s </w:t>
      </w:r>
      <w:r>
        <w:rPr>
          <w:rStyle w:val="st"/>
          <w:rFonts w:asciiTheme="majorHAnsi" w:hAnsiTheme="majorHAnsi"/>
          <w:sz w:val="24"/>
        </w:rPr>
        <w:t>N</w:t>
      </w:r>
      <w:r w:rsidRPr="00E17822">
        <w:rPr>
          <w:rStyle w:val="st"/>
          <w:rFonts w:asciiTheme="majorHAnsi" w:hAnsiTheme="majorHAnsi"/>
          <w:sz w:val="24"/>
        </w:rPr>
        <w:t>on-</w:t>
      </w:r>
      <w:r>
        <w:rPr>
          <w:rStyle w:val="st"/>
          <w:rFonts w:asciiTheme="majorHAnsi" w:hAnsiTheme="majorHAnsi"/>
          <w:sz w:val="24"/>
        </w:rPr>
        <w:t>M</w:t>
      </w:r>
      <w:r w:rsidRPr="00E17822">
        <w:rPr>
          <w:rStyle w:val="st"/>
          <w:rFonts w:asciiTheme="majorHAnsi" w:hAnsiTheme="majorHAnsi"/>
          <w:sz w:val="24"/>
        </w:rPr>
        <w:t>anufacturing PMI came in at 56.4 in August, showing expansion in the U.S. ser</w:t>
      </w:r>
      <w:r w:rsidRPr="00E17822">
        <w:rPr>
          <w:rStyle w:val="st"/>
          <w:rFonts w:asciiTheme="majorHAnsi" w:hAnsiTheme="majorHAnsi"/>
          <w:sz w:val="24"/>
        </w:rPr>
        <w:t>vice sector for the 115th straight month. That 56.4 was its best mark since May.</w:t>
      </w:r>
      <w:r w:rsidRPr="00E17822">
        <w:rPr>
          <w:rStyle w:val="st"/>
          <w:rFonts w:asciiTheme="majorHAnsi" w:hAnsiTheme="majorHAnsi"/>
          <w:sz w:val="24"/>
          <w:vertAlign w:val="superscript"/>
        </w:rPr>
        <w:t>8</w:t>
      </w:r>
    </w:p>
    <w:p w14:paraId="0B3A7DA8" w14:textId="77777777" w:rsidR="00E17822" w:rsidRPr="00E1782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t>Data concerning consumers was mixed. Retail sales rose another 0.4% in August, bringing the year-over-year advance to 4.1%. Personal spending increased 0.1% in the eighth mon</w:t>
      </w:r>
      <w:r w:rsidRPr="00E17822">
        <w:rPr>
          <w:rStyle w:val="st"/>
          <w:rFonts w:asciiTheme="majorHAnsi" w:hAnsiTheme="majorHAnsi"/>
          <w:sz w:val="24"/>
        </w:rPr>
        <w:t xml:space="preserve">th of the year, though personal incomes rose 0.4%. The Conference Board’s September </w:t>
      </w:r>
      <w:r>
        <w:rPr>
          <w:rStyle w:val="st"/>
          <w:rFonts w:asciiTheme="majorHAnsi" w:hAnsiTheme="majorHAnsi"/>
          <w:sz w:val="24"/>
        </w:rPr>
        <w:t>C</w:t>
      </w:r>
      <w:r w:rsidRPr="00E17822">
        <w:rPr>
          <w:rStyle w:val="st"/>
          <w:rFonts w:asciiTheme="majorHAnsi" w:hAnsiTheme="majorHAnsi"/>
          <w:sz w:val="24"/>
        </w:rPr>
        <w:t xml:space="preserve">onsumer </w:t>
      </w:r>
      <w:r>
        <w:rPr>
          <w:rStyle w:val="st"/>
          <w:rFonts w:asciiTheme="majorHAnsi" w:hAnsiTheme="majorHAnsi"/>
          <w:sz w:val="24"/>
        </w:rPr>
        <w:t>C</w:t>
      </w:r>
      <w:r w:rsidRPr="00E17822">
        <w:rPr>
          <w:rStyle w:val="st"/>
          <w:rFonts w:asciiTheme="majorHAnsi" w:hAnsiTheme="majorHAnsi"/>
          <w:sz w:val="24"/>
        </w:rPr>
        <w:t xml:space="preserve">onfidence </w:t>
      </w:r>
      <w:r>
        <w:rPr>
          <w:rStyle w:val="st"/>
          <w:rFonts w:asciiTheme="majorHAnsi" w:hAnsiTheme="majorHAnsi"/>
          <w:sz w:val="24"/>
        </w:rPr>
        <w:t>I</w:t>
      </w:r>
      <w:r w:rsidRPr="00E17822">
        <w:rPr>
          <w:rStyle w:val="st"/>
          <w:rFonts w:asciiTheme="majorHAnsi" w:hAnsiTheme="majorHAnsi"/>
          <w:sz w:val="24"/>
        </w:rPr>
        <w:t xml:space="preserve">ndex fell to 125.1 in September (it was at 134.2 in August); the final September University of Michigan </w:t>
      </w:r>
      <w:r>
        <w:rPr>
          <w:rStyle w:val="st"/>
          <w:rFonts w:asciiTheme="majorHAnsi" w:hAnsiTheme="majorHAnsi"/>
          <w:sz w:val="24"/>
        </w:rPr>
        <w:t>C</w:t>
      </w:r>
      <w:r w:rsidRPr="00E17822">
        <w:rPr>
          <w:rStyle w:val="st"/>
          <w:rFonts w:asciiTheme="majorHAnsi" w:hAnsiTheme="majorHAnsi"/>
          <w:sz w:val="24"/>
        </w:rPr>
        <w:t xml:space="preserve">onsumer </w:t>
      </w:r>
      <w:r>
        <w:rPr>
          <w:rStyle w:val="st"/>
          <w:rFonts w:asciiTheme="majorHAnsi" w:hAnsiTheme="majorHAnsi"/>
          <w:sz w:val="24"/>
        </w:rPr>
        <w:t>S</w:t>
      </w:r>
      <w:r w:rsidRPr="00E17822">
        <w:rPr>
          <w:rStyle w:val="st"/>
          <w:rFonts w:asciiTheme="majorHAnsi" w:hAnsiTheme="majorHAnsi"/>
          <w:sz w:val="24"/>
        </w:rPr>
        <w:t xml:space="preserve">entiment </w:t>
      </w:r>
      <w:r>
        <w:rPr>
          <w:rStyle w:val="st"/>
          <w:rFonts w:asciiTheme="majorHAnsi" w:hAnsiTheme="majorHAnsi"/>
          <w:sz w:val="24"/>
        </w:rPr>
        <w:t>I</w:t>
      </w:r>
      <w:r w:rsidRPr="00E17822">
        <w:rPr>
          <w:rStyle w:val="st"/>
          <w:rFonts w:asciiTheme="majorHAnsi" w:hAnsiTheme="majorHAnsi"/>
          <w:sz w:val="24"/>
        </w:rPr>
        <w:t>ndex rose</w:t>
      </w:r>
      <w:r>
        <w:rPr>
          <w:rStyle w:val="st"/>
          <w:rFonts w:asciiTheme="majorHAnsi" w:hAnsiTheme="majorHAnsi"/>
          <w:sz w:val="24"/>
        </w:rPr>
        <w:t>,</w:t>
      </w:r>
      <w:r w:rsidRPr="00E17822">
        <w:rPr>
          <w:rStyle w:val="st"/>
          <w:rFonts w:asciiTheme="majorHAnsi" w:hAnsiTheme="majorHAnsi"/>
          <w:sz w:val="24"/>
        </w:rPr>
        <w:t xml:space="preserve"> month-over-month</w:t>
      </w:r>
      <w:r w:rsidRPr="00E17822">
        <w:rPr>
          <w:rStyle w:val="st"/>
          <w:rFonts w:asciiTheme="majorHAnsi" w:hAnsiTheme="majorHAnsi"/>
          <w:sz w:val="24"/>
        </w:rPr>
        <w:t>, from 89.8 to 93.2.</w:t>
      </w:r>
      <w:r w:rsidRPr="00E17822">
        <w:rPr>
          <w:rStyle w:val="st"/>
          <w:rFonts w:asciiTheme="majorHAnsi" w:hAnsiTheme="majorHAnsi"/>
          <w:sz w:val="24"/>
          <w:vertAlign w:val="superscript"/>
        </w:rPr>
        <w:t>9</w:t>
      </w:r>
    </w:p>
    <w:p w14:paraId="5DF34E73" w14:textId="77777777" w:rsidR="00056927" w:rsidRPr="008B33A2" w:rsidRDefault="000176AF" w:rsidP="00E17822">
      <w:pPr>
        <w:spacing w:line="276" w:lineRule="auto"/>
        <w:jc w:val="both"/>
        <w:rPr>
          <w:rStyle w:val="st"/>
          <w:rFonts w:asciiTheme="majorHAnsi" w:hAnsiTheme="majorHAnsi"/>
          <w:sz w:val="24"/>
        </w:rPr>
      </w:pPr>
      <w:r w:rsidRPr="00E17822">
        <w:rPr>
          <w:rStyle w:val="st"/>
          <w:rFonts w:asciiTheme="majorHAnsi" w:hAnsiTheme="majorHAnsi"/>
          <w:sz w:val="24"/>
        </w:rPr>
        <w:t>Overall consumer prices ticked up 0.1% in August, leaving annualized inflation at just 1.7%. Core consumer prices (minus food and fuel costs) were up 2.4% across the 12 months ending in August, though.</w:t>
      </w:r>
      <w:r w:rsidRPr="00E17822">
        <w:rPr>
          <w:rStyle w:val="st"/>
          <w:rFonts w:asciiTheme="majorHAnsi" w:hAnsiTheme="majorHAnsi"/>
          <w:sz w:val="24"/>
          <w:vertAlign w:val="superscript"/>
        </w:rPr>
        <w:t>9</w:t>
      </w:r>
    </w:p>
    <w:p w14:paraId="07438ABB" w14:textId="77777777" w:rsidR="00775662" w:rsidRPr="00775662" w:rsidRDefault="000176AF" w:rsidP="00EE6BF2">
      <w:pPr>
        <w:spacing w:line="276" w:lineRule="auto"/>
        <w:jc w:val="both"/>
        <w:rPr>
          <w:rFonts w:asciiTheme="majorHAnsi" w:hAnsiTheme="majorHAnsi"/>
          <w:b/>
          <w:color w:val="3E7BB6"/>
          <w:sz w:val="28"/>
          <w:szCs w:val="24"/>
        </w:rPr>
      </w:pPr>
      <w:r w:rsidRPr="00775662">
        <w:rPr>
          <w:rFonts w:asciiTheme="majorHAnsi" w:hAnsiTheme="majorHAnsi"/>
          <w:b/>
          <w:color w:val="3E7BB6"/>
          <w:sz w:val="28"/>
          <w:szCs w:val="24"/>
        </w:rPr>
        <w:t>GLOBAL ECONOMIC HEALTH</w:t>
      </w:r>
    </w:p>
    <w:p w14:paraId="452DE886" w14:textId="77777777" w:rsidR="00E17822" w:rsidRPr="00E17822" w:rsidRDefault="000176AF" w:rsidP="00E17822">
      <w:pPr>
        <w:spacing w:line="276" w:lineRule="auto"/>
        <w:jc w:val="both"/>
        <w:rPr>
          <w:rFonts w:asciiTheme="majorHAnsi" w:hAnsiTheme="majorHAnsi"/>
          <w:sz w:val="24"/>
          <w:szCs w:val="24"/>
        </w:rPr>
      </w:pPr>
      <w:r w:rsidRPr="00E17822">
        <w:rPr>
          <w:rFonts w:asciiTheme="majorHAnsi" w:hAnsiTheme="majorHAnsi"/>
          <w:sz w:val="24"/>
          <w:szCs w:val="24"/>
        </w:rPr>
        <w:t>Last month, the European Central Bank (ECB) announced</w:t>
      </w:r>
      <w:r>
        <w:rPr>
          <w:rFonts w:asciiTheme="majorHAnsi" w:hAnsiTheme="majorHAnsi"/>
          <w:sz w:val="24"/>
          <w:szCs w:val="24"/>
        </w:rPr>
        <w:t xml:space="preserve"> that</w:t>
      </w:r>
      <w:r w:rsidRPr="00E17822">
        <w:rPr>
          <w:rFonts w:asciiTheme="majorHAnsi" w:hAnsiTheme="majorHAnsi"/>
          <w:sz w:val="24"/>
          <w:szCs w:val="24"/>
        </w:rPr>
        <w:t xml:space="preserve"> it was starting another asset-purchase campaign to try and stimulate the eurozone economy, with no end date in mind. Outgoing ECB president Mario Draghi (soon to be succeeded by longtime International Monetary Fund chair Christine Lagarde) noted that the </w:t>
      </w:r>
      <w:r w:rsidRPr="00E17822">
        <w:rPr>
          <w:rFonts w:asciiTheme="majorHAnsi" w:hAnsiTheme="majorHAnsi"/>
          <w:sz w:val="24"/>
          <w:szCs w:val="24"/>
        </w:rPr>
        <w:t xml:space="preserve">eurozone economy might be in for a “prolonged sag.” The </w:t>
      </w:r>
      <w:r>
        <w:rPr>
          <w:rFonts w:asciiTheme="majorHAnsi" w:hAnsiTheme="majorHAnsi"/>
          <w:sz w:val="24"/>
          <w:szCs w:val="24"/>
        </w:rPr>
        <w:t>M</w:t>
      </w:r>
      <w:r w:rsidRPr="00E17822">
        <w:rPr>
          <w:rFonts w:asciiTheme="majorHAnsi" w:hAnsiTheme="majorHAnsi"/>
          <w:sz w:val="24"/>
          <w:szCs w:val="24"/>
        </w:rPr>
        <w:t xml:space="preserve">anufacturing PMI for the eurozone dropped to 50.4 in September, near the </w:t>
      </w:r>
      <w:r w:rsidRPr="00E17822">
        <w:rPr>
          <w:rFonts w:asciiTheme="majorHAnsi" w:hAnsiTheme="majorHAnsi"/>
          <w:sz w:val="24"/>
          <w:szCs w:val="24"/>
        </w:rPr>
        <w:t>50-mark</w:t>
      </w:r>
      <w:r>
        <w:rPr>
          <w:rFonts w:asciiTheme="majorHAnsi" w:hAnsiTheme="majorHAnsi"/>
          <w:sz w:val="24"/>
          <w:szCs w:val="24"/>
        </w:rPr>
        <w:t>,</w:t>
      </w:r>
      <w:r w:rsidRPr="00E17822">
        <w:rPr>
          <w:rFonts w:asciiTheme="majorHAnsi" w:hAnsiTheme="majorHAnsi"/>
          <w:sz w:val="24"/>
          <w:szCs w:val="24"/>
        </w:rPr>
        <w:t xml:space="preserve"> delineating sector contraction from sector expansion. Germany’s </w:t>
      </w:r>
      <w:r>
        <w:rPr>
          <w:rFonts w:asciiTheme="majorHAnsi" w:hAnsiTheme="majorHAnsi"/>
          <w:sz w:val="24"/>
          <w:szCs w:val="24"/>
        </w:rPr>
        <w:t>F</w:t>
      </w:r>
      <w:r w:rsidRPr="00E17822">
        <w:rPr>
          <w:rFonts w:asciiTheme="majorHAnsi" w:hAnsiTheme="majorHAnsi"/>
          <w:sz w:val="24"/>
          <w:szCs w:val="24"/>
        </w:rPr>
        <w:t>actory PMI sank to 41.4 in September, a 10-year low.</w:t>
      </w:r>
      <w:r w:rsidRPr="00E17822">
        <w:rPr>
          <w:rFonts w:asciiTheme="majorHAnsi" w:hAnsiTheme="majorHAnsi"/>
          <w:sz w:val="24"/>
          <w:szCs w:val="24"/>
          <w:vertAlign w:val="superscript"/>
        </w:rPr>
        <w:t>10,11</w:t>
      </w:r>
    </w:p>
    <w:p w14:paraId="0D3E2630" w14:textId="77777777" w:rsidR="00E17822" w:rsidRPr="00E17822" w:rsidRDefault="000176AF" w:rsidP="00E17822">
      <w:pPr>
        <w:spacing w:line="276" w:lineRule="auto"/>
        <w:jc w:val="both"/>
        <w:rPr>
          <w:rFonts w:asciiTheme="majorHAnsi" w:hAnsiTheme="majorHAnsi"/>
          <w:sz w:val="24"/>
          <w:szCs w:val="24"/>
        </w:rPr>
      </w:pPr>
      <w:r w:rsidRPr="00E17822">
        <w:rPr>
          <w:rFonts w:asciiTheme="majorHAnsi" w:hAnsiTheme="majorHAnsi"/>
          <w:sz w:val="24"/>
          <w:szCs w:val="24"/>
        </w:rPr>
        <w:t xml:space="preserve">The United Kingdom’s highest court ruled that Prime Minister Boris Johnson’s summer decision to suspend Parliament for five weeks was unlawful. Despite calls for him to resign, Johnson refused to step down after the September 24 ruling, </w:t>
      </w:r>
      <w:r>
        <w:rPr>
          <w:rFonts w:asciiTheme="majorHAnsi" w:hAnsiTheme="majorHAnsi"/>
          <w:sz w:val="24"/>
          <w:szCs w:val="24"/>
        </w:rPr>
        <w:t>while maintai</w:t>
      </w:r>
      <w:r>
        <w:rPr>
          <w:rFonts w:asciiTheme="majorHAnsi" w:hAnsiTheme="majorHAnsi"/>
          <w:sz w:val="24"/>
          <w:szCs w:val="24"/>
        </w:rPr>
        <w:t>ning</w:t>
      </w:r>
      <w:r w:rsidRPr="00E17822">
        <w:rPr>
          <w:rFonts w:asciiTheme="majorHAnsi" w:hAnsiTheme="majorHAnsi"/>
          <w:sz w:val="24"/>
          <w:szCs w:val="24"/>
        </w:rPr>
        <w:t xml:space="preserve"> that Brexit would still happen by Halloween.</w:t>
      </w:r>
      <w:r w:rsidRPr="00E17822">
        <w:rPr>
          <w:rFonts w:asciiTheme="majorHAnsi" w:hAnsiTheme="majorHAnsi"/>
          <w:sz w:val="24"/>
          <w:szCs w:val="24"/>
          <w:vertAlign w:val="superscript"/>
        </w:rPr>
        <w:t>12</w:t>
      </w:r>
    </w:p>
    <w:p w14:paraId="244BBA2F" w14:textId="77777777" w:rsidR="00775662" w:rsidRPr="0083458D" w:rsidRDefault="000176AF" w:rsidP="00E17822">
      <w:pPr>
        <w:spacing w:line="276" w:lineRule="auto"/>
        <w:jc w:val="both"/>
        <w:rPr>
          <w:rFonts w:asciiTheme="majorHAnsi" w:hAnsiTheme="majorHAnsi"/>
          <w:sz w:val="24"/>
          <w:szCs w:val="24"/>
          <w:vertAlign w:val="superscript"/>
        </w:rPr>
      </w:pPr>
      <w:r w:rsidRPr="00E17822">
        <w:rPr>
          <w:rFonts w:asciiTheme="majorHAnsi" w:hAnsiTheme="majorHAnsi"/>
          <w:sz w:val="24"/>
          <w:szCs w:val="24"/>
        </w:rPr>
        <w:t>China’s year-over-year industrial output slowed to a 4.4% pace in August, down from what was already a 17-year low of 4.8% in July. Economists polled by Reuters thought the August number would be 5.2%. Th</w:t>
      </w:r>
      <w:r w:rsidRPr="00E17822">
        <w:rPr>
          <w:rFonts w:asciiTheme="majorHAnsi" w:hAnsiTheme="majorHAnsi"/>
          <w:sz w:val="24"/>
          <w:szCs w:val="24"/>
        </w:rPr>
        <w:t>e nation’s annual pace of retail sales also declined in August to 7.5%. Oxford Economics forecasts a 2019 gross domestic product of just 6.1% for China, declining to 5.7% in 2020.</w:t>
      </w:r>
      <w:r w:rsidRPr="00E17822">
        <w:rPr>
          <w:rFonts w:asciiTheme="majorHAnsi" w:hAnsiTheme="majorHAnsi"/>
          <w:sz w:val="24"/>
          <w:szCs w:val="24"/>
          <w:vertAlign w:val="superscript"/>
        </w:rPr>
        <w:t>13</w:t>
      </w:r>
    </w:p>
    <w:p w14:paraId="0F9EE7FF" w14:textId="77777777" w:rsidR="00B87E49" w:rsidRDefault="000176AF" w:rsidP="00946B0D">
      <w:pPr>
        <w:pStyle w:val="PlainText"/>
        <w:spacing w:after="160" w:line="276" w:lineRule="auto"/>
        <w:jc w:val="both"/>
        <w:rPr>
          <w:rFonts w:asciiTheme="majorHAnsi" w:hAnsiTheme="majorHAnsi"/>
          <w:b/>
          <w:color w:val="3E7BB6"/>
          <w:sz w:val="28"/>
          <w:szCs w:val="24"/>
        </w:rPr>
      </w:pPr>
      <w:r w:rsidRPr="00775662">
        <w:rPr>
          <w:rFonts w:asciiTheme="majorHAnsi" w:hAnsiTheme="majorHAnsi"/>
          <w:b/>
          <w:color w:val="3E7BB6"/>
          <w:sz w:val="28"/>
          <w:szCs w:val="24"/>
        </w:rPr>
        <w:t>WORLD MARKETS</w:t>
      </w:r>
    </w:p>
    <w:p w14:paraId="5E36EDD6" w14:textId="77777777" w:rsidR="0083458D" w:rsidRDefault="000176AF" w:rsidP="00D155E6">
      <w:pPr>
        <w:pStyle w:val="PlainText"/>
        <w:spacing w:after="160" w:line="276" w:lineRule="auto"/>
        <w:jc w:val="both"/>
        <w:rPr>
          <w:rFonts w:asciiTheme="majorHAnsi" w:hAnsiTheme="majorHAnsi" w:cstheme="majorHAnsi"/>
          <w:sz w:val="24"/>
          <w:szCs w:val="24"/>
          <w:vertAlign w:val="superscript"/>
        </w:rPr>
      </w:pPr>
      <w:r>
        <w:rPr>
          <w:rFonts w:asciiTheme="majorHAnsi" w:hAnsiTheme="majorHAnsi" w:cstheme="majorHAnsi"/>
          <w:sz w:val="24"/>
          <w:szCs w:val="24"/>
        </w:rPr>
        <w:t>Along with the S&amp;P 500, many foreign indices posted Septemb</w:t>
      </w:r>
      <w:r>
        <w:rPr>
          <w:rFonts w:asciiTheme="majorHAnsi" w:hAnsiTheme="majorHAnsi" w:cstheme="majorHAnsi"/>
          <w:sz w:val="24"/>
          <w:szCs w:val="24"/>
        </w:rPr>
        <w:t>er gains – in fact, it is hard to find a September loss for any consequential benchmark. In the Americas, Brazil’s Bovespa rose 3.90%</w:t>
      </w:r>
      <w:r>
        <w:rPr>
          <w:rFonts w:asciiTheme="majorHAnsi" w:hAnsiTheme="majorHAnsi" w:cstheme="majorHAnsi"/>
          <w:sz w:val="24"/>
          <w:szCs w:val="24"/>
        </w:rPr>
        <w:t>;</w:t>
      </w:r>
      <w:r>
        <w:rPr>
          <w:rFonts w:asciiTheme="majorHAnsi" w:hAnsiTheme="majorHAnsi" w:cstheme="majorHAnsi"/>
          <w:sz w:val="24"/>
          <w:szCs w:val="24"/>
        </w:rPr>
        <w:t xml:space="preserve"> Argentina’s Merval</w:t>
      </w:r>
      <w:r>
        <w:rPr>
          <w:rFonts w:asciiTheme="majorHAnsi" w:hAnsiTheme="majorHAnsi" w:cstheme="majorHAnsi"/>
          <w:sz w:val="24"/>
          <w:szCs w:val="24"/>
        </w:rPr>
        <w:t>,</w:t>
      </w:r>
      <w:r>
        <w:rPr>
          <w:rFonts w:asciiTheme="majorHAnsi" w:hAnsiTheme="majorHAnsi" w:cstheme="majorHAnsi"/>
          <w:sz w:val="24"/>
          <w:szCs w:val="24"/>
        </w:rPr>
        <w:t xml:space="preserve"> 17.35%</w:t>
      </w:r>
      <w:r>
        <w:rPr>
          <w:rFonts w:asciiTheme="majorHAnsi" w:hAnsiTheme="majorHAnsi" w:cstheme="majorHAnsi"/>
          <w:sz w:val="24"/>
          <w:szCs w:val="24"/>
        </w:rPr>
        <w:t>.</w:t>
      </w:r>
      <w:r>
        <w:rPr>
          <w:rFonts w:asciiTheme="majorHAnsi" w:hAnsiTheme="majorHAnsi" w:cstheme="majorHAnsi"/>
          <w:sz w:val="24"/>
          <w:szCs w:val="24"/>
        </w:rPr>
        <w:t xml:space="preserve"> Canada’s TSX Composite advanced 1.35%. Spain’s IBEX 35 improved 4.90%</w:t>
      </w:r>
      <w:r>
        <w:rPr>
          <w:rFonts w:asciiTheme="majorHAnsi" w:hAnsiTheme="majorHAnsi" w:cstheme="majorHAnsi"/>
          <w:sz w:val="24"/>
          <w:szCs w:val="24"/>
        </w:rPr>
        <w:t>;</w:t>
      </w:r>
      <w:r>
        <w:rPr>
          <w:rFonts w:asciiTheme="majorHAnsi" w:hAnsiTheme="majorHAnsi" w:cstheme="majorHAnsi"/>
          <w:sz w:val="24"/>
          <w:szCs w:val="24"/>
        </w:rPr>
        <w:t xml:space="preserve"> France’s CAC 40</w:t>
      </w:r>
      <w:r>
        <w:rPr>
          <w:rFonts w:asciiTheme="majorHAnsi" w:hAnsiTheme="majorHAnsi" w:cstheme="majorHAnsi"/>
          <w:sz w:val="24"/>
          <w:szCs w:val="24"/>
        </w:rPr>
        <w:t>,</w:t>
      </w:r>
      <w:r>
        <w:rPr>
          <w:rFonts w:asciiTheme="majorHAnsi" w:hAnsiTheme="majorHAnsi" w:cstheme="majorHAnsi"/>
          <w:sz w:val="24"/>
          <w:szCs w:val="24"/>
        </w:rPr>
        <w:t xml:space="preserve"> 3.60%. The regional FTSE Eurofirst 300 </w:t>
      </w:r>
      <w:r>
        <w:rPr>
          <w:rFonts w:asciiTheme="majorHAnsi" w:hAnsiTheme="majorHAnsi" w:cstheme="majorHAnsi"/>
          <w:sz w:val="24"/>
          <w:szCs w:val="24"/>
        </w:rPr>
        <w:t xml:space="preserve">index </w:t>
      </w:r>
      <w:r>
        <w:rPr>
          <w:rFonts w:asciiTheme="majorHAnsi" w:hAnsiTheme="majorHAnsi" w:cstheme="majorHAnsi"/>
          <w:sz w:val="24"/>
          <w:szCs w:val="24"/>
        </w:rPr>
        <w:t xml:space="preserve">gained 3.51%, and the FTSE 100 </w:t>
      </w:r>
      <w:r>
        <w:rPr>
          <w:rFonts w:asciiTheme="majorHAnsi" w:hAnsiTheme="majorHAnsi" w:cstheme="majorHAnsi"/>
          <w:sz w:val="24"/>
          <w:szCs w:val="24"/>
        </w:rPr>
        <w:t xml:space="preserve">index, </w:t>
      </w:r>
      <w:r>
        <w:rPr>
          <w:rFonts w:asciiTheme="majorHAnsi" w:hAnsiTheme="majorHAnsi" w:cstheme="majorHAnsi"/>
          <w:sz w:val="24"/>
          <w:szCs w:val="24"/>
        </w:rPr>
        <w:t>tracking stocks in the United Kingdom</w:t>
      </w:r>
      <w:r>
        <w:rPr>
          <w:rFonts w:asciiTheme="majorHAnsi" w:hAnsiTheme="majorHAnsi" w:cstheme="majorHAnsi"/>
          <w:sz w:val="24"/>
          <w:szCs w:val="24"/>
        </w:rPr>
        <w:t>,</w:t>
      </w:r>
      <w:r>
        <w:rPr>
          <w:rFonts w:asciiTheme="majorHAnsi" w:hAnsiTheme="majorHAnsi" w:cstheme="majorHAnsi"/>
          <w:sz w:val="24"/>
          <w:szCs w:val="24"/>
        </w:rPr>
        <w:t xml:space="preserve"> rose 2.79%.</w:t>
      </w:r>
      <w:r w:rsidRPr="00BD5337">
        <w:rPr>
          <w:rFonts w:asciiTheme="majorHAnsi" w:hAnsiTheme="majorHAnsi" w:cstheme="majorHAnsi"/>
          <w:sz w:val="24"/>
          <w:szCs w:val="24"/>
          <w:vertAlign w:val="superscript"/>
        </w:rPr>
        <w:t>1</w:t>
      </w:r>
      <w:r>
        <w:rPr>
          <w:rFonts w:asciiTheme="majorHAnsi" w:hAnsiTheme="majorHAnsi" w:cstheme="majorHAnsi"/>
          <w:sz w:val="24"/>
          <w:szCs w:val="24"/>
          <w:vertAlign w:val="superscript"/>
        </w:rPr>
        <w:t>4</w:t>
      </w:r>
    </w:p>
    <w:p w14:paraId="7C4F2087" w14:textId="77777777" w:rsidR="002F5260" w:rsidRPr="009B50F1" w:rsidRDefault="000176AF" w:rsidP="00D155E6">
      <w:pPr>
        <w:pStyle w:val="PlainText"/>
        <w:spacing w:after="160" w:line="276" w:lineRule="auto"/>
        <w:jc w:val="both"/>
        <w:rPr>
          <w:rFonts w:asciiTheme="majorHAnsi" w:hAnsiTheme="majorHAnsi" w:cstheme="majorHAnsi"/>
          <w:sz w:val="24"/>
          <w:szCs w:val="24"/>
        </w:rPr>
      </w:pPr>
      <w:r>
        <w:rPr>
          <w:rFonts w:asciiTheme="majorHAnsi" w:hAnsiTheme="majorHAnsi" w:cstheme="majorHAnsi"/>
          <w:sz w:val="24"/>
          <w:szCs w:val="24"/>
        </w:rPr>
        <w:t>Turning to the Asia</w:t>
      </w:r>
      <w:r>
        <w:rPr>
          <w:rFonts w:asciiTheme="majorHAnsi" w:hAnsiTheme="majorHAnsi" w:cstheme="majorHAnsi"/>
          <w:sz w:val="24"/>
          <w:szCs w:val="24"/>
        </w:rPr>
        <w:t>-</w:t>
      </w:r>
      <w:r>
        <w:rPr>
          <w:rFonts w:asciiTheme="majorHAnsi" w:hAnsiTheme="majorHAnsi" w:cstheme="majorHAnsi"/>
          <w:sz w:val="24"/>
          <w:szCs w:val="24"/>
        </w:rPr>
        <w:t xml:space="preserve">Pacific region, the Nikkei 225 jumped 5.08% in September. South Korea’s Kospi and India’s Nifty 50 </w:t>
      </w:r>
      <w:r>
        <w:rPr>
          <w:rFonts w:asciiTheme="majorHAnsi" w:hAnsiTheme="majorHAnsi" w:cstheme="majorHAnsi"/>
          <w:sz w:val="24"/>
          <w:szCs w:val="24"/>
        </w:rPr>
        <w:t xml:space="preserve">indices respectively added 4.84% and 4.09%. India’s other equity </w:t>
      </w:r>
      <w:r w:rsidRPr="009B50F1">
        <w:rPr>
          <w:rFonts w:asciiTheme="majorHAnsi" w:hAnsiTheme="majorHAnsi" w:cstheme="majorHAnsi"/>
          <w:sz w:val="24"/>
          <w:szCs w:val="24"/>
        </w:rPr>
        <w:t>benchmark, the Sensex, rose 3.57%. Taiwan’s TSE 50 improved 2.71%, Australia’s All Ordinaries</w:t>
      </w:r>
      <w:r>
        <w:rPr>
          <w:rFonts w:asciiTheme="majorHAnsi" w:hAnsiTheme="majorHAnsi" w:cstheme="majorHAnsi"/>
          <w:sz w:val="24"/>
          <w:szCs w:val="24"/>
        </w:rPr>
        <w:t>,</w:t>
      </w:r>
      <w:r w:rsidRPr="009B50F1">
        <w:rPr>
          <w:rFonts w:asciiTheme="majorHAnsi" w:hAnsiTheme="majorHAnsi" w:cstheme="majorHAnsi"/>
          <w:sz w:val="24"/>
          <w:szCs w:val="24"/>
        </w:rPr>
        <w:t xml:space="preserve"> 1.53%</w:t>
      </w:r>
      <w:r>
        <w:rPr>
          <w:rFonts w:asciiTheme="majorHAnsi" w:hAnsiTheme="majorHAnsi" w:cstheme="majorHAnsi"/>
          <w:sz w:val="24"/>
          <w:szCs w:val="24"/>
        </w:rPr>
        <w:t>;</w:t>
      </w:r>
      <w:r w:rsidRPr="009B50F1">
        <w:rPr>
          <w:rFonts w:asciiTheme="majorHAnsi" w:hAnsiTheme="majorHAnsi" w:cstheme="majorHAnsi"/>
          <w:sz w:val="24"/>
          <w:szCs w:val="24"/>
        </w:rPr>
        <w:t xml:space="preserve"> Hong Kong’s Hang Seng</w:t>
      </w:r>
      <w:r>
        <w:rPr>
          <w:rFonts w:asciiTheme="majorHAnsi" w:hAnsiTheme="majorHAnsi" w:cstheme="majorHAnsi"/>
          <w:sz w:val="24"/>
          <w:szCs w:val="24"/>
        </w:rPr>
        <w:t>,</w:t>
      </w:r>
      <w:r w:rsidRPr="009B50F1">
        <w:rPr>
          <w:rFonts w:asciiTheme="majorHAnsi" w:hAnsiTheme="majorHAnsi" w:cstheme="majorHAnsi"/>
          <w:sz w:val="24"/>
          <w:szCs w:val="24"/>
        </w:rPr>
        <w:t xml:space="preserve"> 1.43%</w:t>
      </w:r>
      <w:r>
        <w:rPr>
          <w:rFonts w:asciiTheme="majorHAnsi" w:hAnsiTheme="majorHAnsi" w:cstheme="majorHAnsi"/>
          <w:sz w:val="24"/>
          <w:szCs w:val="24"/>
        </w:rPr>
        <w:t xml:space="preserve">; </w:t>
      </w:r>
      <w:r w:rsidRPr="009B50F1">
        <w:rPr>
          <w:rFonts w:asciiTheme="majorHAnsi" w:hAnsiTheme="majorHAnsi" w:cstheme="majorHAnsi"/>
          <w:sz w:val="24"/>
          <w:szCs w:val="24"/>
        </w:rPr>
        <w:t>China’s Shanghai Composite</w:t>
      </w:r>
      <w:r>
        <w:rPr>
          <w:rFonts w:asciiTheme="majorHAnsi" w:hAnsiTheme="majorHAnsi" w:cstheme="majorHAnsi"/>
          <w:sz w:val="24"/>
          <w:szCs w:val="24"/>
        </w:rPr>
        <w:t>,</w:t>
      </w:r>
      <w:r w:rsidRPr="009B50F1">
        <w:rPr>
          <w:rFonts w:asciiTheme="majorHAnsi" w:hAnsiTheme="majorHAnsi" w:cstheme="majorHAnsi"/>
          <w:sz w:val="24"/>
          <w:szCs w:val="24"/>
        </w:rPr>
        <w:t xml:space="preserve"> 0.66%.</w:t>
      </w:r>
      <w:r w:rsidRPr="009B50F1">
        <w:rPr>
          <w:rFonts w:asciiTheme="majorHAnsi" w:hAnsiTheme="majorHAnsi" w:cstheme="majorHAnsi"/>
          <w:sz w:val="24"/>
          <w:szCs w:val="24"/>
        </w:rPr>
        <w:t xml:space="preserve"> The MSCI </w:t>
      </w:r>
      <w:r w:rsidRPr="009B50F1">
        <w:rPr>
          <w:rFonts w:asciiTheme="majorHAnsi" w:hAnsiTheme="majorHAnsi" w:cstheme="majorHAnsi"/>
          <w:sz w:val="24"/>
          <w:szCs w:val="24"/>
        </w:rPr>
        <w:t>EAFE index, a b</w:t>
      </w:r>
      <w:r w:rsidRPr="009B50F1">
        <w:rPr>
          <w:rFonts w:asciiTheme="majorHAnsi" w:hAnsiTheme="majorHAnsi" w:cstheme="majorHAnsi"/>
          <w:sz w:val="24"/>
          <w:szCs w:val="24"/>
        </w:rPr>
        <w:t xml:space="preserve">enchmark </w:t>
      </w:r>
      <w:r>
        <w:rPr>
          <w:rFonts w:asciiTheme="majorHAnsi" w:hAnsiTheme="majorHAnsi" w:cstheme="majorHAnsi"/>
          <w:sz w:val="24"/>
          <w:szCs w:val="24"/>
        </w:rPr>
        <w:t>for</w:t>
      </w:r>
      <w:r w:rsidRPr="009B50F1">
        <w:rPr>
          <w:rFonts w:asciiTheme="majorHAnsi" w:hAnsiTheme="majorHAnsi" w:cstheme="majorHAnsi"/>
          <w:sz w:val="24"/>
          <w:szCs w:val="24"/>
        </w:rPr>
        <w:t xml:space="preserve"> developed stock market</w:t>
      </w:r>
      <w:r>
        <w:rPr>
          <w:rFonts w:asciiTheme="majorHAnsi" w:hAnsiTheme="majorHAnsi" w:cstheme="majorHAnsi"/>
          <w:sz w:val="24"/>
          <w:szCs w:val="24"/>
        </w:rPr>
        <w:t>s</w:t>
      </w:r>
      <w:r w:rsidRPr="009B50F1">
        <w:rPr>
          <w:rFonts w:asciiTheme="majorHAnsi" w:hAnsiTheme="majorHAnsi" w:cstheme="majorHAnsi"/>
          <w:sz w:val="24"/>
          <w:szCs w:val="24"/>
        </w:rPr>
        <w:t xml:space="preserve"> </w:t>
      </w:r>
      <w:r>
        <w:rPr>
          <w:rFonts w:asciiTheme="majorHAnsi" w:hAnsiTheme="majorHAnsi" w:cstheme="majorHAnsi"/>
          <w:sz w:val="24"/>
          <w:szCs w:val="24"/>
        </w:rPr>
        <w:t>outside the U.S.</w:t>
      </w:r>
      <w:r w:rsidRPr="009B50F1">
        <w:rPr>
          <w:rFonts w:asciiTheme="majorHAnsi" w:hAnsiTheme="majorHAnsi" w:cstheme="majorHAnsi"/>
          <w:sz w:val="24"/>
          <w:szCs w:val="24"/>
        </w:rPr>
        <w:t>, rose</w:t>
      </w:r>
      <w:r w:rsidRPr="009B50F1">
        <w:rPr>
          <w:rFonts w:asciiTheme="majorHAnsi" w:hAnsiTheme="majorHAnsi" w:cstheme="majorHAnsi"/>
          <w:sz w:val="24"/>
          <w:szCs w:val="24"/>
        </w:rPr>
        <w:t xml:space="preserve"> </w:t>
      </w:r>
      <w:r w:rsidRPr="009B50F1">
        <w:rPr>
          <w:rFonts w:asciiTheme="majorHAnsi" w:hAnsiTheme="majorHAnsi" w:cstheme="majorHAnsi"/>
          <w:sz w:val="24"/>
          <w:szCs w:val="24"/>
        </w:rPr>
        <w:t>2</w:t>
      </w:r>
      <w:r w:rsidRPr="009B50F1">
        <w:rPr>
          <w:rFonts w:asciiTheme="majorHAnsi" w:hAnsiTheme="majorHAnsi" w:cstheme="majorHAnsi"/>
          <w:sz w:val="24"/>
          <w:szCs w:val="24"/>
        </w:rPr>
        <w:t>.</w:t>
      </w:r>
      <w:r w:rsidRPr="009B50F1">
        <w:rPr>
          <w:rFonts w:asciiTheme="majorHAnsi" w:hAnsiTheme="majorHAnsi" w:cstheme="majorHAnsi"/>
          <w:sz w:val="24"/>
          <w:szCs w:val="24"/>
        </w:rPr>
        <w:t>54</w:t>
      </w:r>
      <w:r w:rsidRPr="009B50F1">
        <w:rPr>
          <w:rFonts w:asciiTheme="majorHAnsi" w:hAnsiTheme="majorHAnsi" w:cstheme="majorHAnsi"/>
          <w:sz w:val="24"/>
          <w:szCs w:val="24"/>
        </w:rPr>
        <w:t>%.</w:t>
      </w:r>
      <w:r w:rsidRPr="009B50F1">
        <w:rPr>
          <w:rFonts w:asciiTheme="majorHAnsi" w:hAnsiTheme="majorHAnsi" w:cstheme="majorHAnsi"/>
          <w:sz w:val="24"/>
          <w:szCs w:val="24"/>
          <w:vertAlign w:val="superscript"/>
        </w:rPr>
        <w:t>1</w:t>
      </w:r>
      <w:r w:rsidRPr="009B50F1">
        <w:rPr>
          <w:rFonts w:asciiTheme="majorHAnsi" w:hAnsiTheme="majorHAnsi" w:cstheme="majorHAnsi"/>
          <w:sz w:val="24"/>
          <w:szCs w:val="24"/>
          <w:vertAlign w:val="superscript"/>
        </w:rPr>
        <w:t>4,1</w:t>
      </w:r>
      <w:r w:rsidRPr="009B50F1">
        <w:rPr>
          <w:rFonts w:asciiTheme="majorHAnsi" w:hAnsiTheme="majorHAnsi" w:cstheme="majorHAnsi"/>
          <w:sz w:val="24"/>
          <w:szCs w:val="24"/>
          <w:vertAlign w:val="superscript"/>
        </w:rPr>
        <w:t>5</w:t>
      </w:r>
    </w:p>
    <w:p w14:paraId="47047027" w14:textId="77777777" w:rsidR="00DD38C0" w:rsidRPr="00775662" w:rsidRDefault="000176AF" w:rsidP="00946B0D">
      <w:pPr>
        <w:spacing w:line="276" w:lineRule="auto"/>
        <w:jc w:val="both"/>
        <w:rPr>
          <w:rFonts w:asciiTheme="majorHAnsi" w:hAnsiTheme="majorHAnsi"/>
          <w:b/>
          <w:color w:val="3E7BB6"/>
          <w:sz w:val="28"/>
          <w:szCs w:val="24"/>
        </w:rPr>
      </w:pPr>
      <w:r>
        <w:rPr>
          <w:rFonts w:asciiTheme="majorHAnsi" w:hAnsiTheme="majorHAnsi"/>
          <w:b/>
          <w:color w:val="3E7BB6"/>
          <w:sz w:val="28"/>
          <w:szCs w:val="24"/>
        </w:rPr>
        <w:lastRenderedPageBreak/>
        <w:t>COMMODITIES MARKETS</w:t>
      </w:r>
    </w:p>
    <w:p w14:paraId="104F7605" w14:textId="77777777" w:rsidR="00E17822" w:rsidRDefault="000176AF" w:rsidP="00D155E6">
      <w:pPr>
        <w:pStyle w:val="PlainText"/>
        <w:spacing w:after="160" w:line="276" w:lineRule="auto"/>
        <w:jc w:val="both"/>
        <w:rPr>
          <w:rStyle w:val="st"/>
          <w:rFonts w:asciiTheme="majorHAnsi" w:hAnsiTheme="majorHAnsi"/>
          <w:sz w:val="24"/>
          <w:szCs w:val="24"/>
        </w:rPr>
      </w:pPr>
      <w:r>
        <w:rPr>
          <w:rStyle w:val="st"/>
          <w:rFonts w:asciiTheme="majorHAnsi" w:hAnsiTheme="majorHAnsi"/>
          <w:sz w:val="24"/>
          <w:szCs w:val="24"/>
        </w:rPr>
        <w:t xml:space="preserve">Oil </w:t>
      </w:r>
      <w:r>
        <w:rPr>
          <w:rStyle w:val="st"/>
          <w:rFonts w:asciiTheme="majorHAnsi" w:hAnsiTheme="majorHAnsi"/>
          <w:sz w:val="24"/>
          <w:szCs w:val="24"/>
        </w:rPr>
        <w:t>actually lost</w:t>
      </w:r>
      <w:r>
        <w:rPr>
          <w:rStyle w:val="st"/>
          <w:rFonts w:asciiTheme="majorHAnsi" w:hAnsiTheme="majorHAnsi"/>
          <w:sz w:val="24"/>
          <w:szCs w:val="24"/>
        </w:rPr>
        <w:t xml:space="preserve"> </w:t>
      </w:r>
      <w:r>
        <w:rPr>
          <w:rStyle w:val="st"/>
          <w:rFonts w:asciiTheme="majorHAnsi" w:hAnsiTheme="majorHAnsi"/>
          <w:sz w:val="24"/>
          <w:szCs w:val="24"/>
        </w:rPr>
        <w:t>1</w:t>
      </w:r>
      <w:r>
        <w:rPr>
          <w:rStyle w:val="st"/>
          <w:rFonts w:asciiTheme="majorHAnsi" w:hAnsiTheme="majorHAnsi"/>
          <w:sz w:val="24"/>
          <w:szCs w:val="24"/>
        </w:rPr>
        <w:t>.</w:t>
      </w:r>
      <w:r>
        <w:rPr>
          <w:rStyle w:val="st"/>
          <w:rFonts w:asciiTheme="majorHAnsi" w:hAnsiTheme="majorHAnsi"/>
          <w:sz w:val="24"/>
          <w:szCs w:val="24"/>
        </w:rPr>
        <w:t>76</w:t>
      </w:r>
      <w:r>
        <w:rPr>
          <w:rStyle w:val="st"/>
          <w:rFonts w:asciiTheme="majorHAnsi" w:hAnsiTheme="majorHAnsi"/>
          <w:sz w:val="24"/>
          <w:szCs w:val="24"/>
        </w:rPr>
        <w:t xml:space="preserve">% </w:t>
      </w:r>
      <w:r w:rsidRPr="0041245E">
        <w:rPr>
          <w:rStyle w:val="st"/>
          <w:rFonts w:asciiTheme="majorHAnsi" w:hAnsiTheme="majorHAnsi"/>
          <w:sz w:val="24"/>
          <w:szCs w:val="24"/>
        </w:rPr>
        <w:t xml:space="preserve">across September, </w:t>
      </w:r>
      <w:r w:rsidRPr="0041245E">
        <w:rPr>
          <w:rStyle w:val="st"/>
          <w:rFonts w:asciiTheme="majorHAnsi" w:hAnsiTheme="majorHAnsi"/>
          <w:sz w:val="24"/>
          <w:szCs w:val="24"/>
        </w:rPr>
        <w:t xml:space="preserve">even </w:t>
      </w:r>
      <w:r w:rsidRPr="0041245E">
        <w:rPr>
          <w:rStyle w:val="st"/>
          <w:rFonts w:asciiTheme="majorHAnsi" w:hAnsiTheme="majorHAnsi"/>
          <w:sz w:val="24"/>
          <w:szCs w:val="24"/>
        </w:rPr>
        <w:t xml:space="preserve">with its mid-month price leap. </w:t>
      </w:r>
      <w:r>
        <w:rPr>
          <w:rStyle w:val="st"/>
          <w:rFonts w:asciiTheme="majorHAnsi" w:hAnsiTheme="majorHAnsi"/>
          <w:sz w:val="24"/>
          <w:szCs w:val="24"/>
        </w:rPr>
        <w:t xml:space="preserve">WTI crude ended the month at $54.20 on the New York Mercantile Exchange (NYMEX). </w:t>
      </w:r>
      <w:r w:rsidRPr="0041245E">
        <w:rPr>
          <w:rStyle w:val="st"/>
          <w:rFonts w:asciiTheme="majorHAnsi" w:hAnsiTheme="majorHAnsi"/>
          <w:sz w:val="24"/>
          <w:szCs w:val="24"/>
        </w:rPr>
        <w:t xml:space="preserve">Crude </w:t>
      </w:r>
      <w:r>
        <w:rPr>
          <w:rStyle w:val="st"/>
          <w:rFonts w:asciiTheme="majorHAnsi" w:hAnsiTheme="majorHAnsi"/>
          <w:sz w:val="24"/>
          <w:szCs w:val="24"/>
        </w:rPr>
        <w:t xml:space="preserve">at least </w:t>
      </w:r>
      <w:r w:rsidRPr="0041245E">
        <w:rPr>
          <w:rStyle w:val="st"/>
          <w:rFonts w:asciiTheme="majorHAnsi" w:hAnsiTheme="majorHAnsi"/>
          <w:sz w:val="24"/>
          <w:szCs w:val="24"/>
        </w:rPr>
        <w:t xml:space="preserve">outperformed </w:t>
      </w:r>
      <w:r w:rsidRPr="0041245E">
        <w:rPr>
          <w:rStyle w:val="st"/>
          <w:rFonts w:asciiTheme="majorHAnsi" w:hAnsiTheme="majorHAnsi"/>
          <w:sz w:val="24"/>
          <w:szCs w:val="24"/>
        </w:rPr>
        <w:t>unleaded gasoline</w:t>
      </w:r>
      <w:r>
        <w:rPr>
          <w:rStyle w:val="st"/>
          <w:rFonts w:asciiTheme="majorHAnsi" w:hAnsiTheme="majorHAnsi"/>
          <w:sz w:val="24"/>
          <w:szCs w:val="24"/>
        </w:rPr>
        <w:t>, which</w:t>
      </w:r>
      <w:r w:rsidRPr="0041245E">
        <w:rPr>
          <w:rStyle w:val="st"/>
          <w:rFonts w:asciiTheme="majorHAnsi" w:hAnsiTheme="majorHAnsi"/>
          <w:sz w:val="24"/>
          <w:szCs w:val="24"/>
        </w:rPr>
        <w:t xml:space="preserve"> </w:t>
      </w:r>
      <w:r>
        <w:rPr>
          <w:rStyle w:val="st"/>
          <w:rFonts w:asciiTheme="majorHAnsi" w:hAnsiTheme="majorHAnsi"/>
          <w:sz w:val="24"/>
          <w:szCs w:val="24"/>
        </w:rPr>
        <w:t>fell</w:t>
      </w:r>
      <w:r w:rsidRPr="0041245E">
        <w:rPr>
          <w:rStyle w:val="st"/>
          <w:rFonts w:asciiTheme="majorHAnsi" w:hAnsiTheme="majorHAnsi"/>
          <w:sz w:val="24"/>
          <w:szCs w:val="24"/>
        </w:rPr>
        <w:t xml:space="preserve"> 2.47%. </w:t>
      </w:r>
      <w:r w:rsidRPr="0041245E">
        <w:rPr>
          <w:rStyle w:val="st"/>
          <w:rFonts w:asciiTheme="majorHAnsi" w:hAnsiTheme="majorHAnsi"/>
          <w:sz w:val="24"/>
          <w:szCs w:val="24"/>
        </w:rPr>
        <w:t>Heating oil, on the other hand,</w:t>
      </w:r>
      <w:r w:rsidRPr="0041245E">
        <w:rPr>
          <w:rStyle w:val="st"/>
          <w:rFonts w:asciiTheme="majorHAnsi" w:hAnsiTheme="majorHAnsi"/>
          <w:sz w:val="24"/>
          <w:szCs w:val="24"/>
        </w:rPr>
        <w:t xml:space="preserve"> </w:t>
      </w:r>
      <w:r w:rsidRPr="0041245E">
        <w:rPr>
          <w:rStyle w:val="st"/>
          <w:rFonts w:asciiTheme="majorHAnsi" w:hAnsiTheme="majorHAnsi"/>
          <w:sz w:val="24"/>
          <w:szCs w:val="24"/>
        </w:rPr>
        <w:t>rose</w:t>
      </w:r>
      <w:r w:rsidRPr="0041245E">
        <w:rPr>
          <w:rStyle w:val="st"/>
          <w:rFonts w:asciiTheme="majorHAnsi" w:hAnsiTheme="majorHAnsi"/>
          <w:sz w:val="24"/>
          <w:szCs w:val="24"/>
        </w:rPr>
        <w:t xml:space="preserve"> </w:t>
      </w:r>
      <w:r w:rsidRPr="0041245E">
        <w:rPr>
          <w:rStyle w:val="st"/>
          <w:rFonts w:asciiTheme="majorHAnsi" w:hAnsiTheme="majorHAnsi"/>
          <w:sz w:val="24"/>
          <w:szCs w:val="24"/>
        </w:rPr>
        <w:t>3</w:t>
      </w:r>
      <w:r w:rsidRPr="0041245E">
        <w:rPr>
          <w:rStyle w:val="st"/>
          <w:rFonts w:asciiTheme="majorHAnsi" w:hAnsiTheme="majorHAnsi"/>
          <w:sz w:val="24"/>
          <w:szCs w:val="24"/>
        </w:rPr>
        <w:t>.</w:t>
      </w:r>
      <w:r w:rsidRPr="0041245E">
        <w:rPr>
          <w:rStyle w:val="st"/>
          <w:rFonts w:asciiTheme="majorHAnsi" w:hAnsiTheme="majorHAnsi"/>
          <w:sz w:val="24"/>
          <w:szCs w:val="24"/>
        </w:rPr>
        <w:t>70</w:t>
      </w:r>
      <w:r w:rsidRPr="0041245E">
        <w:rPr>
          <w:rStyle w:val="st"/>
          <w:rFonts w:asciiTheme="majorHAnsi" w:hAnsiTheme="majorHAnsi"/>
          <w:sz w:val="24"/>
          <w:szCs w:val="24"/>
        </w:rPr>
        <w:t>%</w:t>
      </w:r>
      <w:r>
        <w:rPr>
          <w:rStyle w:val="st"/>
          <w:rFonts w:asciiTheme="majorHAnsi" w:hAnsiTheme="majorHAnsi"/>
          <w:sz w:val="24"/>
          <w:szCs w:val="24"/>
        </w:rPr>
        <w:t>;</w:t>
      </w:r>
      <w:r w:rsidRPr="0041245E">
        <w:rPr>
          <w:rStyle w:val="st"/>
          <w:rFonts w:asciiTheme="majorHAnsi" w:hAnsiTheme="majorHAnsi"/>
          <w:sz w:val="24"/>
          <w:szCs w:val="24"/>
        </w:rPr>
        <w:t xml:space="preserve"> natural gas improved 2.11%</w:t>
      </w:r>
      <w:r>
        <w:rPr>
          <w:rStyle w:val="st"/>
          <w:rFonts w:asciiTheme="majorHAnsi" w:hAnsiTheme="majorHAnsi"/>
          <w:sz w:val="24"/>
          <w:szCs w:val="24"/>
        </w:rPr>
        <w:t>.</w:t>
      </w:r>
      <w:r w:rsidRPr="00E17822">
        <w:rPr>
          <w:rStyle w:val="st"/>
          <w:rFonts w:asciiTheme="majorHAnsi" w:hAnsiTheme="majorHAnsi"/>
          <w:sz w:val="24"/>
          <w:szCs w:val="24"/>
          <w:vertAlign w:val="superscript"/>
        </w:rPr>
        <w:t>4</w:t>
      </w:r>
      <w:r>
        <w:rPr>
          <w:rStyle w:val="st"/>
          <w:rFonts w:asciiTheme="majorHAnsi" w:hAnsiTheme="majorHAnsi"/>
          <w:sz w:val="24"/>
          <w:szCs w:val="24"/>
        </w:rPr>
        <w:t xml:space="preserve"> </w:t>
      </w:r>
    </w:p>
    <w:p w14:paraId="536F4CDF" w14:textId="77777777" w:rsidR="004D563E" w:rsidRPr="00107944" w:rsidRDefault="000176AF" w:rsidP="00D155E6">
      <w:pPr>
        <w:pStyle w:val="PlainText"/>
        <w:spacing w:after="160" w:line="276" w:lineRule="auto"/>
        <w:jc w:val="both"/>
        <w:rPr>
          <w:rFonts w:asciiTheme="majorHAnsi" w:hAnsiTheme="majorHAnsi" w:cstheme="majorHAnsi"/>
          <w:sz w:val="24"/>
          <w:szCs w:val="24"/>
        </w:rPr>
      </w:pPr>
      <w:r w:rsidRPr="0041245E">
        <w:rPr>
          <w:rFonts w:asciiTheme="majorHAnsi" w:hAnsiTheme="majorHAnsi" w:cstheme="majorHAnsi"/>
          <w:sz w:val="24"/>
          <w:szCs w:val="24"/>
        </w:rPr>
        <w:t xml:space="preserve">With winter approaching, </w:t>
      </w:r>
      <w:r w:rsidRPr="0041245E">
        <w:rPr>
          <w:rFonts w:asciiTheme="majorHAnsi" w:hAnsiTheme="majorHAnsi" w:cstheme="majorHAnsi"/>
          <w:sz w:val="24"/>
          <w:szCs w:val="24"/>
        </w:rPr>
        <w:t>important crops advanced across the board: cocoa gained 15.22% for the month</w:t>
      </w:r>
      <w:r>
        <w:rPr>
          <w:rFonts w:asciiTheme="majorHAnsi" w:hAnsiTheme="majorHAnsi" w:cstheme="majorHAnsi"/>
          <w:sz w:val="24"/>
          <w:szCs w:val="24"/>
        </w:rPr>
        <w:t>;</w:t>
      </w:r>
      <w:r w:rsidRPr="0041245E">
        <w:rPr>
          <w:rFonts w:asciiTheme="majorHAnsi" w:hAnsiTheme="majorHAnsi" w:cstheme="majorHAnsi"/>
          <w:sz w:val="24"/>
          <w:szCs w:val="24"/>
        </w:rPr>
        <w:t xml:space="preserve"> wheat</w:t>
      </w:r>
      <w:r>
        <w:rPr>
          <w:rFonts w:asciiTheme="majorHAnsi" w:hAnsiTheme="majorHAnsi" w:cstheme="majorHAnsi"/>
          <w:sz w:val="24"/>
          <w:szCs w:val="24"/>
        </w:rPr>
        <w:t>,</w:t>
      </w:r>
      <w:r w:rsidRPr="0041245E">
        <w:rPr>
          <w:rFonts w:asciiTheme="majorHAnsi" w:hAnsiTheme="majorHAnsi" w:cstheme="majorHAnsi"/>
          <w:sz w:val="24"/>
          <w:szCs w:val="24"/>
        </w:rPr>
        <w:t xml:space="preserve"> 10.11%</w:t>
      </w:r>
      <w:r>
        <w:rPr>
          <w:rFonts w:asciiTheme="majorHAnsi" w:hAnsiTheme="majorHAnsi" w:cstheme="majorHAnsi"/>
          <w:sz w:val="24"/>
          <w:szCs w:val="24"/>
        </w:rPr>
        <w:t>;</w:t>
      </w:r>
      <w:r w:rsidRPr="0041245E">
        <w:rPr>
          <w:rFonts w:asciiTheme="majorHAnsi" w:hAnsiTheme="majorHAnsi" w:cstheme="majorHAnsi"/>
          <w:sz w:val="24"/>
          <w:szCs w:val="24"/>
        </w:rPr>
        <w:t xml:space="preserve"> corn</w:t>
      </w:r>
      <w:r>
        <w:rPr>
          <w:rFonts w:asciiTheme="majorHAnsi" w:hAnsiTheme="majorHAnsi" w:cstheme="majorHAnsi"/>
          <w:sz w:val="24"/>
          <w:szCs w:val="24"/>
        </w:rPr>
        <w:t>,</w:t>
      </w:r>
      <w:r w:rsidRPr="0041245E">
        <w:rPr>
          <w:rFonts w:asciiTheme="majorHAnsi" w:hAnsiTheme="majorHAnsi" w:cstheme="majorHAnsi"/>
          <w:sz w:val="24"/>
          <w:szCs w:val="24"/>
        </w:rPr>
        <w:t xml:space="preserve"> 8.40%</w:t>
      </w:r>
      <w:r>
        <w:rPr>
          <w:rFonts w:asciiTheme="majorHAnsi" w:hAnsiTheme="majorHAnsi" w:cstheme="majorHAnsi"/>
          <w:sz w:val="24"/>
          <w:szCs w:val="24"/>
        </w:rPr>
        <w:t xml:space="preserve">; </w:t>
      </w:r>
      <w:r w:rsidRPr="0041245E">
        <w:rPr>
          <w:rFonts w:asciiTheme="majorHAnsi" w:hAnsiTheme="majorHAnsi" w:cstheme="majorHAnsi"/>
          <w:sz w:val="24"/>
          <w:szCs w:val="24"/>
        </w:rPr>
        <w:t>coffee</w:t>
      </w:r>
      <w:r>
        <w:rPr>
          <w:rFonts w:asciiTheme="majorHAnsi" w:hAnsiTheme="majorHAnsi" w:cstheme="majorHAnsi"/>
          <w:sz w:val="24"/>
          <w:szCs w:val="24"/>
        </w:rPr>
        <w:t>,</w:t>
      </w:r>
      <w:r w:rsidRPr="0041245E">
        <w:rPr>
          <w:rFonts w:asciiTheme="majorHAnsi" w:hAnsiTheme="majorHAnsi" w:cstheme="majorHAnsi"/>
          <w:sz w:val="24"/>
          <w:szCs w:val="24"/>
        </w:rPr>
        <w:t xml:space="preserve"> 7.77%</w:t>
      </w:r>
      <w:r>
        <w:rPr>
          <w:rFonts w:asciiTheme="majorHAnsi" w:hAnsiTheme="majorHAnsi" w:cstheme="majorHAnsi"/>
          <w:sz w:val="24"/>
          <w:szCs w:val="24"/>
        </w:rPr>
        <w:t xml:space="preserve">; </w:t>
      </w:r>
      <w:r w:rsidRPr="0041245E">
        <w:rPr>
          <w:rFonts w:asciiTheme="majorHAnsi" w:hAnsiTheme="majorHAnsi" w:cstheme="majorHAnsi"/>
          <w:sz w:val="24"/>
          <w:szCs w:val="24"/>
        </w:rPr>
        <w:t>soybeans</w:t>
      </w:r>
      <w:r>
        <w:rPr>
          <w:rFonts w:asciiTheme="majorHAnsi" w:hAnsiTheme="majorHAnsi" w:cstheme="majorHAnsi"/>
          <w:sz w:val="24"/>
          <w:szCs w:val="24"/>
        </w:rPr>
        <w:t>,</w:t>
      </w:r>
      <w:r w:rsidRPr="0041245E">
        <w:rPr>
          <w:rFonts w:asciiTheme="majorHAnsi" w:hAnsiTheme="majorHAnsi" w:cstheme="majorHAnsi"/>
          <w:sz w:val="24"/>
          <w:szCs w:val="24"/>
        </w:rPr>
        <w:t xml:space="preserve"> 5.45%</w:t>
      </w:r>
      <w:r>
        <w:rPr>
          <w:rFonts w:asciiTheme="majorHAnsi" w:hAnsiTheme="majorHAnsi" w:cstheme="majorHAnsi"/>
          <w:sz w:val="24"/>
          <w:szCs w:val="24"/>
        </w:rPr>
        <w:t>;</w:t>
      </w:r>
      <w:r w:rsidRPr="0041245E">
        <w:rPr>
          <w:rFonts w:asciiTheme="majorHAnsi" w:hAnsiTheme="majorHAnsi" w:cstheme="majorHAnsi"/>
          <w:sz w:val="24"/>
          <w:szCs w:val="24"/>
        </w:rPr>
        <w:t xml:space="preserve"> sugar</w:t>
      </w:r>
      <w:r>
        <w:rPr>
          <w:rFonts w:asciiTheme="majorHAnsi" w:hAnsiTheme="majorHAnsi" w:cstheme="majorHAnsi"/>
          <w:sz w:val="24"/>
          <w:szCs w:val="24"/>
        </w:rPr>
        <w:t>,</w:t>
      </w:r>
      <w:r w:rsidRPr="0041245E">
        <w:rPr>
          <w:rFonts w:asciiTheme="majorHAnsi" w:hAnsiTheme="majorHAnsi" w:cstheme="majorHAnsi"/>
          <w:sz w:val="24"/>
          <w:szCs w:val="24"/>
        </w:rPr>
        <w:t xml:space="preserve"> 3.50%</w:t>
      </w:r>
      <w:r>
        <w:rPr>
          <w:rFonts w:asciiTheme="majorHAnsi" w:hAnsiTheme="majorHAnsi" w:cstheme="majorHAnsi"/>
          <w:sz w:val="24"/>
          <w:szCs w:val="24"/>
        </w:rPr>
        <w:t>;</w:t>
      </w:r>
      <w:r w:rsidRPr="0041245E">
        <w:rPr>
          <w:rFonts w:asciiTheme="majorHAnsi" w:hAnsiTheme="majorHAnsi" w:cstheme="majorHAnsi"/>
          <w:sz w:val="24"/>
          <w:szCs w:val="24"/>
        </w:rPr>
        <w:t xml:space="preserve"> cotton</w:t>
      </w:r>
      <w:r>
        <w:rPr>
          <w:rFonts w:asciiTheme="majorHAnsi" w:hAnsiTheme="majorHAnsi" w:cstheme="majorHAnsi"/>
          <w:sz w:val="24"/>
          <w:szCs w:val="24"/>
        </w:rPr>
        <w:t>,</w:t>
      </w:r>
      <w:r w:rsidRPr="0041245E">
        <w:rPr>
          <w:rFonts w:asciiTheme="majorHAnsi" w:hAnsiTheme="majorHAnsi" w:cstheme="majorHAnsi"/>
          <w:sz w:val="24"/>
          <w:szCs w:val="24"/>
        </w:rPr>
        <w:t xml:space="preserve"> 3.13%.</w:t>
      </w:r>
      <w:r w:rsidRPr="0041245E">
        <w:rPr>
          <w:rFonts w:asciiTheme="majorHAnsi" w:hAnsiTheme="majorHAnsi" w:cstheme="majorHAnsi"/>
          <w:sz w:val="24"/>
          <w:szCs w:val="24"/>
          <w:vertAlign w:val="superscript"/>
        </w:rPr>
        <w:t>4</w:t>
      </w:r>
    </w:p>
    <w:p w14:paraId="6FE4E38C" w14:textId="77777777" w:rsidR="001B3C06" w:rsidRPr="00D155E6" w:rsidRDefault="000176AF" w:rsidP="00D155E6">
      <w:pPr>
        <w:pStyle w:val="PlainText"/>
        <w:spacing w:after="160" w:line="276" w:lineRule="auto"/>
        <w:jc w:val="both"/>
        <w:rPr>
          <w:rStyle w:val="st"/>
          <w:rFonts w:asciiTheme="majorHAnsi" w:hAnsiTheme="majorHAnsi" w:cstheme="majorHAnsi"/>
          <w:sz w:val="24"/>
          <w:szCs w:val="24"/>
          <w:vertAlign w:val="superscript"/>
        </w:rPr>
      </w:pPr>
      <w:r w:rsidRPr="00107944">
        <w:rPr>
          <w:rFonts w:asciiTheme="majorHAnsi" w:hAnsiTheme="majorHAnsi" w:cstheme="majorHAnsi"/>
          <w:sz w:val="24"/>
          <w:szCs w:val="24"/>
        </w:rPr>
        <w:t xml:space="preserve">The U.S. Dollar Index rose 0.60% </w:t>
      </w:r>
      <w:r>
        <w:rPr>
          <w:rFonts w:asciiTheme="majorHAnsi" w:hAnsiTheme="majorHAnsi" w:cstheme="majorHAnsi"/>
          <w:sz w:val="24"/>
          <w:szCs w:val="24"/>
        </w:rPr>
        <w:t>in</w:t>
      </w:r>
      <w:r w:rsidRPr="00D155E6">
        <w:rPr>
          <w:rFonts w:asciiTheme="majorHAnsi" w:hAnsiTheme="majorHAnsi" w:cstheme="majorHAnsi"/>
          <w:sz w:val="24"/>
          <w:szCs w:val="24"/>
        </w:rPr>
        <w:t xml:space="preserve"> September to a month-ending close of 99.39. </w:t>
      </w:r>
      <w:r w:rsidRPr="00D155E6">
        <w:rPr>
          <w:rFonts w:asciiTheme="majorHAnsi" w:hAnsiTheme="majorHAnsi" w:cstheme="majorHAnsi"/>
          <w:sz w:val="24"/>
          <w:szCs w:val="24"/>
        </w:rPr>
        <w:t xml:space="preserve">Silver </w:t>
      </w:r>
      <w:r w:rsidRPr="00D155E6">
        <w:rPr>
          <w:rFonts w:asciiTheme="majorHAnsi" w:hAnsiTheme="majorHAnsi" w:cstheme="majorHAnsi"/>
          <w:sz w:val="24"/>
          <w:szCs w:val="24"/>
        </w:rPr>
        <w:t xml:space="preserve">dropped 6.63% for the month to a September 30 NYMEX close of $17.08. </w:t>
      </w:r>
      <w:r w:rsidRPr="00D155E6">
        <w:rPr>
          <w:rFonts w:asciiTheme="majorHAnsi" w:hAnsiTheme="majorHAnsi" w:cstheme="majorHAnsi"/>
          <w:sz w:val="24"/>
          <w:szCs w:val="24"/>
        </w:rPr>
        <w:t>Gold also had a</w:t>
      </w:r>
      <w:r w:rsidRPr="00D155E6">
        <w:rPr>
          <w:rFonts w:asciiTheme="majorHAnsi" w:hAnsiTheme="majorHAnsi" w:cstheme="majorHAnsi"/>
          <w:sz w:val="24"/>
          <w:szCs w:val="24"/>
        </w:rPr>
        <w:t xml:space="preserve"> down September</w:t>
      </w:r>
      <w:r w:rsidRPr="00D155E6">
        <w:rPr>
          <w:rFonts w:asciiTheme="majorHAnsi" w:hAnsiTheme="majorHAnsi" w:cstheme="majorHAnsi"/>
          <w:sz w:val="24"/>
          <w:szCs w:val="24"/>
        </w:rPr>
        <w:t>, losing 3.19% to a month-ending value of $1,479.40</w:t>
      </w:r>
      <w:r w:rsidRPr="00D155E6">
        <w:rPr>
          <w:rFonts w:asciiTheme="majorHAnsi" w:hAnsiTheme="majorHAnsi" w:cstheme="majorHAnsi"/>
          <w:sz w:val="24"/>
          <w:szCs w:val="24"/>
        </w:rPr>
        <w:t>.</w:t>
      </w:r>
      <w:r w:rsidRPr="00D155E6">
        <w:rPr>
          <w:rFonts w:asciiTheme="majorHAnsi" w:hAnsiTheme="majorHAnsi" w:cstheme="majorHAnsi"/>
          <w:sz w:val="24"/>
          <w:szCs w:val="24"/>
        </w:rPr>
        <w:t xml:space="preserve"> Palladium futures retreated 5.65% for the month, but</w:t>
      </w:r>
      <w:r w:rsidRPr="00D155E6">
        <w:rPr>
          <w:rFonts w:asciiTheme="majorHAnsi" w:hAnsiTheme="majorHAnsi" w:cstheme="majorHAnsi"/>
          <w:sz w:val="24"/>
          <w:szCs w:val="24"/>
        </w:rPr>
        <w:t xml:space="preserve"> copper futures added 0.93%.</w:t>
      </w:r>
      <w:r w:rsidRPr="00D155E6">
        <w:rPr>
          <w:rFonts w:asciiTheme="majorHAnsi" w:hAnsiTheme="majorHAnsi" w:cstheme="majorHAnsi"/>
          <w:sz w:val="24"/>
          <w:szCs w:val="24"/>
          <w:vertAlign w:val="superscript"/>
        </w:rPr>
        <w:t>4</w:t>
      </w:r>
      <w:r w:rsidRPr="00D155E6">
        <w:rPr>
          <w:rFonts w:asciiTheme="majorHAnsi" w:hAnsiTheme="majorHAnsi" w:cstheme="majorHAnsi"/>
          <w:sz w:val="24"/>
          <w:szCs w:val="24"/>
          <w:vertAlign w:val="superscript"/>
        </w:rPr>
        <w:t>,1</w:t>
      </w:r>
      <w:r w:rsidRPr="00D155E6">
        <w:rPr>
          <w:rFonts w:asciiTheme="majorHAnsi" w:hAnsiTheme="majorHAnsi" w:cstheme="majorHAnsi"/>
          <w:sz w:val="24"/>
          <w:szCs w:val="24"/>
          <w:vertAlign w:val="superscript"/>
        </w:rPr>
        <w:t>6</w:t>
      </w:r>
    </w:p>
    <w:p w14:paraId="3116EE41" w14:textId="77777777" w:rsidR="002405DE" w:rsidRPr="00775662" w:rsidRDefault="000176AF" w:rsidP="002405DE">
      <w:pPr>
        <w:spacing w:line="276" w:lineRule="auto"/>
        <w:jc w:val="both"/>
        <w:rPr>
          <w:rFonts w:asciiTheme="majorHAnsi" w:hAnsiTheme="majorHAnsi"/>
          <w:b/>
          <w:color w:val="3E7BB6"/>
          <w:sz w:val="28"/>
          <w:szCs w:val="24"/>
        </w:rPr>
      </w:pPr>
      <w:r>
        <w:rPr>
          <w:rFonts w:asciiTheme="majorHAnsi" w:hAnsiTheme="majorHAnsi"/>
          <w:b/>
          <w:color w:val="3E7BB6"/>
          <w:sz w:val="28"/>
          <w:szCs w:val="24"/>
        </w:rPr>
        <w:t>REAL ESTATE</w:t>
      </w:r>
    </w:p>
    <w:p w14:paraId="57BEF6E6" w14:textId="77777777" w:rsidR="000E566E" w:rsidRDefault="000176AF" w:rsidP="00512529">
      <w:pPr>
        <w:spacing w:line="276" w:lineRule="auto"/>
        <w:jc w:val="both"/>
        <w:rPr>
          <w:rStyle w:val="st"/>
          <w:rFonts w:asciiTheme="majorHAnsi" w:hAnsiTheme="majorHAnsi"/>
          <w:sz w:val="24"/>
          <w:szCs w:val="24"/>
        </w:rPr>
      </w:pPr>
      <w:r>
        <w:rPr>
          <w:rStyle w:val="st"/>
          <w:rFonts w:asciiTheme="majorHAnsi" w:eastAsia="Calibri" w:hAnsiTheme="majorHAnsi" w:cs="Consolas"/>
          <w:sz w:val="24"/>
          <w:szCs w:val="24"/>
        </w:rPr>
        <w:t>Between late August and late September, m</w:t>
      </w:r>
      <w:r>
        <w:rPr>
          <w:rStyle w:val="st"/>
          <w:rFonts w:asciiTheme="majorHAnsi" w:eastAsia="Calibri" w:hAnsiTheme="majorHAnsi" w:cs="Consolas"/>
          <w:sz w:val="24"/>
          <w:szCs w:val="24"/>
        </w:rPr>
        <w:t xml:space="preserve">ortgage rates rose. Freddie Mac’s </w:t>
      </w:r>
      <w:r w:rsidRPr="001D57C9">
        <w:rPr>
          <w:rStyle w:val="st"/>
          <w:rFonts w:asciiTheme="majorHAnsi" w:eastAsia="Calibri" w:hAnsiTheme="majorHAnsi" w:cs="Consolas"/>
          <w:sz w:val="24"/>
          <w:szCs w:val="24"/>
        </w:rPr>
        <w:t>September 26 Primary Mortgage Market Survey showed an average interest rate of 3.</w:t>
      </w:r>
      <w:r w:rsidRPr="001D57C9">
        <w:rPr>
          <w:rStyle w:val="st"/>
          <w:rFonts w:asciiTheme="majorHAnsi" w:eastAsia="Calibri" w:hAnsiTheme="majorHAnsi" w:cs="Consolas"/>
          <w:sz w:val="24"/>
          <w:szCs w:val="24"/>
        </w:rPr>
        <w:t>64</w:t>
      </w:r>
      <w:r w:rsidRPr="001D57C9">
        <w:rPr>
          <w:rStyle w:val="st"/>
          <w:rFonts w:asciiTheme="majorHAnsi" w:eastAsia="Calibri" w:hAnsiTheme="majorHAnsi" w:cs="Consolas"/>
          <w:sz w:val="24"/>
          <w:szCs w:val="24"/>
        </w:rPr>
        <w:t xml:space="preserve">% for the </w:t>
      </w:r>
      <w:r>
        <w:rPr>
          <w:rStyle w:val="st"/>
          <w:rFonts w:asciiTheme="majorHAnsi" w:eastAsia="Calibri" w:hAnsiTheme="majorHAnsi" w:cs="Consolas"/>
          <w:sz w:val="24"/>
          <w:szCs w:val="24"/>
        </w:rPr>
        <w:t>30-year</w:t>
      </w:r>
      <w:r>
        <w:rPr>
          <w:rStyle w:val="st"/>
          <w:rFonts w:asciiTheme="majorHAnsi" w:eastAsia="Calibri" w:hAnsiTheme="majorHAnsi" w:cs="Consolas"/>
          <w:sz w:val="24"/>
          <w:szCs w:val="24"/>
        </w:rPr>
        <w:t>,</w:t>
      </w:r>
      <w:r>
        <w:rPr>
          <w:rStyle w:val="st"/>
          <w:rFonts w:asciiTheme="majorHAnsi" w:eastAsia="Calibri" w:hAnsiTheme="majorHAnsi" w:cs="Consolas"/>
          <w:sz w:val="24"/>
          <w:szCs w:val="24"/>
        </w:rPr>
        <w:t xml:space="preserve"> fixed-rate </w:t>
      </w:r>
      <w:r>
        <w:rPr>
          <w:rStyle w:val="st"/>
          <w:rFonts w:asciiTheme="majorHAnsi" w:eastAsia="Calibri" w:hAnsiTheme="majorHAnsi" w:cs="Consolas"/>
          <w:sz w:val="24"/>
          <w:szCs w:val="24"/>
        </w:rPr>
        <w:t>mortgage</w:t>
      </w:r>
      <w:r>
        <w:rPr>
          <w:rStyle w:val="st"/>
          <w:rFonts w:asciiTheme="majorHAnsi" w:hAnsiTheme="majorHAnsi"/>
          <w:sz w:val="24"/>
          <w:szCs w:val="24"/>
        </w:rPr>
        <w:t xml:space="preserve"> and 3.</w:t>
      </w:r>
      <w:r>
        <w:rPr>
          <w:rStyle w:val="st"/>
          <w:rFonts w:asciiTheme="majorHAnsi" w:hAnsiTheme="majorHAnsi"/>
          <w:sz w:val="24"/>
          <w:szCs w:val="24"/>
        </w:rPr>
        <w:t>16</w:t>
      </w:r>
      <w:r>
        <w:rPr>
          <w:rStyle w:val="st"/>
          <w:rFonts w:asciiTheme="majorHAnsi" w:hAnsiTheme="majorHAnsi"/>
          <w:sz w:val="24"/>
          <w:szCs w:val="24"/>
        </w:rPr>
        <w:t xml:space="preserve">% </w:t>
      </w:r>
      <w:r>
        <w:rPr>
          <w:rStyle w:val="st"/>
          <w:rFonts w:asciiTheme="majorHAnsi" w:hAnsiTheme="majorHAnsi"/>
          <w:sz w:val="24"/>
          <w:szCs w:val="24"/>
        </w:rPr>
        <w:t>for the 15-year</w:t>
      </w:r>
      <w:r>
        <w:rPr>
          <w:rStyle w:val="st"/>
          <w:rFonts w:asciiTheme="majorHAnsi" w:hAnsiTheme="majorHAnsi"/>
          <w:sz w:val="24"/>
          <w:szCs w:val="24"/>
        </w:rPr>
        <w:t>,</w:t>
      </w:r>
      <w:r>
        <w:rPr>
          <w:rStyle w:val="st"/>
          <w:rFonts w:asciiTheme="majorHAnsi" w:hAnsiTheme="majorHAnsi"/>
          <w:sz w:val="24"/>
          <w:szCs w:val="24"/>
        </w:rPr>
        <w:t xml:space="preserve"> fixed-rate mortgage. </w:t>
      </w:r>
      <w:r>
        <w:rPr>
          <w:rStyle w:val="st"/>
          <w:rFonts w:asciiTheme="majorHAnsi" w:hAnsiTheme="majorHAnsi"/>
          <w:sz w:val="24"/>
          <w:szCs w:val="24"/>
        </w:rPr>
        <w:t>Back on August 29, the 30</w:t>
      </w:r>
      <w:r w:rsidRPr="00556B88">
        <w:rPr>
          <w:rStyle w:val="st"/>
          <w:rFonts w:asciiTheme="majorHAnsi" w:hAnsiTheme="majorHAnsi"/>
          <w:sz w:val="24"/>
          <w:szCs w:val="24"/>
        </w:rPr>
        <w:t>-year FRM bore an average interest rate of 3.58%</w:t>
      </w:r>
      <w:r>
        <w:rPr>
          <w:rStyle w:val="st"/>
          <w:rFonts w:asciiTheme="majorHAnsi" w:hAnsiTheme="majorHAnsi"/>
          <w:sz w:val="24"/>
          <w:szCs w:val="24"/>
        </w:rPr>
        <w:t>;</w:t>
      </w:r>
      <w:r w:rsidRPr="00556B88">
        <w:rPr>
          <w:rStyle w:val="st"/>
          <w:rFonts w:asciiTheme="majorHAnsi" w:hAnsiTheme="majorHAnsi"/>
          <w:sz w:val="24"/>
          <w:szCs w:val="24"/>
        </w:rPr>
        <w:t xml:space="preserve"> the 15-year FRM</w:t>
      </w:r>
      <w:r>
        <w:rPr>
          <w:rStyle w:val="st"/>
          <w:rFonts w:asciiTheme="majorHAnsi" w:hAnsiTheme="majorHAnsi"/>
          <w:sz w:val="24"/>
          <w:szCs w:val="24"/>
        </w:rPr>
        <w:t>, an</w:t>
      </w:r>
      <w:r w:rsidRPr="00556B88">
        <w:rPr>
          <w:rStyle w:val="st"/>
          <w:rFonts w:asciiTheme="majorHAnsi" w:hAnsiTheme="majorHAnsi"/>
          <w:sz w:val="24"/>
          <w:szCs w:val="24"/>
        </w:rPr>
        <w:t xml:space="preserve"> average interest of 3.06%.</w:t>
      </w:r>
      <w:r w:rsidRPr="00556B88">
        <w:rPr>
          <w:rStyle w:val="st"/>
          <w:rFonts w:asciiTheme="majorHAnsi" w:hAnsiTheme="majorHAnsi"/>
          <w:sz w:val="24"/>
          <w:szCs w:val="24"/>
          <w:vertAlign w:val="superscript"/>
        </w:rPr>
        <w:t>1</w:t>
      </w:r>
      <w:r>
        <w:rPr>
          <w:rStyle w:val="st"/>
          <w:rFonts w:asciiTheme="majorHAnsi" w:hAnsiTheme="majorHAnsi"/>
          <w:sz w:val="24"/>
          <w:szCs w:val="24"/>
          <w:vertAlign w:val="superscript"/>
        </w:rPr>
        <w:t>7</w:t>
      </w:r>
    </w:p>
    <w:p w14:paraId="5412B3BD" w14:textId="77777777" w:rsidR="00A5543E" w:rsidRPr="0063343A" w:rsidRDefault="000176AF" w:rsidP="00A5543E">
      <w:pPr>
        <w:pStyle w:val="NormalWeb"/>
        <w:spacing w:before="0" w:beforeAutospacing="0" w:after="240" w:afterAutospacing="0"/>
        <w:rPr>
          <w:rStyle w:val="st"/>
          <w:rFonts w:asciiTheme="majorHAnsi" w:hAnsiTheme="majorHAnsi" w:cstheme="majorHAnsi"/>
        </w:rPr>
      </w:pPr>
      <w:r w:rsidRPr="0063343A">
        <w:rPr>
          <w:rFonts w:asciiTheme="majorHAnsi" w:hAnsiTheme="majorHAnsi" w:cstheme="majorHAnsi"/>
          <w:i/>
          <w:iCs/>
          <w:color w:val="000000"/>
          <w:sz w:val="18"/>
          <w:szCs w:val="18"/>
        </w:rPr>
        <w:t xml:space="preserve">30-year and 15-year fixed rate mortgages are conventional home loans generally </w:t>
      </w:r>
      <w:r w:rsidRPr="0063343A">
        <w:rPr>
          <w:rFonts w:asciiTheme="majorHAnsi" w:hAnsiTheme="majorHAnsi" w:cstheme="majorHAnsi"/>
          <w:i/>
          <w:iCs/>
          <w:color w:val="000000"/>
          <w:sz w:val="18"/>
          <w:szCs w:val="18"/>
        </w:rPr>
        <w:t>featuring a limit of $484,350 ($726,525 in high-cost areas) that meet the lending requirements of Fannie Mae and Freddie Mac, but they are not mortgages guaranteed or insured by any government agency. Private mortgage insurance, or PMI, is required for any</w:t>
      </w:r>
      <w:r w:rsidRPr="0063343A">
        <w:rPr>
          <w:rFonts w:asciiTheme="majorHAnsi" w:hAnsiTheme="majorHAnsi" w:cstheme="majorHAnsi"/>
          <w:i/>
          <w:iCs/>
          <w:color w:val="000000"/>
          <w:sz w:val="18"/>
          <w:szCs w:val="18"/>
        </w:rPr>
        <w:t xml:space="preserve"> conventional loan with less than a 20% down payment.</w:t>
      </w:r>
    </w:p>
    <w:p w14:paraId="6C863FDC" w14:textId="77777777" w:rsidR="00E852FC" w:rsidRPr="00A5543E" w:rsidRDefault="000176AF" w:rsidP="00512529">
      <w:pPr>
        <w:spacing w:line="276" w:lineRule="auto"/>
        <w:jc w:val="both"/>
        <w:rPr>
          <w:rStyle w:val="st"/>
          <w:rFonts w:asciiTheme="majorHAnsi" w:hAnsiTheme="majorHAnsi"/>
          <w:sz w:val="24"/>
          <w:szCs w:val="24"/>
        </w:rPr>
      </w:pPr>
      <w:r>
        <w:rPr>
          <w:rStyle w:val="st"/>
          <w:rFonts w:asciiTheme="majorHAnsi" w:hAnsiTheme="majorHAnsi"/>
          <w:sz w:val="24"/>
          <w:szCs w:val="24"/>
        </w:rPr>
        <w:t xml:space="preserve">Existing home sales were up 1.3% in August, according to the </w:t>
      </w:r>
      <w:r w:rsidRPr="001D57C9">
        <w:rPr>
          <w:rStyle w:val="st"/>
          <w:rFonts w:asciiTheme="majorHAnsi" w:hAnsiTheme="majorHAnsi"/>
          <w:sz w:val="24"/>
          <w:szCs w:val="24"/>
        </w:rPr>
        <w:t>National Association of Realtors. (There was a 2.5% gain in July.)</w:t>
      </w:r>
      <w:r w:rsidRPr="001D57C9">
        <w:rPr>
          <w:rStyle w:val="st"/>
          <w:rFonts w:asciiTheme="majorHAnsi" w:hAnsiTheme="majorHAnsi"/>
          <w:sz w:val="24"/>
          <w:szCs w:val="24"/>
        </w:rPr>
        <w:t xml:space="preserve"> </w:t>
      </w:r>
      <w:r>
        <w:rPr>
          <w:rStyle w:val="st"/>
          <w:rFonts w:asciiTheme="majorHAnsi" w:hAnsiTheme="majorHAnsi"/>
          <w:sz w:val="24"/>
          <w:szCs w:val="24"/>
        </w:rPr>
        <w:t xml:space="preserve">The </w:t>
      </w:r>
      <w:r w:rsidRPr="001D57C9">
        <w:rPr>
          <w:rStyle w:val="st"/>
          <w:rFonts w:asciiTheme="majorHAnsi" w:hAnsiTheme="majorHAnsi"/>
          <w:sz w:val="24"/>
          <w:szCs w:val="24"/>
        </w:rPr>
        <w:t>NAR</w:t>
      </w:r>
      <w:r w:rsidRPr="001D57C9">
        <w:rPr>
          <w:rStyle w:val="st"/>
          <w:rFonts w:asciiTheme="majorHAnsi" w:hAnsiTheme="majorHAnsi"/>
          <w:sz w:val="24"/>
          <w:szCs w:val="24"/>
        </w:rPr>
        <w:t xml:space="preserve"> also</w:t>
      </w:r>
      <w:r w:rsidRPr="001D57C9">
        <w:rPr>
          <w:rStyle w:val="st"/>
          <w:rFonts w:asciiTheme="majorHAnsi" w:hAnsiTheme="majorHAnsi"/>
          <w:sz w:val="24"/>
          <w:szCs w:val="24"/>
        </w:rPr>
        <w:t xml:space="preserve"> reported a </w:t>
      </w:r>
      <w:r w:rsidRPr="001D57C9">
        <w:rPr>
          <w:rStyle w:val="st"/>
          <w:rFonts w:asciiTheme="majorHAnsi" w:hAnsiTheme="majorHAnsi"/>
          <w:sz w:val="24"/>
          <w:szCs w:val="24"/>
        </w:rPr>
        <w:t>1</w:t>
      </w:r>
      <w:r w:rsidRPr="001D57C9">
        <w:rPr>
          <w:rStyle w:val="st"/>
          <w:rFonts w:asciiTheme="majorHAnsi" w:hAnsiTheme="majorHAnsi"/>
          <w:sz w:val="24"/>
          <w:szCs w:val="24"/>
        </w:rPr>
        <w:t>.</w:t>
      </w:r>
      <w:r w:rsidRPr="001D57C9">
        <w:rPr>
          <w:rStyle w:val="st"/>
          <w:rFonts w:asciiTheme="majorHAnsi" w:hAnsiTheme="majorHAnsi"/>
          <w:sz w:val="24"/>
          <w:szCs w:val="24"/>
        </w:rPr>
        <w:t>6</w:t>
      </w:r>
      <w:r w:rsidRPr="001D57C9">
        <w:rPr>
          <w:rStyle w:val="st"/>
          <w:rFonts w:asciiTheme="majorHAnsi" w:hAnsiTheme="majorHAnsi"/>
          <w:sz w:val="24"/>
          <w:szCs w:val="24"/>
        </w:rPr>
        <w:t xml:space="preserve">% gain for pending home </w:t>
      </w:r>
      <w:r>
        <w:rPr>
          <w:rStyle w:val="st"/>
          <w:rFonts w:asciiTheme="majorHAnsi" w:hAnsiTheme="majorHAnsi"/>
          <w:sz w:val="24"/>
          <w:szCs w:val="24"/>
        </w:rPr>
        <w:t>sal</w:t>
      </w:r>
      <w:r w:rsidRPr="0065650D">
        <w:rPr>
          <w:rStyle w:val="st"/>
          <w:rFonts w:asciiTheme="majorHAnsi" w:hAnsiTheme="majorHAnsi"/>
          <w:sz w:val="24"/>
          <w:szCs w:val="24"/>
        </w:rPr>
        <w:t>es in the eighth mon</w:t>
      </w:r>
      <w:r w:rsidRPr="0065650D">
        <w:rPr>
          <w:rStyle w:val="st"/>
          <w:rFonts w:asciiTheme="majorHAnsi" w:hAnsiTheme="majorHAnsi"/>
          <w:sz w:val="24"/>
          <w:szCs w:val="24"/>
        </w:rPr>
        <w:t>th of the year.</w:t>
      </w:r>
      <w:r w:rsidRPr="0065650D">
        <w:rPr>
          <w:rStyle w:val="st"/>
          <w:rFonts w:asciiTheme="majorHAnsi" w:hAnsiTheme="majorHAnsi"/>
          <w:sz w:val="24"/>
          <w:szCs w:val="24"/>
        </w:rPr>
        <w:t xml:space="preserve"> The</w:t>
      </w:r>
      <w:r>
        <w:rPr>
          <w:rStyle w:val="st"/>
          <w:rFonts w:asciiTheme="majorHAnsi" w:hAnsiTheme="majorHAnsi"/>
          <w:sz w:val="24"/>
          <w:szCs w:val="24"/>
        </w:rPr>
        <w:t>re was more good news regarding home sales:</w:t>
      </w:r>
      <w:r w:rsidRPr="0065650D">
        <w:rPr>
          <w:rStyle w:val="st"/>
          <w:rFonts w:asciiTheme="majorHAnsi" w:hAnsiTheme="majorHAnsi"/>
          <w:sz w:val="24"/>
          <w:szCs w:val="24"/>
        </w:rPr>
        <w:t xml:space="preserve"> Census Bureau said </w:t>
      </w:r>
      <w:r>
        <w:rPr>
          <w:rStyle w:val="st"/>
          <w:rFonts w:asciiTheme="majorHAnsi" w:hAnsiTheme="majorHAnsi"/>
          <w:sz w:val="24"/>
          <w:szCs w:val="24"/>
        </w:rPr>
        <w:t xml:space="preserve">that </w:t>
      </w:r>
      <w:r w:rsidRPr="0065650D">
        <w:rPr>
          <w:rStyle w:val="st"/>
          <w:rFonts w:asciiTheme="majorHAnsi" w:hAnsiTheme="majorHAnsi"/>
          <w:sz w:val="24"/>
          <w:szCs w:val="24"/>
        </w:rPr>
        <w:t xml:space="preserve">new home buying increased </w:t>
      </w:r>
      <w:r w:rsidRPr="0065650D">
        <w:rPr>
          <w:rStyle w:val="st"/>
          <w:rFonts w:asciiTheme="majorHAnsi" w:hAnsiTheme="majorHAnsi"/>
          <w:sz w:val="24"/>
          <w:szCs w:val="24"/>
        </w:rPr>
        <w:t>7</w:t>
      </w:r>
      <w:r w:rsidRPr="0065650D">
        <w:rPr>
          <w:rStyle w:val="st"/>
          <w:rFonts w:asciiTheme="majorHAnsi" w:hAnsiTheme="majorHAnsi"/>
          <w:sz w:val="24"/>
          <w:szCs w:val="24"/>
        </w:rPr>
        <w:t>.</w:t>
      </w:r>
      <w:r w:rsidRPr="0065650D">
        <w:rPr>
          <w:rStyle w:val="st"/>
          <w:rFonts w:asciiTheme="majorHAnsi" w:hAnsiTheme="majorHAnsi"/>
          <w:sz w:val="24"/>
          <w:szCs w:val="24"/>
        </w:rPr>
        <w:t>1</w:t>
      </w:r>
      <w:r w:rsidRPr="0065650D">
        <w:rPr>
          <w:rStyle w:val="st"/>
          <w:rFonts w:asciiTheme="majorHAnsi" w:hAnsiTheme="majorHAnsi"/>
          <w:sz w:val="24"/>
          <w:szCs w:val="24"/>
        </w:rPr>
        <w:t xml:space="preserve">% </w:t>
      </w:r>
      <w:r>
        <w:rPr>
          <w:rStyle w:val="st"/>
          <w:rFonts w:asciiTheme="majorHAnsi" w:hAnsiTheme="majorHAnsi"/>
          <w:sz w:val="24"/>
          <w:szCs w:val="24"/>
        </w:rPr>
        <w:t>in</w:t>
      </w:r>
      <w:r>
        <w:rPr>
          <w:rStyle w:val="st"/>
          <w:rFonts w:asciiTheme="majorHAnsi" w:hAnsiTheme="majorHAnsi"/>
          <w:sz w:val="24"/>
          <w:szCs w:val="24"/>
        </w:rPr>
        <w:t xml:space="preserve"> </w:t>
      </w:r>
      <w:r w:rsidRPr="00A5543E">
        <w:rPr>
          <w:rStyle w:val="st"/>
          <w:rFonts w:asciiTheme="majorHAnsi" w:hAnsiTheme="majorHAnsi"/>
          <w:sz w:val="24"/>
          <w:szCs w:val="24"/>
        </w:rPr>
        <w:t>August.</w:t>
      </w:r>
      <w:r w:rsidRPr="00A5543E">
        <w:rPr>
          <w:rStyle w:val="st"/>
          <w:rFonts w:asciiTheme="majorHAnsi" w:hAnsiTheme="majorHAnsi"/>
          <w:sz w:val="24"/>
          <w:szCs w:val="24"/>
          <w:vertAlign w:val="superscript"/>
        </w:rPr>
        <w:t>9</w:t>
      </w:r>
    </w:p>
    <w:p w14:paraId="754CD1D5" w14:textId="77777777" w:rsidR="00E852FC" w:rsidRPr="008059E3" w:rsidRDefault="000176AF" w:rsidP="00512529">
      <w:pPr>
        <w:spacing w:line="276" w:lineRule="auto"/>
        <w:jc w:val="both"/>
        <w:rPr>
          <w:rStyle w:val="st"/>
          <w:rFonts w:asciiTheme="majorHAnsi" w:hAnsiTheme="majorHAnsi"/>
          <w:sz w:val="24"/>
          <w:szCs w:val="24"/>
        </w:rPr>
      </w:pPr>
      <w:r>
        <w:rPr>
          <w:rStyle w:val="st"/>
          <w:rFonts w:asciiTheme="majorHAnsi" w:hAnsiTheme="majorHAnsi"/>
          <w:sz w:val="24"/>
          <w:szCs w:val="24"/>
        </w:rPr>
        <w:t>In another healthy sign for the real estate sector, August saw a major jump in housing s</w:t>
      </w:r>
      <w:r w:rsidRPr="00A5543E">
        <w:rPr>
          <w:rStyle w:val="st"/>
          <w:rFonts w:asciiTheme="majorHAnsi" w:hAnsiTheme="majorHAnsi"/>
          <w:sz w:val="24"/>
          <w:szCs w:val="24"/>
        </w:rPr>
        <w:t xml:space="preserve">tarts. They rose 12.3%, by the </w:t>
      </w:r>
      <w:r w:rsidRPr="00A5543E">
        <w:rPr>
          <w:rStyle w:val="st"/>
          <w:rFonts w:asciiTheme="majorHAnsi" w:hAnsiTheme="majorHAnsi"/>
          <w:sz w:val="24"/>
          <w:szCs w:val="24"/>
        </w:rPr>
        <w:t>estimation of the Census Bureau. Building permits were up 7.7%.</w:t>
      </w:r>
      <w:r w:rsidRPr="00A5543E">
        <w:rPr>
          <w:rStyle w:val="st"/>
          <w:rFonts w:asciiTheme="majorHAnsi" w:hAnsiTheme="majorHAnsi"/>
          <w:sz w:val="24"/>
          <w:szCs w:val="24"/>
          <w:vertAlign w:val="superscript"/>
        </w:rPr>
        <w:t>9</w:t>
      </w:r>
      <w:r>
        <w:rPr>
          <w:rStyle w:val="st"/>
          <w:rFonts w:asciiTheme="majorHAnsi" w:hAnsiTheme="majorHAnsi"/>
          <w:sz w:val="24"/>
          <w:szCs w:val="24"/>
        </w:rPr>
        <w:t xml:space="preserve"> </w:t>
      </w:r>
    </w:p>
    <w:p w14:paraId="1F1ABC69" w14:textId="77777777" w:rsidR="00E24345" w:rsidRPr="00DD38C0" w:rsidRDefault="000176AF" w:rsidP="00EE6BF2">
      <w:pPr>
        <w:spacing w:line="276" w:lineRule="auto"/>
        <w:rPr>
          <w:rStyle w:val="st"/>
          <w:rFonts w:asciiTheme="majorHAnsi" w:hAnsiTheme="majorHAnsi"/>
          <w:sz w:val="4"/>
        </w:rPr>
      </w:pPr>
    </w:p>
    <w:p w14:paraId="5FBACE80" w14:textId="77777777" w:rsidR="006D5A63" w:rsidRDefault="000176AF"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05AFE3D1" wp14:editId="47C36BC4">
            <wp:extent cx="5825083" cy="26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C90F3D9" w14:textId="77777777" w:rsidR="006D5A63" w:rsidRPr="00DD38C0" w:rsidRDefault="000176AF" w:rsidP="00EE6BF2">
      <w:pPr>
        <w:spacing w:line="276" w:lineRule="auto"/>
        <w:jc w:val="center"/>
        <w:rPr>
          <w:rStyle w:val="st"/>
          <w:rFonts w:asciiTheme="majorHAnsi" w:hAnsiTheme="majorHAnsi"/>
          <w:color w:val="E88E0A"/>
          <w:sz w:val="4"/>
        </w:rPr>
      </w:pPr>
    </w:p>
    <w:p w14:paraId="7FE77C28" w14:textId="77777777" w:rsidR="006D5A63" w:rsidRPr="00DD38C0" w:rsidRDefault="000176AF" w:rsidP="00EE6BF2">
      <w:pPr>
        <w:spacing w:line="276" w:lineRule="auto"/>
        <w:jc w:val="center"/>
        <w:rPr>
          <w:rStyle w:val="st"/>
          <w:rFonts w:asciiTheme="majorHAnsi" w:hAnsiTheme="majorHAnsi"/>
          <w:color w:val="E88E0A"/>
          <w:sz w:val="4"/>
        </w:rPr>
      </w:pPr>
      <w:r w:rsidRPr="007C2813">
        <w:rPr>
          <w:rStyle w:val="st"/>
          <w:rFonts w:asciiTheme="majorHAnsi" w:hAnsiTheme="majorHAnsi"/>
          <w:color w:val="3E7BB6"/>
        </w:rPr>
        <w:t xml:space="preserve">T I P   O F   T H E   </w:t>
      </w:r>
      <w:r w:rsidRPr="007C2813">
        <w:rPr>
          <w:rStyle w:val="st"/>
          <w:rFonts w:asciiTheme="majorHAnsi" w:hAnsiTheme="majorHAnsi"/>
          <w:color w:val="3E7BB6"/>
        </w:rPr>
        <w:t>M O N T H</w:t>
      </w:r>
      <w:r>
        <w:rPr>
          <w:rStyle w:val="st"/>
          <w:rFonts w:asciiTheme="majorHAnsi" w:hAnsiTheme="majorHAnsi"/>
          <w:color w:val="E88E0A"/>
        </w:rPr>
        <w:br/>
      </w:r>
    </w:p>
    <w:p w14:paraId="6E9310CD" w14:textId="77777777" w:rsidR="006D5A63" w:rsidRDefault="000176AF"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2F0A29CD" wp14:editId="33F27105">
            <wp:extent cx="995363" cy="7334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4730" cy="740327"/>
                    </a:xfrm>
                    <a:prstGeom prst="rect">
                      <a:avLst/>
                    </a:prstGeom>
                  </pic:spPr>
                </pic:pic>
              </a:graphicData>
            </a:graphic>
          </wp:inline>
        </w:drawing>
      </w:r>
    </w:p>
    <w:p w14:paraId="48C047B4" w14:textId="2A0001D9" w:rsidR="006D5A63" w:rsidRPr="00594671" w:rsidRDefault="000176AF" w:rsidP="00594671">
      <w:pPr>
        <w:spacing w:line="276" w:lineRule="auto"/>
        <w:jc w:val="center"/>
        <w:rPr>
          <w:rStyle w:val="st"/>
          <w:rFonts w:asciiTheme="majorHAnsi" w:hAnsiTheme="majorHAnsi"/>
          <w:i/>
          <w:color w:val="002060"/>
          <w:sz w:val="28"/>
        </w:rPr>
      </w:pPr>
      <w:r w:rsidRPr="00DD38C0">
        <w:rPr>
          <w:rStyle w:val="st"/>
          <w:rFonts w:asciiTheme="majorHAnsi" w:hAnsiTheme="majorHAnsi"/>
          <w:sz w:val="6"/>
        </w:rPr>
        <w:br/>
      </w:r>
      <w:r w:rsidRPr="00E17822">
        <w:rPr>
          <w:rStyle w:val="st"/>
          <w:rFonts w:asciiTheme="majorHAnsi" w:hAnsiTheme="majorHAnsi"/>
          <w:i/>
          <w:sz w:val="28"/>
        </w:rPr>
        <w:t>One school of household money management says</w:t>
      </w:r>
      <w:r>
        <w:rPr>
          <w:rStyle w:val="st"/>
          <w:rFonts w:asciiTheme="majorHAnsi" w:hAnsiTheme="majorHAnsi"/>
          <w:i/>
          <w:sz w:val="28"/>
        </w:rPr>
        <w:t xml:space="preserve"> that</w:t>
      </w:r>
      <w:r w:rsidRPr="00E17822">
        <w:rPr>
          <w:rStyle w:val="st"/>
          <w:rFonts w:asciiTheme="majorHAnsi" w:hAnsiTheme="majorHAnsi"/>
          <w:i/>
          <w:sz w:val="28"/>
        </w:rPr>
        <w:t xml:space="preserve"> you should strive to</w:t>
      </w:r>
      <w:r w:rsidRPr="00E17822">
        <w:rPr>
          <w:rStyle w:val="st"/>
          <w:rFonts w:asciiTheme="majorHAnsi" w:hAnsiTheme="majorHAnsi"/>
          <w:b/>
          <w:bCs/>
          <w:i/>
          <w:sz w:val="28"/>
        </w:rPr>
        <w:t xml:space="preserve"> pay down </w:t>
      </w:r>
      <w:r w:rsidRPr="00E17822">
        <w:rPr>
          <w:rStyle w:val="st"/>
          <w:rFonts w:asciiTheme="majorHAnsi" w:hAnsiTheme="majorHAnsi"/>
          <w:i/>
          <w:sz w:val="28"/>
        </w:rPr>
        <w:t>your</w:t>
      </w:r>
      <w:r w:rsidRPr="00E17822">
        <w:rPr>
          <w:rStyle w:val="st"/>
          <w:rFonts w:asciiTheme="majorHAnsi" w:hAnsiTheme="majorHAnsi"/>
          <w:b/>
          <w:bCs/>
          <w:i/>
          <w:sz w:val="28"/>
        </w:rPr>
        <w:t xml:space="preserve"> smallest-balance debt first</w:t>
      </w:r>
      <w:r w:rsidRPr="00E17822">
        <w:rPr>
          <w:rStyle w:val="st"/>
          <w:rFonts w:asciiTheme="majorHAnsi" w:hAnsiTheme="majorHAnsi"/>
          <w:i/>
          <w:sz w:val="28"/>
        </w:rPr>
        <w:t>. Doing that</w:t>
      </w:r>
      <w:r w:rsidRPr="00E17822">
        <w:rPr>
          <w:rStyle w:val="st"/>
          <w:rFonts w:asciiTheme="majorHAnsi" w:hAnsiTheme="majorHAnsi"/>
          <w:b/>
          <w:bCs/>
          <w:i/>
          <w:sz w:val="28"/>
        </w:rPr>
        <w:t xml:space="preserve"> frees up money </w:t>
      </w:r>
      <w:r w:rsidRPr="00E17822">
        <w:rPr>
          <w:rStyle w:val="st"/>
          <w:rFonts w:asciiTheme="majorHAnsi" w:hAnsiTheme="majorHAnsi"/>
          <w:i/>
          <w:sz w:val="28"/>
        </w:rPr>
        <w:t>to pay off larger balances</w:t>
      </w:r>
      <w:r w:rsidRPr="00E17822">
        <w:rPr>
          <w:rStyle w:val="st"/>
          <w:rFonts w:asciiTheme="majorHAnsi" w:hAnsiTheme="majorHAnsi"/>
          <w:i/>
          <w:sz w:val="28"/>
        </w:rPr>
        <w:t>.</w:t>
      </w:r>
    </w:p>
    <w:p w14:paraId="138B9192" w14:textId="77777777" w:rsidR="00E24345" w:rsidRDefault="000176AF"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76E69498" wp14:editId="06DF8BE0">
            <wp:extent cx="5825083" cy="26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ACE70AD" w14:textId="77777777" w:rsidR="00775662" w:rsidRPr="004D08B6" w:rsidRDefault="000176AF" w:rsidP="00EE6BF2">
      <w:pPr>
        <w:spacing w:line="276" w:lineRule="auto"/>
        <w:rPr>
          <w:rFonts w:asciiTheme="majorHAnsi" w:hAnsiTheme="majorHAnsi"/>
          <w:b/>
          <w:spacing w:val="-2"/>
          <w:sz w:val="28"/>
        </w:rPr>
      </w:pPr>
      <w:r>
        <w:rPr>
          <w:rFonts w:asciiTheme="majorHAnsi" w:hAnsiTheme="majorHAnsi"/>
          <w:b/>
          <w:color w:val="3E7BB6"/>
          <w:spacing w:val="-2"/>
          <w:sz w:val="28"/>
        </w:rPr>
        <w:t>LOOKING BACK</w:t>
      </w:r>
      <w:r>
        <w:rPr>
          <w:rFonts w:asciiTheme="majorHAnsi" w:hAnsiTheme="majorHAnsi"/>
          <w:b/>
          <w:color w:val="3E7BB6"/>
          <w:spacing w:val="-2"/>
          <w:sz w:val="28"/>
        </w:rPr>
        <w:t>,</w:t>
      </w:r>
      <w:r>
        <w:rPr>
          <w:rFonts w:asciiTheme="majorHAnsi" w:hAnsiTheme="majorHAnsi"/>
          <w:b/>
          <w:color w:val="3E7BB6"/>
          <w:spacing w:val="-2"/>
          <w:sz w:val="28"/>
        </w:rPr>
        <w:t xml:space="preserve"> </w:t>
      </w:r>
      <w:r>
        <w:rPr>
          <w:rFonts w:asciiTheme="majorHAnsi" w:hAnsiTheme="majorHAnsi"/>
          <w:b/>
          <w:color w:val="3E7BB6"/>
          <w:spacing w:val="-2"/>
          <w:sz w:val="28"/>
        </w:rPr>
        <w:t>LOOKING FORWARD</w:t>
      </w:r>
    </w:p>
    <w:p w14:paraId="4CC5787C" w14:textId="77777777" w:rsidR="00775662" w:rsidRPr="00EF31D3" w:rsidRDefault="000176AF" w:rsidP="00B70920">
      <w:pPr>
        <w:spacing w:line="276" w:lineRule="auto"/>
        <w:rPr>
          <w:rStyle w:val="st"/>
          <w:rFonts w:asciiTheme="majorHAnsi" w:hAnsiTheme="majorHAnsi"/>
          <w:sz w:val="24"/>
        </w:rPr>
      </w:pPr>
      <w:r w:rsidRPr="004D08B6">
        <w:rPr>
          <w:rStyle w:val="st"/>
          <w:rFonts w:asciiTheme="majorHAnsi" w:hAnsiTheme="majorHAnsi"/>
          <w:sz w:val="24"/>
        </w:rPr>
        <w:t>On Wall Street, the turbulence of August gave way to a bit more stability in September, and equities made strides</w:t>
      </w:r>
      <w:r w:rsidRPr="004D08B6">
        <w:rPr>
          <w:rStyle w:val="st"/>
          <w:rFonts w:asciiTheme="majorHAnsi" w:hAnsiTheme="majorHAnsi"/>
          <w:sz w:val="24"/>
        </w:rPr>
        <w:t>.</w:t>
      </w:r>
      <w:r w:rsidRPr="004D08B6">
        <w:rPr>
          <w:rStyle w:val="st"/>
          <w:rFonts w:asciiTheme="majorHAnsi" w:hAnsiTheme="majorHAnsi"/>
          <w:sz w:val="24"/>
        </w:rPr>
        <w:t xml:space="preserve"> The S&amp;P 500, Dow Jones Industrial Average, and Nasdaq Composite all were positive for the month</w:t>
      </w:r>
      <w:r w:rsidRPr="004D08B6">
        <w:rPr>
          <w:rStyle w:val="st"/>
          <w:rFonts w:asciiTheme="majorHAnsi" w:hAnsiTheme="majorHAnsi"/>
          <w:sz w:val="24"/>
        </w:rPr>
        <w:t xml:space="preserve">. </w:t>
      </w:r>
      <w:r w:rsidRPr="004D08B6">
        <w:rPr>
          <w:rStyle w:val="st"/>
          <w:rFonts w:asciiTheme="majorHAnsi" w:hAnsiTheme="majorHAnsi"/>
          <w:sz w:val="24"/>
        </w:rPr>
        <w:lastRenderedPageBreak/>
        <w:t>The</w:t>
      </w:r>
      <w:r w:rsidRPr="004D08B6">
        <w:rPr>
          <w:rStyle w:val="st"/>
          <w:rFonts w:asciiTheme="majorHAnsi" w:hAnsiTheme="majorHAnsi"/>
          <w:sz w:val="24"/>
        </w:rPr>
        <w:t>ir</w:t>
      </w:r>
      <w:r w:rsidRPr="004D08B6">
        <w:rPr>
          <w:rStyle w:val="st"/>
          <w:rFonts w:asciiTheme="majorHAnsi" w:hAnsiTheme="majorHAnsi"/>
          <w:sz w:val="24"/>
        </w:rPr>
        <w:t xml:space="preserve"> closing levels, on September 30: S&amp;P</w:t>
      </w:r>
      <w:r w:rsidRPr="00D155E6">
        <w:rPr>
          <w:rStyle w:val="st"/>
          <w:rFonts w:asciiTheme="majorHAnsi" w:hAnsiTheme="majorHAnsi"/>
          <w:sz w:val="24"/>
        </w:rPr>
        <w:t xml:space="preserve"> 500</w:t>
      </w:r>
      <w:r w:rsidRPr="00D155E6">
        <w:rPr>
          <w:rStyle w:val="st"/>
          <w:rFonts w:asciiTheme="majorHAnsi" w:hAnsiTheme="majorHAnsi"/>
          <w:sz w:val="24"/>
        </w:rPr>
        <w:t>, 2,976.73; Dow, 26,916.83; Nasdaq, 7,999.34</w:t>
      </w:r>
      <w:r w:rsidRPr="00D155E6">
        <w:rPr>
          <w:rStyle w:val="st"/>
          <w:rFonts w:asciiTheme="majorHAnsi" w:hAnsiTheme="majorHAnsi"/>
          <w:sz w:val="24"/>
        </w:rPr>
        <w:t>. The S&amp;P Smallcap 600 advanced 3.15%.</w:t>
      </w:r>
      <w:r w:rsidRPr="00D155E6">
        <w:rPr>
          <w:rStyle w:val="st"/>
          <w:rFonts w:asciiTheme="majorHAnsi" w:hAnsiTheme="majorHAnsi"/>
          <w:sz w:val="24"/>
          <w:vertAlign w:val="superscript"/>
        </w:rPr>
        <w:t>16</w:t>
      </w:r>
    </w:p>
    <w:tbl>
      <w:tblPr>
        <w:tblW w:w="4875" w:type="pct"/>
        <w:jc w:val="center"/>
        <w:tblLook w:val="04A0" w:firstRow="1" w:lastRow="0" w:firstColumn="1" w:lastColumn="0" w:noHBand="0" w:noVBand="1"/>
      </w:tblPr>
      <w:tblGrid>
        <w:gridCol w:w="2634"/>
        <w:gridCol w:w="2633"/>
        <w:gridCol w:w="2633"/>
        <w:gridCol w:w="2630"/>
      </w:tblGrid>
      <w:tr w:rsidR="00D7746D" w14:paraId="188A5BC6" w14:textId="77777777" w:rsidTr="00056927">
        <w:trPr>
          <w:trHeight w:val="390"/>
          <w:jc w:val="center"/>
        </w:trPr>
        <w:tc>
          <w:tcPr>
            <w:tcW w:w="1250" w:type="pct"/>
            <w:tcBorders>
              <w:top w:val="nil"/>
              <w:left w:val="nil"/>
              <w:bottom w:val="nil"/>
              <w:right w:val="nil"/>
            </w:tcBorders>
            <w:shd w:val="clear" w:color="auto" w:fill="auto"/>
            <w:vAlign w:val="center"/>
            <w:hideMark/>
          </w:tcPr>
          <w:p w14:paraId="4EAC0C81"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MARKET INDEX</w:t>
            </w:r>
          </w:p>
        </w:tc>
        <w:tc>
          <w:tcPr>
            <w:tcW w:w="1250" w:type="pct"/>
            <w:tcBorders>
              <w:top w:val="nil"/>
              <w:left w:val="nil"/>
              <w:bottom w:val="nil"/>
              <w:right w:val="nil"/>
            </w:tcBorders>
            <w:shd w:val="clear" w:color="auto" w:fill="auto"/>
            <w:vAlign w:val="center"/>
            <w:hideMark/>
          </w:tcPr>
          <w:p w14:paraId="39689A70"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 xml:space="preserve">Y-T-D </w:t>
            </w:r>
            <w:r>
              <w:rPr>
                <w:rFonts w:asciiTheme="majorHAnsi" w:hAnsiTheme="majorHAnsi"/>
                <w:b/>
                <w:color w:val="3E7BB6"/>
                <w:spacing w:val="-2"/>
              </w:rPr>
              <w:t>CHANGE</w:t>
            </w:r>
          </w:p>
        </w:tc>
        <w:tc>
          <w:tcPr>
            <w:tcW w:w="1250" w:type="pct"/>
            <w:tcBorders>
              <w:top w:val="nil"/>
              <w:left w:val="nil"/>
              <w:bottom w:val="nil"/>
              <w:right w:val="nil"/>
            </w:tcBorders>
            <w:shd w:val="clear" w:color="auto" w:fill="auto"/>
            <w:vAlign w:val="center"/>
            <w:hideMark/>
          </w:tcPr>
          <w:p w14:paraId="7CF991E7"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1-MO CHANGE</w:t>
            </w:r>
          </w:p>
        </w:tc>
        <w:tc>
          <w:tcPr>
            <w:tcW w:w="1249" w:type="pct"/>
            <w:tcBorders>
              <w:top w:val="nil"/>
              <w:left w:val="nil"/>
              <w:bottom w:val="nil"/>
              <w:right w:val="nil"/>
            </w:tcBorders>
            <w:shd w:val="clear" w:color="auto" w:fill="auto"/>
            <w:vAlign w:val="center"/>
            <w:hideMark/>
          </w:tcPr>
          <w:p w14:paraId="0D5F353F"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2</w:t>
            </w:r>
            <w:r w:rsidRPr="002E64B2">
              <w:rPr>
                <w:rFonts w:asciiTheme="majorHAnsi" w:hAnsiTheme="majorHAnsi" w:cstheme="majorHAnsi"/>
                <w:b/>
                <w:color w:val="3E7BB6"/>
                <w:spacing w:val="-2"/>
              </w:rPr>
              <w:t>018</w:t>
            </w:r>
          </w:p>
        </w:tc>
      </w:tr>
      <w:tr w:rsidR="00D7746D" w14:paraId="0700A415" w14:textId="77777777" w:rsidTr="002E64B2">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0EEF8304" w14:textId="77777777" w:rsidR="002E64B2" w:rsidRPr="006D5A63" w:rsidRDefault="000176AF" w:rsidP="002E64B2">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DJIA</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1581D9E4" w14:textId="77777777" w:rsidR="002E64B2" w:rsidRPr="00253458" w:rsidRDefault="000176AF" w:rsidP="002E64B2">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5.39</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3190C477" w14:textId="77777777" w:rsidR="002E64B2" w:rsidRPr="00253458" w:rsidRDefault="000176AF" w:rsidP="002E64B2">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95</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19CDCB65" w14:textId="77777777" w:rsidR="002E64B2" w:rsidRPr="002E64B2" w:rsidRDefault="000176AF" w:rsidP="002E64B2">
            <w:pPr>
              <w:spacing w:after="0" w:line="276" w:lineRule="auto"/>
              <w:jc w:val="center"/>
              <w:rPr>
                <w:rFonts w:asciiTheme="majorHAnsi" w:eastAsia="Times New Roman" w:hAnsiTheme="majorHAnsi" w:cstheme="majorHAnsi"/>
                <w:szCs w:val="20"/>
              </w:rPr>
            </w:pPr>
            <w:r w:rsidRPr="002E64B2">
              <w:rPr>
                <w:rFonts w:asciiTheme="majorHAnsi" w:hAnsiTheme="majorHAnsi" w:cstheme="majorHAnsi"/>
              </w:rPr>
              <w:t>-5.63</w:t>
            </w:r>
          </w:p>
        </w:tc>
      </w:tr>
      <w:tr w:rsidR="00D7746D" w14:paraId="5C29A458" w14:textId="77777777" w:rsidTr="002E64B2">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3EA36A8F" w14:textId="77777777" w:rsidR="002E64B2" w:rsidRPr="006D5A63" w:rsidRDefault="000176AF" w:rsidP="002E64B2">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NASDAQ</w:t>
            </w:r>
          </w:p>
        </w:tc>
        <w:tc>
          <w:tcPr>
            <w:tcW w:w="1250" w:type="pct"/>
            <w:tcBorders>
              <w:top w:val="nil"/>
              <w:left w:val="nil"/>
              <w:bottom w:val="single" w:sz="4" w:space="0" w:color="A5A5A5"/>
              <w:right w:val="single" w:sz="4" w:space="0" w:color="A5A5A5"/>
            </w:tcBorders>
            <w:shd w:val="clear" w:color="000000" w:fill="F2F2F2"/>
            <w:vAlign w:val="center"/>
            <w:hideMark/>
          </w:tcPr>
          <w:p w14:paraId="1E3BBAE1" w14:textId="77777777" w:rsidR="002E64B2" w:rsidRPr="00253458" w:rsidRDefault="000176AF" w:rsidP="002E64B2">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+20.</w:t>
            </w:r>
            <w:r>
              <w:rPr>
                <w:rFonts w:ascii="Calibri Light" w:eastAsia="Times New Roman" w:hAnsi="Calibri Light" w:cs="Times New Roman"/>
                <w:szCs w:val="20"/>
              </w:rPr>
              <w:t>56</w:t>
            </w:r>
          </w:p>
        </w:tc>
        <w:tc>
          <w:tcPr>
            <w:tcW w:w="1250" w:type="pct"/>
            <w:tcBorders>
              <w:top w:val="nil"/>
              <w:left w:val="nil"/>
              <w:bottom w:val="single" w:sz="4" w:space="0" w:color="A5A5A5"/>
              <w:right w:val="single" w:sz="4" w:space="0" w:color="A5A5A5"/>
            </w:tcBorders>
            <w:shd w:val="clear" w:color="000000" w:fill="F2F2F2"/>
            <w:vAlign w:val="center"/>
            <w:hideMark/>
          </w:tcPr>
          <w:p w14:paraId="747D15CA" w14:textId="77777777" w:rsidR="002E64B2" w:rsidRPr="00253458" w:rsidRDefault="000176AF" w:rsidP="002E64B2">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0.46</w:t>
            </w:r>
          </w:p>
        </w:tc>
        <w:tc>
          <w:tcPr>
            <w:tcW w:w="1249" w:type="pct"/>
            <w:tcBorders>
              <w:top w:val="nil"/>
              <w:left w:val="nil"/>
              <w:bottom w:val="single" w:sz="4" w:space="0" w:color="A5A5A5"/>
              <w:right w:val="single" w:sz="4" w:space="0" w:color="A5A5A5"/>
            </w:tcBorders>
            <w:shd w:val="clear" w:color="000000" w:fill="F2F2F2"/>
            <w:vAlign w:val="center"/>
            <w:hideMark/>
          </w:tcPr>
          <w:p w14:paraId="7DB9CE3B" w14:textId="77777777" w:rsidR="002E64B2" w:rsidRPr="002E64B2" w:rsidRDefault="000176AF" w:rsidP="002E64B2">
            <w:pPr>
              <w:spacing w:after="0" w:line="276" w:lineRule="auto"/>
              <w:jc w:val="center"/>
              <w:rPr>
                <w:rFonts w:asciiTheme="majorHAnsi" w:eastAsia="Times New Roman" w:hAnsiTheme="majorHAnsi" w:cstheme="majorHAnsi"/>
                <w:szCs w:val="20"/>
              </w:rPr>
            </w:pPr>
            <w:r w:rsidRPr="002E64B2">
              <w:rPr>
                <w:rFonts w:asciiTheme="majorHAnsi" w:hAnsiTheme="majorHAnsi" w:cstheme="majorHAnsi"/>
              </w:rPr>
              <w:t>-3.88</w:t>
            </w:r>
          </w:p>
        </w:tc>
      </w:tr>
      <w:tr w:rsidR="00D7746D" w14:paraId="2857D7E1" w14:textId="77777777" w:rsidTr="002E64B2">
        <w:trPr>
          <w:trHeight w:val="390"/>
          <w:jc w:val="center"/>
        </w:trPr>
        <w:tc>
          <w:tcPr>
            <w:tcW w:w="1250" w:type="pct"/>
            <w:tcBorders>
              <w:top w:val="nil"/>
              <w:left w:val="single" w:sz="4" w:space="0" w:color="A5A5A5"/>
              <w:bottom w:val="single" w:sz="4" w:space="0" w:color="A5A5A5"/>
              <w:right w:val="single" w:sz="4" w:space="0" w:color="A5A5A5"/>
            </w:tcBorders>
            <w:shd w:val="clear" w:color="000000" w:fill="F2F2F2"/>
            <w:vAlign w:val="center"/>
            <w:hideMark/>
          </w:tcPr>
          <w:p w14:paraId="4492A800" w14:textId="77777777" w:rsidR="002E64B2" w:rsidRPr="006D5A63" w:rsidRDefault="000176AF" w:rsidP="002E64B2">
            <w:pPr>
              <w:spacing w:after="0" w:line="276" w:lineRule="auto"/>
              <w:jc w:val="center"/>
              <w:rPr>
                <w:rFonts w:ascii="Calibri Light" w:eastAsia="Times New Roman" w:hAnsi="Calibri Light" w:cs="Times New Roman"/>
                <w:color w:val="000000"/>
                <w:szCs w:val="20"/>
              </w:rPr>
            </w:pPr>
            <w:r w:rsidRPr="006D5A63">
              <w:rPr>
                <w:rFonts w:ascii="Calibri Light" w:eastAsia="Times New Roman" w:hAnsi="Calibri Light" w:cs="Times New Roman"/>
                <w:color w:val="000000"/>
                <w:szCs w:val="20"/>
              </w:rPr>
              <w:t>S&amp;P 500</w:t>
            </w:r>
          </w:p>
        </w:tc>
        <w:tc>
          <w:tcPr>
            <w:tcW w:w="1250" w:type="pct"/>
            <w:tcBorders>
              <w:top w:val="nil"/>
              <w:left w:val="nil"/>
              <w:bottom w:val="single" w:sz="4" w:space="0" w:color="A5A5A5"/>
              <w:right w:val="single" w:sz="4" w:space="0" w:color="A5A5A5"/>
            </w:tcBorders>
            <w:shd w:val="clear" w:color="000000" w:fill="F2F2F2"/>
            <w:vAlign w:val="center"/>
            <w:hideMark/>
          </w:tcPr>
          <w:p w14:paraId="4943CE48" w14:textId="77777777" w:rsidR="002E64B2" w:rsidRPr="00253458" w:rsidRDefault="000176AF" w:rsidP="002E64B2">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18</w:t>
            </w:r>
            <w:r>
              <w:rPr>
                <w:rFonts w:ascii="Calibri Light" w:eastAsia="Times New Roman" w:hAnsi="Calibri Light" w:cs="Times New Roman"/>
                <w:szCs w:val="20"/>
              </w:rPr>
              <w:t>.</w:t>
            </w:r>
            <w:r>
              <w:rPr>
                <w:rFonts w:ascii="Calibri Light" w:eastAsia="Times New Roman" w:hAnsi="Calibri Light" w:cs="Times New Roman"/>
                <w:szCs w:val="20"/>
              </w:rPr>
              <w:t>74</w:t>
            </w:r>
          </w:p>
        </w:tc>
        <w:tc>
          <w:tcPr>
            <w:tcW w:w="1250" w:type="pct"/>
            <w:tcBorders>
              <w:top w:val="nil"/>
              <w:left w:val="nil"/>
              <w:bottom w:val="single" w:sz="4" w:space="0" w:color="A5A5A5"/>
              <w:right w:val="single" w:sz="4" w:space="0" w:color="A5A5A5"/>
            </w:tcBorders>
            <w:shd w:val="clear" w:color="000000" w:fill="F2F2F2"/>
            <w:vAlign w:val="center"/>
            <w:hideMark/>
          </w:tcPr>
          <w:p w14:paraId="494D8888" w14:textId="77777777" w:rsidR="002E64B2" w:rsidRPr="00253458" w:rsidRDefault="000176AF" w:rsidP="002E64B2">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w:t>
            </w: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72</w:t>
            </w:r>
          </w:p>
        </w:tc>
        <w:tc>
          <w:tcPr>
            <w:tcW w:w="1249" w:type="pct"/>
            <w:tcBorders>
              <w:top w:val="nil"/>
              <w:left w:val="nil"/>
              <w:bottom w:val="single" w:sz="4" w:space="0" w:color="A5A5A5"/>
              <w:right w:val="single" w:sz="4" w:space="0" w:color="A5A5A5"/>
            </w:tcBorders>
            <w:shd w:val="clear" w:color="000000" w:fill="F2F2F2"/>
            <w:vAlign w:val="center"/>
            <w:hideMark/>
          </w:tcPr>
          <w:p w14:paraId="3E7BA438" w14:textId="77777777" w:rsidR="002E64B2" w:rsidRPr="002E64B2" w:rsidRDefault="000176AF" w:rsidP="002E64B2">
            <w:pPr>
              <w:spacing w:after="0" w:line="276" w:lineRule="auto"/>
              <w:jc w:val="center"/>
              <w:rPr>
                <w:rFonts w:asciiTheme="majorHAnsi" w:eastAsia="Times New Roman" w:hAnsiTheme="majorHAnsi" w:cstheme="majorHAnsi"/>
                <w:szCs w:val="20"/>
              </w:rPr>
            </w:pPr>
            <w:r w:rsidRPr="002E64B2">
              <w:rPr>
                <w:rFonts w:asciiTheme="majorHAnsi" w:hAnsiTheme="majorHAnsi" w:cstheme="majorHAnsi"/>
              </w:rPr>
              <w:t>-6.24</w:t>
            </w:r>
          </w:p>
        </w:tc>
      </w:tr>
      <w:tr w:rsidR="00D7746D" w14:paraId="7E51EB67" w14:textId="77777777" w:rsidTr="00056927">
        <w:trPr>
          <w:trHeight w:val="390"/>
          <w:jc w:val="center"/>
        </w:trPr>
        <w:tc>
          <w:tcPr>
            <w:tcW w:w="1250" w:type="pct"/>
            <w:tcBorders>
              <w:top w:val="nil"/>
              <w:left w:val="nil"/>
              <w:bottom w:val="nil"/>
              <w:right w:val="nil"/>
            </w:tcBorders>
            <w:shd w:val="clear" w:color="auto" w:fill="auto"/>
            <w:vAlign w:val="center"/>
            <w:hideMark/>
          </w:tcPr>
          <w:p w14:paraId="4D019CEB" w14:textId="77777777" w:rsidR="000050A3" w:rsidRPr="006D5A63" w:rsidRDefault="000176AF" w:rsidP="00056927">
            <w:pPr>
              <w:spacing w:after="0" w:line="276" w:lineRule="auto"/>
              <w:jc w:val="center"/>
              <w:rPr>
                <w:rFonts w:ascii="Calibri Light" w:eastAsia="Times New Roman" w:hAnsi="Calibri Light" w:cs="Times New Roman"/>
                <w:color w:val="000000"/>
                <w:szCs w:val="20"/>
              </w:rPr>
            </w:pPr>
          </w:p>
        </w:tc>
        <w:tc>
          <w:tcPr>
            <w:tcW w:w="1250" w:type="pct"/>
            <w:tcBorders>
              <w:top w:val="nil"/>
              <w:left w:val="nil"/>
              <w:bottom w:val="nil"/>
              <w:right w:val="nil"/>
            </w:tcBorders>
            <w:shd w:val="clear" w:color="auto" w:fill="auto"/>
            <w:vAlign w:val="center"/>
            <w:hideMark/>
          </w:tcPr>
          <w:p w14:paraId="51EDB677" w14:textId="77777777" w:rsidR="000050A3" w:rsidRPr="006D5A63" w:rsidRDefault="000176AF" w:rsidP="00056927">
            <w:pPr>
              <w:spacing w:after="0" w:line="276" w:lineRule="auto"/>
              <w:jc w:val="center"/>
              <w:rPr>
                <w:rFonts w:ascii="Times New Roman" w:eastAsia="Times New Roman" w:hAnsi="Times New Roman" w:cs="Times New Roman"/>
                <w:szCs w:val="20"/>
              </w:rPr>
            </w:pPr>
          </w:p>
        </w:tc>
        <w:tc>
          <w:tcPr>
            <w:tcW w:w="1250" w:type="pct"/>
            <w:tcBorders>
              <w:top w:val="nil"/>
              <w:left w:val="nil"/>
              <w:bottom w:val="nil"/>
              <w:right w:val="nil"/>
            </w:tcBorders>
            <w:shd w:val="clear" w:color="auto" w:fill="auto"/>
            <w:vAlign w:val="center"/>
            <w:hideMark/>
          </w:tcPr>
          <w:p w14:paraId="277DDDEE" w14:textId="77777777" w:rsidR="000050A3" w:rsidRPr="006D5A63" w:rsidRDefault="000176AF" w:rsidP="00056927">
            <w:pPr>
              <w:spacing w:after="0" w:line="276" w:lineRule="auto"/>
              <w:jc w:val="center"/>
              <w:rPr>
                <w:rFonts w:ascii="Times New Roman" w:eastAsia="Times New Roman" w:hAnsi="Times New Roman" w:cs="Times New Roman"/>
                <w:szCs w:val="20"/>
              </w:rPr>
            </w:pPr>
          </w:p>
        </w:tc>
        <w:tc>
          <w:tcPr>
            <w:tcW w:w="1249" w:type="pct"/>
            <w:tcBorders>
              <w:top w:val="nil"/>
              <w:left w:val="nil"/>
              <w:bottom w:val="nil"/>
              <w:right w:val="nil"/>
            </w:tcBorders>
            <w:shd w:val="clear" w:color="auto" w:fill="auto"/>
            <w:vAlign w:val="center"/>
            <w:hideMark/>
          </w:tcPr>
          <w:p w14:paraId="22B7C01D" w14:textId="77777777" w:rsidR="000050A3" w:rsidRPr="006D5A63" w:rsidRDefault="000176AF" w:rsidP="00056927">
            <w:pPr>
              <w:spacing w:after="0" w:line="276" w:lineRule="auto"/>
              <w:jc w:val="center"/>
              <w:rPr>
                <w:rFonts w:ascii="Times New Roman" w:eastAsia="Times New Roman" w:hAnsi="Times New Roman" w:cs="Times New Roman"/>
                <w:szCs w:val="20"/>
              </w:rPr>
            </w:pPr>
          </w:p>
        </w:tc>
      </w:tr>
      <w:tr w:rsidR="00D7746D" w14:paraId="509DD9C8" w14:textId="77777777" w:rsidTr="00056927">
        <w:trPr>
          <w:trHeight w:val="390"/>
          <w:jc w:val="center"/>
        </w:trPr>
        <w:tc>
          <w:tcPr>
            <w:tcW w:w="1250" w:type="pct"/>
            <w:tcBorders>
              <w:top w:val="nil"/>
              <w:left w:val="nil"/>
              <w:bottom w:val="nil"/>
              <w:right w:val="nil"/>
            </w:tcBorders>
            <w:shd w:val="clear" w:color="auto" w:fill="auto"/>
            <w:vAlign w:val="center"/>
            <w:hideMark/>
          </w:tcPr>
          <w:p w14:paraId="27C0CA93"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bookmarkStart w:id="2" w:name="_Hlk2838771"/>
            <w:r>
              <w:rPr>
                <w:rFonts w:asciiTheme="majorHAnsi" w:hAnsiTheme="majorHAnsi"/>
                <w:b/>
                <w:color w:val="3E7BB6"/>
                <w:spacing w:val="-2"/>
              </w:rPr>
              <w:t>BOND YIELD</w:t>
            </w:r>
          </w:p>
        </w:tc>
        <w:tc>
          <w:tcPr>
            <w:tcW w:w="1250" w:type="pct"/>
            <w:tcBorders>
              <w:top w:val="nil"/>
              <w:left w:val="nil"/>
              <w:bottom w:val="nil"/>
              <w:right w:val="nil"/>
            </w:tcBorders>
            <w:shd w:val="clear" w:color="auto" w:fill="auto"/>
            <w:vAlign w:val="center"/>
            <w:hideMark/>
          </w:tcPr>
          <w:p w14:paraId="2A28427E"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9</w:t>
            </w:r>
            <w:r>
              <w:rPr>
                <w:rFonts w:asciiTheme="majorHAnsi" w:hAnsiTheme="majorHAnsi"/>
                <w:b/>
                <w:color w:val="3E7BB6"/>
                <w:spacing w:val="-2"/>
              </w:rPr>
              <w:t>/</w:t>
            </w:r>
            <w:r>
              <w:rPr>
                <w:rFonts w:asciiTheme="majorHAnsi" w:hAnsiTheme="majorHAnsi"/>
                <w:b/>
                <w:color w:val="3E7BB6"/>
                <w:spacing w:val="-2"/>
              </w:rPr>
              <w:t>3</w:t>
            </w:r>
            <w:r>
              <w:rPr>
                <w:rFonts w:asciiTheme="majorHAnsi" w:hAnsiTheme="majorHAnsi"/>
                <w:b/>
                <w:color w:val="3E7BB6"/>
                <w:spacing w:val="-2"/>
              </w:rPr>
              <w:t>0</w:t>
            </w:r>
            <w:r>
              <w:rPr>
                <w:rFonts w:asciiTheme="majorHAnsi" w:hAnsiTheme="majorHAnsi"/>
                <w:b/>
                <w:color w:val="3E7BB6"/>
                <w:spacing w:val="-2"/>
              </w:rPr>
              <w:t xml:space="preserve"> RATE</w:t>
            </w:r>
          </w:p>
        </w:tc>
        <w:tc>
          <w:tcPr>
            <w:tcW w:w="1250" w:type="pct"/>
            <w:tcBorders>
              <w:top w:val="nil"/>
              <w:left w:val="nil"/>
              <w:bottom w:val="nil"/>
              <w:right w:val="nil"/>
            </w:tcBorders>
            <w:shd w:val="clear" w:color="auto" w:fill="auto"/>
            <w:vAlign w:val="center"/>
            <w:hideMark/>
          </w:tcPr>
          <w:p w14:paraId="658BB47D"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MO AGO</w:t>
            </w:r>
          </w:p>
        </w:tc>
        <w:tc>
          <w:tcPr>
            <w:tcW w:w="1249" w:type="pct"/>
            <w:tcBorders>
              <w:top w:val="nil"/>
              <w:left w:val="nil"/>
              <w:bottom w:val="nil"/>
              <w:right w:val="nil"/>
            </w:tcBorders>
            <w:shd w:val="clear" w:color="auto" w:fill="auto"/>
            <w:vAlign w:val="center"/>
            <w:hideMark/>
          </w:tcPr>
          <w:p w14:paraId="3B97FBA6" w14:textId="77777777" w:rsidR="000050A3" w:rsidRPr="006D5A63" w:rsidRDefault="000176AF" w:rsidP="00056927">
            <w:pPr>
              <w:spacing w:after="0" w:line="276" w:lineRule="auto"/>
              <w:jc w:val="center"/>
              <w:rPr>
                <w:rFonts w:ascii="Calibri Light" w:eastAsia="Times New Roman" w:hAnsi="Calibri Light" w:cs="Times New Roman"/>
                <w:b/>
                <w:bCs/>
                <w:color w:val="F9BC50"/>
                <w:szCs w:val="20"/>
              </w:rPr>
            </w:pPr>
            <w:r>
              <w:rPr>
                <w:rFonts w:asciiTheme="majorHAnsi" w:hAnsiTheme="majorHAnsi"/>
                <w:b/>
                <w:color w:val="3E7BB6"/>
                <w:spacing w:val="-2"/>
              </w:rPr>
              <w:t>1 YR AGO</w:t>
            </w:r>
          </w:p>
        </w:tc>
      </w:tr>
      <w:tr w:rsidR="00D7746D" w14:paraId="59066470" w14:textId="77777777" w:rsidTr="00056927">
        <w:trPr>
          <w:trHeight w:val="390"/>
          <w:jc w:val="center"/>
        </w:trPr>
        <w:tc>
          <w:tcPr>
            <w:tcW w:w="1250" w:type="pct"/>
            <w:tcBorders>
              <w:top w:val="single" w:sz="4" w:space="0" w:color="A5A5A5"/>
              <w:left w:val="single" w:sz="4" w:space="0" w:color="A5A5A5"/>
              <w:bottom w:val="single" w:sz="4" w:space="0" w:color="A5A5A5"/>
              <w:right w:val="single" w:sz="4" w:space="0" w:color="A5A5A5"/>
            </w:tcBorders>
            <w:shd w:val="clear" w:color="000000" w:fill="F2F2F2"/>
            <w:vAlign w:val="center"/>
            <w:hideMark/>
          </w:tcPr>
          <w:p w14:paraId="52B8BCA0" w14:textId="77777777" w:rsidR="000050A3" w:rsidRPr="006942AF" w:rsidRDefault="000176AF" w:rsidP="00056927">
            <w:pPr>
              <w:spacing w:after="0" w:line="276" w:lineRule="auto"/>
              <w:jc w:val="center"/>
              <w:rPr>
                <w:rFonts w:ascii="Calibri Light" w:eastAsia="Times New Roman" w:hAnsi="Calibri Light" w:cs="Times New Roman"/>
                <w:szCs w:val="20"/>
              </w:rPr>
            </w:pPr>
            <w:r w:rsidRPr="006942AF">
              <w:rPr>
                <w:rFonts w:ascii="Calibri Light" w:eastAsia="Times New Roman" w:hAnsi="Calibri Light" w:cs="Times New Roman"/>
                <w:szCs w:val="20"/>
              </w:rPr>
              <w:t xml:space="preserve">10 YR </w:t>
            </w:r>
            <w:r>
              <w:rPr>
                <w:rFonts w:ascii="Calibri Light" w:eastAsia="Times New Roman" w:hAnsi="Calibri Light" w:cs="Times New Roman"/>
                <w:szCs w:val="20"/>
              </w:rPr>
              <w:t>TREASURY</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14292057" w14:textId="77777777" w:rsidR="000050A3" w:rsidRPr="006942AF" w:rsidRDefault="000176AF" w:rsidP="00056927">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68</w:t>
            </w:r>
          </w:p>
        </w:tc>
        <w:tc>
          <w:tcPr>
            <w:tcW w:w="1250" w:type="pct"/>
            <w:tcBorders>
              <w:top w:val="single" w:sz="4" w:space="0" w:color="A5A5A5"/>
              <w:left w:val="nil"/>
              <w:bottom w:val="single" w:sz="4" w:space="0" w:color="A5A5A5"/>
              <w:right w:val="single" w:sz="4" w:space="0" w:color="A5A5A5"/>
            </w:tcBorders>
            <w:shd w:val="clear" w:color="000000" w:fill="F2F2F2"/>
            <w:vAlign w:val="center"/>
            <w:hideMark/>
          </w:tcPr>
          <w:p w14:paraId="08CA77C2" w14:textId="77777777" w:rsidR="000050A3" w:rsidRPr="006942AF" w:rsidRDefault="000176AF" w:rsidP="00056927">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1</w:t>
            </w:r>
            <w:r>
              <w:rPr>
                <w:rFonts w:ascii="Calibri Light" w:eastAsia="Times New Roman" w:hAnsi="Calibri Light" w:cs="Times New Roman"/>
                <w:szCs w:val="20"/>
              </w:rPr>
              <w:t>.</w:t>
            </w:r>
            <w:r>
              <w:rPr>
                <w:rFonts w:ascii="Calibri Light" w:eastAsia="Times New Roman" w:hAnsi="Calibri Light" w:cs="Times New Roman"/>
                <w:szCs w:val="20"/>
              </w:rPr>
              <w:t>50</w:t>
            </w:r>
          </w:p>
        </w:tc>
        <w:tc>
          <w:tcPr>
            <w:tcW w:w="1249" w:type="pct"/>
            <w:tcBorders>
              <w:top w:val="single" w:sz="4" w:space="0" w:color="A5A5A5"/>
              <w:left w:val="nil"/>
              <w:bottom w:val="single" w:sz="4" w:space="0" w:color="A5A5A5"/>
              <w:right w:val="single" w:sz="4" w:space="0" w:color="A5A5A5"/>
            </w:tcBorders>
            <w:shd w:val="clear" w:color="000000" w:fill="F2F2F2"/>
            <w:vAlign w:val="center"/>
            <w:hideMark/>
          </w:tcPr>
          <w:p w14:paraId="5A611242" w14:textId="77777777" w:rsidR="000050A3" w:rsidRPr="006942AF" w:rsidRDefault="000176AF" w:rsidP="00056927">
            <w:pPr>
              <w:spacing w:after="0" w:line="276" w:lineRule="auto"/>
              <w:jc w:val="center"/>
              <w:rPr>
                <w:rFonts w:ascii="Calibri Light" w:eastAsia="Times New Roman" w:hAnsi="Calibri Light" w:cs="Times New Roman"/>
                <w:szCs w:val="20"/>
              </w:rPr>
            </w:pPr>
            <w:r>
              <w:rPr>
                <w:rFonts w:ascii="Calibri Light" w:eastAsia="Times New Roman" w:hAnsi="Calibri Light" w:cs="Times New Roman"/>
                <w:szCs w:val="20"/>
              </w:rPr>
              <w:t>3</w:t>
            </w:r>
            <w:r>
              <w:rPr>
                <w:rFonts w:ascii="Calibri Light" w:eastAsia="Times New Roman" w:hAnsi="Calibri Light" w:cs="Times New Roman"/>
                <w:szCs w:val="20"/>
              </w:rPr>
              <w:t>.0</w:t>
            </w:r>
            <w:r>
              <w:rPr>
                <w:rFonts w:ascii="Calibri Light" w:eastAsia="Times New Roman" w:hAnsi="Calibri Light" w:cs="Times New Roman"/>
                <w:szCs w:val="20"/>
              </w:rPr>
              <w:t>9</w:t>
            </w:r>
          </w:p>
        </w:tc>
      </w:tr>
    </w:tbl>
    <w:p w14:paraId="6547FD31" w14:textId="77777777" w:rsidR="00775662" w:rsidRPr="002D6595" w:rsidRDefault="000176AF" w:rsidP="00EE6BF2">
      <w:pPr>
        <w:spacing w:line="276" w:lineRule="auto"/>
        <w:rPr>
          <w:rStyle w:val="st"/>
          <w:rFonts w:asciiTheme="majorHAnsi" w:hAnsiTheme="majorHAnsi"/>
          <w:color w:val="767171" w:themeColor="background2" w:themeShade="80"/>
          <w:sz w:val="4"/>
        </w:rPr>
      </w:pPr>
      <w:bookmarkStart w:id="3" w:name="_Hlk533682393"/>
    </w:p>
    <w:bookmarkEnd w:id="3"/>
    <w:p w14:paraId="15C93F35" w14:textId="77777777" w:rsidR="00775662" w:rsidRPr="006942AF" w:rsidRDefault="000176AF" w:rsidP="00423B96">
      <w:pPr>
        <w:spacing w:line="276" w:lineRule="auto"/>
        <w:rPr>
          <w:rFonts w:asciiTheme="majorHAnsi" w:hAnsiTheme="majorHAnsi"/>
          <w:color w:val="767171" w:themeColor="background2" w:themeShade="80"/>
          <w:sz w:val="18"/>
          <w:szCs w:val="14"/>
        </w:rPr>
      </w:pPr>
      <w:r w:rsidRPr="005D54A0">
        <w:rPr>
          <w:rFonts w:asciiTheme="majorHAnsi" w:hAnsiTheme="majorHAnsi"/>
          <w:color w:val="767171" w:themeColor="background2" w:themeShade="80"/>
          <w:sz w:val="18"/>
          <w:szCs w:val="14"/>
        </w:rPr>
        <w:t xml:space="preserve">Sources: </w:t>
      </w:r>
      <w:r w:rsidRPr="005D54A0">
        <w:rPr>
          <w:rFonts w:asciiTheme="majorHAnsi" w:hAnsiTheme="majorHAnsi"/>
          <w:color w:val="767171" w:themeColor="background2" w:themeShade="80"/>
          <w:sz w:val="18"/>
          <w:szCs w:val="14"/>
        </w:rPr>
        <w:t>barchart</w:t>
      </w:r>
      <w:r w:rsidRPr="005D54A0">
        <w:rPr>
          <w:rFonts w:asciiTheme="majorHAnsi" w:hAnsiTheme="majorHAnsi"/>
          <w:color w:val="767171" w:themeColor="background2" w:themeShade="80"/>
          <w:sz w:val="18"/>
          <w:szCs w:val="14"/>
        </w:rPr>
        <w:t>.com</w:t>
      </w:r>
      <w:r w:rsidRPr="005D54A0">
        <w:rPr>
          <w:rFonts w:asciiTheme="majorHAnsi" w:hAnsiTheme="majorHAnsi"/>
          <w:color w:val="767171" w:themeColor="background2" w:themeShade="80"/>
          <w:sz w:val="18"/>
          <w:szCs w:val="14"/>
        </w:rPr>
        <w:t xml:space="preserve">, </w:t>
      </w:r>
      <w:r>
        <w:rPr>
          <w:rFonts w:asciiTheme="majorHAnsi" w:hAnsiTheme="majorHAnsi"/>
          <w:color w:val="767171" w:themeColor="background2" w:themeShade="80"/>
          <w:sz w:val="18"/>
          <w:szCs w:val="14"/>
        </w:rPr>
        <w:t xml:space="preserve">wsj.com, </w:t>
      </w:r>
      <w:r w:rsidRPr="005D54A0">
        <w:rPr>
          <w:rFonts w:asciiTheme="majorHAnsi" w:hAnsiTheme="majorHAnsi"/>
          <w:color w:val="767171" w:themeColor="background2" w:themeShade="80"/>
          <w:sz w:val="18"/>
          <w:szCs w:val="14"/>
        </w:rPr>
        <w:t>treasury</w:t>
      </w:r>
      <w:r w:rsidRPr="006942AF">
        <w:rPr>
          <w:rFonts w:asciiTheme="majorHAnsi" w:hAnsiTheme="majorHAnsi"/>
          <w:color w:val="767171" w:themeColor="background2" w:themeShade="80"/>
          <w:sz w:val="18"/>
          <w:szCs w:val="14"/>
        </w:rPr>
        <w:t xml:space="preserve">.gov - </w:t>
      </w:r>
      <w:r>
        <w:rPr>
          <w:rFonts w:asciiTheme="majorHAnsi" w:hAnsiTheme="majorHAnsi"/>
          <w:color w:val="767171" w:themeColor="background2" w:themeShade="80"/>
          <w:sz w:val="18"/>
          <w:szCs w:val="14"/>
        </w:rPr>
        <w:t>September 30, 2019</w:t>
      </w:r>
      <w:r>
        <w:rPr>
          <w:rFonts w:asciiTheme="majorHAnsi" w:hAnsiTheme="majorHAnsi"/>
          <w:color w:val="767171" w:themeColor="background2" w:themeShade="80"/>
          <w:sz w:val="18"/>
          <w:szCs w:val="14"/>
          <w:vertAlign w:val="superscript"/>
        </w:rPr>
        <w:t>16,18,19</w:t>
      </w:r>
    </w:p>
    <w:bookmarkEnd w:id="2"/>
    <w:p w14:paraId="648A9823" w14:textId="77777777" w:rsidR="00775662" w:rsidRPr="006942AF" w:rsidRDefault="000176AF" w:rsidP="00423B96">
      <w:pPr>
        <w:spacing w:line="276" w:lineRule="auto"/>
        <w:rPr>
          <w:rFonts w:asciiTheme="majorHAnsi" w:hAnsiTheme="majorHAnsi" w:cs="Verdana"/>
          <w:iCs/>
          <w:color w:val="767171" w:themeColor="background2" w:themeShade="80"/>
          <w:spacing w:val="-4"/>
          <w:sz w:val="18"/>
          <w:szCs w:val="14"/>
        </w:rPr>
      </w:pPr>
      <w:r w:rsidRPr="006942AF">
        <w:rPr>
          <w:rFonts w:asciiTheme="majorHAnsi" w:hAnsiTheme="majorHAnsi" w:cs="Verdana"/>
          <w:iCs/>
          <w:color w:val="767171" w:themeColor="background2" w:themeShade="80"/>
          <w:spacing w:val="-4"/>
          <w:sz w:val="18"/>
          <w:szCs w:val="14"/>
        </w:rPr>
        <w:t xml:space="preserve">Indices are unmanaged, do not incur fees or expenses, and cannot be invested into directly. These returns do not include dividends. </w:t>
      </w:r>
      <w:r w:rsidRPr="009C2112">
        <w:rPr>
          <w:rFonts w:asciiTheme="majorHAnsi" w:hAnsiTheme="majorHAnsi" w:cs="Verdana"/>
          <w:iCs/>
          <w:color w:val="767171" w:themeColor="background2" w:themeShade="80"/>
          <w:spacing w:val="-4"/>
          <w:sz w:val="18"/>
          <w:szCs w:val="14"/>
        </w:rPr>
        <w:t>10-year Treasury yield = projected return on investment, expressed as a percentage, on the U.S. government’s 10-yea</w:t>
      </w:r>
      <w:r w:rsidRPr="009C2112">
        <w:rPr>
          <w:rFonts w:asciiTheme="majorHAnsi" w:hAnsiTheme="majorHAnsi" w:cs="Verdana"/>
          <w:iCs/>
          <w:color w:val="767171" w:themeColor="background2" w:themeShade="80"/>
          <w:spacing w:val="-4"/>
          <w:sz w:val="18"/>
          <w:szCs w:val="14"/>
        </w:rPr>
        <w:t>r bond</w:t>
      </w:r>
      <w:r>
        <w:rPr>
          <w:rFonts w:asciiTheme="majorHAnsi" w:hAnsiTheme="majorHAnsi" w:cs="Verdana"/>
          <w:iCs/>
          <w:color w:val="767171" w:themeColor="background2" w:themeShade="80"/>
          <w:spacing w:val="-4"/>
          <w:sz w:val="18"/>
          <w:szCs w:val="14"/>
        </w:rPr>
        <w:t>.</w:t>
      </w:r>
    </w:p>
    <w:p w14:paraId="33FB6649" w14:textId="77777777" w:rsidR="002050E2" w:rsidRPr="008D3D97" w:rsidRDefault="000176AF" w:rsidP="00EE6BF2">
      <w:pPr>
        <w:spacing w:line="276" w:lineRule="auto"/>
        <w:jc w:val="center"/>
        <w:rPr>
          <w:rFonts w:asciiTheme="majorHAnsi" w:hAnsiTheme="majorHAnsi" w:cs="Verdana"/>
          <w:iCs/>
          <w:spacing w:val="-4"/>
          <w:sz w:val="18"/>
          <w:szCs w:val="14"/>
        </w:rPr>
      </w:pPr>
    </w:p>
    <w:p w14:paraId="4E8FC3C1" w14:textId="77777777" w:rsidR="00775662" w:rsidRPr="003F2BAB" w:rsidRDefault="000176AF" w:rsidP="00FF0042">
      <w:pPr>
        <w:spacing w:line="276" w:lineRule="auto"/>
        <w:jc w:val="both"/>
        <w:rPr>
          <w:rFonts w:asciiTheme="majorHAnsi" w:hAnsiTheme="majorHAnsi"/>
          <w:sz w:val="24"/>
        </w:rPr>
      </w:pPr>
      <w:r w:rsidRPr="00E17822">
        <w:rPr>
          <w:rStyle w:val="st"/>
          <w:rFonts w:asciiTheme="majorHAnsi" w:hAnsiTheme="majorHAnsi"/>
          <w:sz w:val="24"/>
        </w:rPr>
        <w:t>The next earnings season is less than two weeks away. Earnings growth is one of the pillars supporting the stock market, and if earnings are strong and forecasts are solid, that may help to dispel</w:t>
      </w:r>
      <w:r>
        <w:rPr>
          <w:rStyle w:val="st"/>
          <w:rFonts w:asciiTheme="majorHAnsi" w:hAnsiTheme="majorHAnsi"/>
          <w:sz w:val="24"/>
        </w:rPr>
        <w:t>,</w:t>
      </w:r>
      <w:r w:rsidRPr="00E17822">
        <w:rPr>
          <w:rStyle w:val="st"/>
          <w:rFonts w:asciiTheme="majorHAnsi" w:hAnsiTheme="majorHAnsi"/>
          <w:sz w:val="24"/>
        </w:rPr>
        <w:t xml:space="preserve"> or at least ease</w:t>
      </w:r>
      <w:r>
        <w:rPr>
          <w:rStyle w:val="st"/>
          <w:rFonts w:asciiTheme="majorHAnsi" w:hAnsiTheme="majorHAnsi"/>
          <w:sz w:val="24"/>
        </w:rPr>
        <w:t>,</w:t>
      </w:r>
      <w:r w:rsidRPr="00E17822">
        <w:rPr>
          <w:rStyle w:val="st"/>
          <w:rFonts w:asciiTheme="majorHAnsi" w:hAnsiTheme="majorHAnsi"/>
          <w:sz w:val="24"/>
        </w:rPr>
        <w:t xml:space="preserve"> anxieties on Wall Street about a slowing economy. Weak earnings would invite questions about whether companies are going to keep investing and hiring at their present pace</w:t>
      </w:r>
      <w:r>
        <w:rPr>
          <w:rStyle w:val="st"/>
          <w:rFonts w:asciiTheme="majorHAnsi" w:hAnsiTheme="majorHAnsi"/>
          <w:sz w:val="24"/>
        </w:rPr>
        <w:t>.</w:t>
      </w:r>
    </w:p>
    <w:p w14:paraId="7C5596A8" w14:textId="77777777" w:rsidR="00552AA9" w:rsidRPr="00DD38C0" w:rsidRDefault="000176AF" w:rsidP="00EE6BF2">
      <w:pPr>
        <w:spacing w:line="276" w:lineRule="auto"/>
        <w:rPr>
          <w:rFonts w:asciiTheme="majorHAnsi" w:hAnsiTheme="majorHAnsi"/>
          <w:color w:val="808080"/>
          <w:spacing w:val="-2"/>
          <w:sz w:val="4"/>
        </w:rPr>
      </w:pPr>
    </w:p>
    <w:p w14:paraId="7A81992C" w14:textId="77777777" w:rsidR="006D5A63" w:rsidRDefault="000176AF"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4905BF34" wp14:editId="7C851BE2">
            <wp:extent cx="5825083" cy="268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58DE2DC9" w14:textId="77777777" w:rsidR="006D5A63" w:rsidRPr="00DD38C0" w:rsidRDefault="000176AF" w:rsidP="00EE6BF2">
      <w:pPr>
        <w:spacing w:line="276" w:lineRule="auto"/>
        <w:jc w:val="center"/>
        <w:rPr>
          <w:rStyle w:val="st"/>
          <w:rFonts w:asciiTheme="majorHAnsi" w:hAnsiTheme="majorHAnsi"/>
          <w:color w:val="E88E0A"/>
          <w:sz w:val="4"/>
        </w:rPr>
      </w:pPr>
    </w:p>
    <w:p w14:paraId="5E8F5B26" w14:textId="77777777" w:rsidR="006D5A63" w:rsidRPr="00CE13AE" w:rsidRDefault="000176AF"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Q U O T E   O F   T H E   </w:t>
      </w:r>
      <w:r>
        <w:rPr>
          <w:rStyle w:val="st"/>
          <w:rFonts w:asciiTheme="majorHAnsi" w:hAnsiTheme="majorHAnsi"/>
          <w:color w:val="3E7BB6"/>
        </w:rPr>
        <w:t>M O N T H</w:t>
      </w:r>
    </w:p>
    <w:p w14:paraId="3CA8A68F" w14:textId="77777777" w:rsidR="006D5A63" w:rsidRPr="00DD38C0" w:rsidRDefault="000176AF" w:rsidP="00EE6BF2">
      <w:pPr>
        <w:spacing w:line="276" w:lineRule="auto"/>
        <w:jc w:val="center"/>
        <w:rPr>
          <w:rStyle w:val="st"/>
          <w:rFonts w:asciiTheme="majorHAnsi" w:hAnsiTheme="majorHAnsi"/>
          <w:sz w:val="4"/>
        </w:rPr>
      </w:pPr>
    </w:p>
    <w:p w14:paraId="2D0A890D" w14:textId="77777777" w:rsidR="006D5A63" w:rsidRDefault="000176AF"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198B9FD2" wp14:editId="1C7EF25D">
            <wp:extent cx="868680" cy="6400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680" cy="640080"/>
                    </a:xfrm>
                    <a:prstGeom prst="rect">
                      <a:avLst/>
                    </a:prstGeom>
                  </pic:spPr>
                </pic:pic>
              </a:graphicData>
            </a:graphic>
          </wp:inline>
        </w:drawing>
      </w:r>
    </w:p>
    <w:p w14:paraId="08388E0B" w14:textId="77777777" w:rsidR="006D5A63" w:rsidRPr="00F5056A" w:rsidRDefault="000176AF" w:rsidP="00EE6BF2">
      <w:pPr>
        <w:spacing w:line="276" w:lineRule="auto"/>
        <w:jc w:val="center"/>
        <w:rPr>
          <w:rStyle w:val="st"/>
          <w:rFonts w:asciiTheme="majorHAnsi" w:hAnsiTheme="majorHAnsi"/>
          <w:i/>
          <w:sz w:val="36"/>
        </w:rPr>
      </w:pPr>
      <w:r w:rsidRPr="00F5056A">
        <w:rPr>
          <w:rStyle w:val="st"/>
          <w:rFonts w:asciiTheme="majorHAnsi" w:hAnsiTheme="majorHAnsi"/>
          <w:i/>
          <w:sz w:val="36"/>
        </w:rPr>
        <w:t>“</w:t>
      </w:r>
      <w:r w:rsidRPr="009E2805">
        <w:rPr>
          <w:rStyle w:val="st"/>
          <w:rFonts w:asciiTheme="majorHAnsi" w:hAnsiTheme="majorHAnsi"/>
          <w:i/>
          <w:sz w:val="36"/>
        </w:rPr>
        <w:t xml:space="preserve">Success is that old ABC </w:t>
      </w:r>
      <w:r>
        <w:rPr>
          <w:rStyle w:val="st"/>
          <w:rFonts w:asciiTheme="majorHAnsi" w:hAnsiTheme="majorHAnsi"/>
          <w:i/>
          <w:sz w:val="36"/>
        </w:rPr>
        <w:t>–</w:t>
      </w:r>
      <w:r w:rsidRPr="009E2805">
        <w:rPr>
          <w:rStyle w:val="st"/>
          <w:rFonts w:asciiTheme="majorHAnsi" w:hAnsiTheme="majorHAnsi"/>
          <w:i/>
          <w:sz w:val="36"/>
        </w:rPr>
        <w:t xml:space="preserve"> ability, breaks, and courage</w:t>
      </w:r>
      <w:r w:rsidRPr="00F5056A">
        <w:rPr>
          <w:rStyle w:val="st"/>
          <w:rFonts w:asciiTheme="majorHAnsi" w:hAnsiTheme="majorHAnsi"/>
          <w:b/>
          <w:i/>
          <w:sz w:val="36"/>
        </w:rPr>
        <w:t>.</w:t>
      </w:r>
      <w:r w:rsidRPr="00F5056A">
        <w:rPr>
          <w:rStyle w:val="st"/>
          <w:rFonts w:asciiTheme="majorHAnsi" w:hAnsiTheme="majorHAnsi"/>
          <w:i/>
          <w:sz w:val="36"/>
        </w:rPr>
        <w:t>”</w:t>
      </w:r>
    </w:p>
    <w:p w14:paraId="3938B613" w14:textId="0DCA6E8E" w:rsidR="006D5A63" w:rsidRPr="00594671" w:rsidRDefault="000176AF" w:rsidP="00594671">
      <w:pPr>
        <w:spacing w:line="276" w:lineRule="auto"/>
        <w:jc w:val="center"/>
        <w:rPr>
          <w:rStyle w:val="st"/>
          <w:rFonts w:asciiTheme="majorHAnsi" w:hAnsiTheme="majorHAnsi"/>
          <w:caps/>
          <w:color w:val="3E7BB6"/>
          <w:sz w:val="24"/>
        </w:rPr>
      </w:pPr>
      <w:r>
        <w:rPr>
          <w:rStyle w:val="st"/>
          <w:rFonts w:asciiTheme="majorHAnsi" w:hAnsiTheme="majorHAnsi"/>
          <w:i/>
          <w:caps/>
          <w:color w:val="3E7BB6"/>
        </w:rPr>
        <w:t>CHARLES LUCKMAN</w:t>
      </w:r>
    </w:p>
    <w:p w14:paraId="4FADDA08" w14:textId="77777777" w:rsidR="00713653" w:rsidRDefault="000176AF"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4D24A0AB" wp14:editId="11349385">
            <wp:extent cx="5825083" cy="26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16470280" w14:textId="77777777" w:rsidR="00775662" w:rsidRPr="004A31CC" w:rsidRDefault="000176AF" w:rsidP="00EE6BF2">
      <w:pPr>
        <w:spacing w:line="276" w:lineRule="auto"/>
        <w:rPr>
          <w:rFonts w:asciiTheme="majorHAnsi" w:hAnsiTheme="majorHAnsi"/>
          <w:b/>
          <w:spacing w:val="-2"/>
          <w:sz w:val="28"/>
        </w:rPr>
      </w:pPr>
      <w:r>
        <w:rPr>
          <w:rFonts w:asciiTheme="majorHAnsi" w:hAnsiTheme="majorHAnsi"/>
          <w:b/>
          <w:color w:val="3E7BB6"/>
          <w:spacing w:val="-2"/>
          <w:sz w:val="28"/>
        </w:rPr>
        <w:t>UPCOMING RELEASES</w:t>
      </w:r>
    </w:p>
    <w:p w14:paraId="3D379874" w14:textId="77777777" w:rsidR="00775662" w:rsidRPr="0047025A" w:rsidRDefault="000176AF" w:rsidP="00EE6BF2">
      <w:pPr>
        <w:spacing w:line="276" w:lineRule="auto"/>
        <w:jc w:val="both"/>
        <w:rPr>
          <w:rFonts w:asciiTheme="majorHAnsi" w:hAnsiTheme="majorHAnsi"/>
          <w:color w:val="002060"/>
          <w:spacing w:val="-2"/>
        </w:rPr>
      </w:pPr>
      <w:r>
        <w:rPr>
          <w:rFonts w:asciiTheme="majorHAnsi" w:hAnsiTheme="majorHAnsi"/>
          <w:spacing w:val="-2"/>
        </w:rPr>
        <w:t>Looking at the rest of October, here are the consequential scheduled economic news items: the Department of Labor’s monthly jobs report (10/4), September wholesale inflation (10/8), the minutes from September’s Federal Reserve meeting (10/9), September con</w:t>
      </w:r>
      <w:r>
        <w:rPr>
          <w:rFonts w:asciiTheme="majorHAnsi" w:hAnsiTheme="majorHAnsi"/>
          <w:spacing w:val="-2"/>
        </w:rPr>
        <w:t xml:space="preserve">sumer inflation (10/10), the preliminary October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S</w:t>
      </w:r>
      <w:r>
        <w:rPr>
          <w:rFonts w:asciiTheme="majorHAnsi" w:hAnsiTheme="majorHAnsi"/>
          <w:spacing w:val="-2"/>
        </w:rPr>
        <w:t xml:space="preserve">entiment </w:t>
      </w:r>
      <w:r>
        <w:rPr>
          <w:rFonts w:asciiTheme="majorHAnsi" w:hAnsiTheme="majorHAnsi"/>
          <w:spacing w:val="-2"/>
        </w:rPr>
        <w:t>I</w:t>
      </w:r>
      <w:r>
        <w:rPr>
          <w:rFonts w:asciiTheme="majorHAnsi" w:hAnsiTheme="majorHAnsi"/>
          <w:spacing w:val="-2"/>
        </w:rPr>
        <w:t xml:space="preserve">ndex from the University of Michigan (10/11), </w:t>
      </w:r>
      <w:r>
        <w:rPr>
          <w:rFonts w:asciiTheme="majorHAnsi" w:hAnsiTheme="majorHAnsi"/>
          <w:spacing w:val="-2"/>
        </w:rPr>
        <w:t xml:space="preserve">September retail sales and </w:t>
      </w:r>
      <w:r>
        <w:rPr>
          <w:rFonts w:asciiTheme="majorHAnsi" w:hAnsiTheme="majorHAnsi"/>
          <w:spacing w:val="-2"/>
        </w:rPr>
        <w:t xml:space="preserve">the next Federal Reserve Beige Book (10/16), </w:t>
      </w:r>
      <w:r>
        <w:rPr>
          <w:rFonts w:asciiTheme="majorHAnsi" w:hAnsiTheme="majorHAnsi"/>
          <w:spacing w:val="-2"/>
        </w:rPr>
        <w:t>the Census Bureau’s monthly snapshot of U.S. construction activity (1</w:t>
      </w:r>
      <w:r>
        <w:rPr>
          <w:rFonts w:asciiTheme="majorHAnsi" w:hAnsiTheme="majorHAnsi"/>
          <w:spacing w:val="-2"/>
        </w:rPr>
        <w:t xml:space="preserve">0/17), </w:t>
      </w:r>
      <w:r>
        <w:rPr>
          <w:rFonts w:asciiTheme="majorHAnsi" w:hAnsiTheme="majorHAnsi"/>
          <w:spacing w:val="-2"/>
        </w:rPr>
        <w:t xml:space="preserve">September existing home sales (10/22), September new home sales and </w:t>
      </w:r>
      <w:r>
        <w:rPr>
          <w:rFonts w:asciiTheme="majorHAnsi" w:hAnsiTheme="majorHAnsi"/>
          <w:spacing w:val="-2"/>
        </w:rPr>
        <w:t xml:space="preserve">durable goods orders (10/24), the month’s final University of Michigan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S</w:t>
      </w:r>
      <w:r>
        <w:rPr>
          <w:rFonts w:asciiTheme="majorHAnsi" w:hAnsiTheme="majorHAnsi"/>
          <w:spacing w:val="-2"/>
        </w:rPr>
        <w:t xml:space="preserve">entiment index (10/25), the Conference Board’s October </w:t>
      </w:r>
      <w:r>
        <w:rPr>
          <w:rFonts w:asciiTheme="majorHAnsi" w:hAnsiTheme="majorHAnsi"/>
          <w:spacing w:val="-2"/>
        </w:rPr>
        <w:t>C</w:t>
      </w:r>
      <w:r>
        <w:rPr>
          <w:rFonts w:asciiTheme="majorHAnsi" w:hAnsiTheme="majorHAnsi"/>
          <w:spacing w:val="-2"/>
        </w:rPr>
        <w:t xml:space="preserve">onsumer </w:t>
      </w:r>
      <w:r>
        <w:rPr>
          <w:rFonts w:asciiTheme="majorHAnsi" w:hAnsiTheme="majorHAnsi"/>
          <w:spacing w:val="-2"/>
        </w:rPr>
        <w:t>C</w:t>
      </w:r>
      <w:r>
        <w:rPr>
          <w:rFonts w:asciiTheme="majorHAnsi" w:hAnsiTheme="majorHAnsi"/>
          <w:spacing w:val="-2"/>
        </w:rPr>
        <w:t xml:space="preserve">onfidence </w:t>
      </w:r>
      <w:r>
        <w:rPr>
          <w:rFonts w:asciiTheme="majorHAnsi" w:hAnsiTheme="majorHAnsi"/>
          <w:spacing w:val="-2"/>
        </w:rPr>
        <w:t>I</w:t>
      </w:r>
      <w:r>
        <w:rPr>
          <w:rFonts w:asciiTheme="majorHAnsi" w:hAnsiTheme="majorHAnsi"/>
          <w:spacing w:val="-2"/>
        </w:rPr>
        <w:t>ndex, plus September pen</w:t>
      </w:r>
      <w:r>
        <w:rPr>
          <w:rFonts w:asciiTheme="majorHAnsi" w:hAnsiTheme="majorHAnsi"/>
          <w:spacing w:val="-2"/>
        </w:rPr>
        <w:t xml:space="preserve">ding home sales figures (10/29), a Federal Reserve policy statement and press conference (10/30), and September personal spending figures from the </w:t>
      </w:r>
      <w:r w:rsidRPr="009E2805">
        <w:rPr>
          <w:rFonts w:asciiTheme="majorHAnsi" w:hAnsiTheme="majorHAnsi"/>
          <w:spacing w:val="-2"/>
        </w:rPr>
        <w:t>Bureau of Economic Analysis</w:t>
      </w:r>
      <w:r>
        <w:rPr>
          <w:rFonts w:asciiTheme="majorHAnsi" w:hAnsiTheme="majorHAnsi"/>
          <w:spacing w:val="-2"/>
        </w:rPr>
        <w:t xml:space="preserve"> (10/31).</w:t>
      </w:r>
    </w:p>
    <w:p w14:paraId="773E254C" w14:textId="77777777" w:rsidR="006D5A63" w:rsidRDefault="000176AF" w:rsidP="00EE6BF2">
      <w:pPr>
        <w:spacing w:line="276" w:lineRule="auto"/>
        <w:jc w:val="center"/>
        <w:rPr>
          <w:rStyle w:val="st"/>
          <w:rFonts w:asciiTheme="majorHAnsi" w:hAnsiTheme="majorHAnsi"/>
        </w:rPr>
      </w:pPr>
      <w:r w:rsidRPr="004A2938">
        <w:rPr>
          <w:rFonts w:asciiTheme="majorHAnsi" w:hAnsiTheme="majorHAnsi"/>
          <w:noProof/>
          <w:sz w:val="10"/>
        </w:rPr>
        <w:drawing>
          <wp:inline distT="0" distB="0" distL="0" distR="0" wp14:anchorId="290C0F2A" wp14:editId="4EAE7A6D">
            <wp:extent cx="5825083" cy="268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629DDF4" w14:textId="77777777" w:rsidR="006D5A63" w:rsidRPr="00DD38C0" w:rsidRDefault="000176AF" w:rsidP="00EE6BF2">
      <w:pPr>
        <w:spacing w:line="276" w:lineRule="auto"/>
        <w:jc w:val="center"/>
        <w:rPr>
          <w:rStyle w:val="st"/>
          <w:rFonts w:asciiTheme="majorHAnsi" w:hAnsiTheme="majorHAnsi"/>
          <w:color w:val="E88E0A"/>
          <w:sz w:val="4"/>
        </w:rPr>
      </w:pPr>
    </w:p>
    <w:p w14:paraId="2F34B188" w14:textId="77777777" w:rsidR="006D5A63" w:rsidRPr="00CE13AE" w:rsidRDefault="000176AF" w:rsidP="00EE6BF2">
      <w:pPr>
        <w:spacing w:line="276" w:lineRule="auto"/>
        <w:jc w:val="center"/>
        <w:rPr>
          <w:rStyle w:val="st"/>
          <w:rFonts w:asciiTheme="majorHAnsi" w:hAnsiTheme="majorHAnsi"/>
          <w:color w:val="3E7BB6"/>
        </w:rPr>
      </w:pPr>
      <w:r w:rsidRPr="00CE13AE">
        <w:rPr>
          <w:rStyle w:val="st"/>
          <w:rFonts w:asciiTheme="majorHAnsi" w:hAnsiTheme="majorHAnsi"/>
          <w:color w:val="3E7BB6"/>
        </w:rPr>
        <w:t xml:space="preserve">T H E  </w:t>
      </w:r>
      <w:r>
        <w:rPr>
          <w:rStyle w:val="st"/>
          <w:rFonts w:asciiTheme="majorHAnsi" w:hAnsiTheme="majorHAnsi"/>
          <w:color w:val="3E7BB6"/>
        </w:rPr>
        <w:t>M O N T H L Y</w:t>
      </w:r>
      <w:r w:rsidRPr="00CE13AE">
        <w:rPr>
          <w:rStyle w:val="st"/>
          <w:rFonts w:asciiTheme="majorHAnsi" w:hAnsiTheme="majorHAnsi"/>
          <w:color w:val="3E7BB6"/>
        </w:rPr>
        <w:t xml:space="preserve">   R I D D L E</w:t>
      </w:r>
    </w:p>
    <w:p w14:paraId="138B8AB9" w14:textId="77777777" w:rsidR="006D5A63" w:rsidRPr="00DD38C0" w:rsidRDefault="000176AF" w:rsidP="00EE6BF2">
      <w:pPr>
        <w:spacing w:line="276" w:lineRule="auto"/>
        <w:jc w:val="center"/>
        <w:rPr>
          <w:rStyle w:val="st"/>
          <w:rFonts w:asciiTheme="majorHAnsi" w:hAnsiTheme="majorHAnsi"/>
          <w:sz w:val="4"/>
        </w:rPr>
      </w:pPr>
    </w:p>
    <w:p w14:paraId="6B55864A" w14:textId="77777777" w:rsidR="006D5A63" w:rsidRDefault="000176AF" w:rsidP="00EE6BF2">
      <w:pPr>
        <w:spacing w:line="276" w:lineRule="auto"/>
        <w:jc w:val="center"/>
        <w:rPr>
          <w:rStyle w:val="st"/>
          <w:rFonts w:asciiTheme="majorHAnsi" w:hAnsiTheme="majorHAnsi"/>
        </w:rPr>
      </w:pPr>
      <w:r>
        <w:rPr>
          <w:rFonts w:asciiTheme="majorHAnsi" w:hAnsiTheme="majorHAnsi"/>
          <w:noProof/>
        </w:rPr>
        <w:drawing>
          <wp:inline distT="0" distB="0" distL="0" distR="0" wp14:anchorId="169B7BF8" wp14:editId="65EFA0CC">
            <wp:extent cx="776034" cy="955119"/>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ote Bubble.jpg"/>
                    <pic:cNvPicPr/>
                  </pic:nvPicPr>
                  <pic:blipFill>
                    <a:blip r:embed="rId8">
                      <a:extLst>
                        <a:ext uri="{28A0092B-C50C-407E-A947-70E740481C1C}">
                          <a14:useLocalDpi xmlns:a14="http://schemas.microsoft.com/office/drawing/2010/main" val="0"/>
                        </a:ext>
                      </a:extLst>
                    </a:blip>
                    <a:stretch>
                      <a:fillRect/>
                    </a:stretch>
                  </pic:blipFill>
                  <pic:spPr>
                    <a:xfrm>
                      <a:off x="0" y="0"/>
                      <a:ext cx="776034" cy="955119"/>
                    </a:xfrm>
                    <a:prstGeom prst="rect">
                      <a:avLst/>
                    </a:prstGeom>
                  </pic:spPr>
                </pic:pic>
              </a:graphicData>
            </a:graphic>
          </wp:inline>
        </w:drawing>
      </w:r>
    </w:p>
    <w:p w14:paraId="4B0DAFBB" w14:textId="77777777" w:rsidR="006D5A63" w:rsidRPr="002F292D" w:rsidRDefault="000176AF" w:rsidP="007C4F03">
      <w:pPr>
        <w:spacing w:line="276" w:lineRule="auto"/>
        <w:jc w:val="center"/>
        <w:rPr>
          <w:rStyle w:val="st"/>
          <w:rFonts w:asciiTheme="majorHAnsi" w:hAnsiTheme="majorHAnsi"/>
          <w:i/>
          <w:sz w:val="36"/>
        </w:rPr>
      </w:pPr>
      <w:bookmarkStart w:id="4" w:name="_Hlk533572087"/>
      <w:r w:rsidRPr="00393409">
        <w:rPr>
          <w:rStyle w:val="st"/>
          <w:rFonts w:asciiTheme="majorHAnsi" w:hAnsiTheme="majorHAnsi"/>
          <w:i/>
          <w:sz w:val="36"/>
        </w:rPr>
        <w:t xml:space="preserve">I am the </w:t>
      </w:r>
      <w:r w:rsidRPr="00393409">
        <w:rPr>
          <w:rStyle w:val="st"/>
          <w:rFonts w:asciiTheme="majorHAnsi" w:hAnsiTheme="majorHAnsi"/>
          <w:b/>
          <w:bCs/>
          <w:i/>
          <w:sz w:val="36"/>
        </w:rPr>
        <w:t>beginning</w:t>
      </w:r>
      <w:r w:rsidRPr="00393409">
        <w:rPr>
          <w:rStyle w:val="st"/>
          <w:rFonts w:asciiTheme="majorHAnsi" w:hAnsiTheme="majorHAnsi"/>
          <w:i/>
          <w:sz w:val="36"/>
        </w:rPr>
        <w:t xml:space="preserve"> of the end, the </w:t>
      </w:r>
      <w:r w:rsidRPr="00393409">
        <w:rPr>
          <w:rStyle w:val="st"/>
          <w:rFonts w:asciiTheme="majorHAnsi" w:hAnsiTheme="majorHAnsi"/>
          <w:b/>
          <w:bCs/>
          <w:i/>
          <w:sz w:val="36"/>
        </w:rPr>
        <w:t>end</w:t>
      </w:r>
      <w:r w:rsidRPr="00393409">
        <w:rPr>
          <w:rStyle w:val="st"/>
          <w:rFonts w:asciiTheme="majorHAnsi" w:hAnsiTheme="majorHAnsi"/>
          <w:i/>
          <w:sz w:val="36"/>
        </w:rPr>
        <w:t xml:space="preserve"> of every place. I am the </w:t>
      </w:r>
      <w:r w:rsidRPr="00393409">
        <w:rPr>
          <w:rStyle w:val="st"/>
          <w:rFonts w:asciiTheme="majorHAnsi" w:hAnsiTheme="majorHAnsi"/>
          <w:b/>
          <w:bCs/>
          <w:i/>
          <w:sz w:val="36"/>
        </w:rPr>
        <w:t>beginning</w:t>
      </w:r>
      <w:r w:rsidRPr="00393409">
        <w:rPr>
          <w:rStyle w:val="st"/>
          <w:rFonts w:asciiTheme="majorHAnsi" w:hAnsiTheme="majorHAnsi"/>
          <w:i/>
          <w:sz w:val="36"/>
        </w:rPr>
        <w:t xml:space="preserve"> of eternity, the </w:t>
      </w:r>
      <w:r w:rsidRPr="00393409">
        <w:rPr>
          <w:rStyle w:val="st"/>
          <w:rFonts w:asciiTheme="majorHAnsi" w:hAnsiTheme="majorHAnsi"/>
          <w:b/>
          <w:bCs/>
          <w:i/>
          <w:sz w:val="36"/>
        </w:rPr>
        <w:t>end</w:t>
      </w:r>
      <w:r w:rsidRPr="00393409">
        <w:rPr>
          <w:rStyle w:val="st"/>
          <w:rFonts w:asciiTheme="majorHAnsi" w:hAnsiTheme="majorHAnsi"/>
          <w:i/>
          <w:sz w:val="36"/>
        </w:rPr>
        <w:t xml:space="preserve"> of time and space. What am I</w:t>
      </w:r>
      <w:r w:rsidRPr="002F292D">
        <w:rPr>
          <w:rStyle w:val="st"/>
          <w:rFonts w:asciiTheme="majorHAnsi" w:hAnsiTheme="majorHAnsi"/>
          <w:i/>
          <w:sz w:val="36"/>
        </w:rPr>
        <w:t>?</w:t>
      </w:r>
    </w:p>
    <w:bookmarkEnd w:id="4"/>
    <w:p w14:paraId="671B73AB" w14:textId="77777777" w:rsidR="00237981" w:rsidRPr="00DD38C0" w:rsidRDefault="000176AF" w:rsidP="00EE6BF2">
      <w:pPr>
        <w:spacing w:line="276" w:lineRule="auto"/>
        <w:jc w:val="center"/>
        <w:rPr>
          <w:rStyle w:val="st"/>
          <w:rFonts w:asciiTheme="majorHAnsi" w:hAnsiTheme="majorHAnsi"/>
          <w:i/>
          <w:color w:val="A6A6A6" w:themeColor="background1" w:themeShade="A6"/>
          <w:sz w:val="4"/>
        </w:rPr>
      </w:pPr>
    </w:p>
    <w:p w14:paraId="2331660D" w14:textId="77777777" w:rsidR="00237981" w:rsidRPr="00DD38C0" w:rsidRDefault="000176AF" w:rsidP="00EE6BF2">
      <w:pPr>
        <w:spacing w:line="276" w:lineRule="auto"/>
        <w:jc w:val="center"/>
        <w:rPr>
          <w:rStyle w:val="st"/>
          <w:rFonts w:asciiTheme="majorHAnsi" w:hAnsiTheme="majorHAnsi"/>
          <w:i/>
          <w:color w:val="646464"/>
        </w:rPr>
      </w:pPr>
      <w:r w:rsidRPr="00DD38C0">
        <w:rPr>
          <w:rStyle w:val="st"/>
          <w:rFonts w:asciiTheme="majorHAnsi" w:hAnsiTheme="majorHAnsi"/>
          <w:i/>
          <w:color w:val="646464"/>
        </w:rPr>
        <w:t xml:space="preserve">LAST </w:t>
      </w:r>
      <w:r>
        <w:rPr>
          <w:rStyle w:val="st"/>
          <w:rFonts w:asciiTheme="majorHAnsi" w:hAnsiTheme="majorHAnsi"/>
          <w:i/>
          <w:color w:val="646464"/>
        </w:rPr>
        <w:t>MONTH</w:t>
      </w:r>
      <w:r w:rsidRPr="00DD38C0">
        <w:rPr>
          <w:rStyle w:val="st"/>
          <w:rFonts w:asciiTheme="majorHAnsi" w:hAnsiTheme="majorHAnsi"/>
          <w:i/>
          <w:color w:val="646464"/>
        </w:rPr>
        <w:t xml:space="preserve">’S RIDDLE: </w:t>
      </w:r>
      <w:r w:rsidRPr="00220A1A">
        <w:rPr>
          <w:rStyle w:val="st"/>
          <w:rFonts w:asciiTheme="majorHAnsi" w:hAnsiTheme="majorHAnsi"/>
          <w:i/>
          <w:color w:val="646464"/>
        </w:rPr>
        <w:t>During what month do people sleep the least, on average</w:t>
      </w:r>
      <w:r w:rsidRPr="001F3044">
        <w:rPr>
          <w:rStyle w:val="st"/>
          <w:rFonts w:asciiTheme="majorHAnsi" w:hAnsiTheme="majorHAnsi"/>
          <w:i/>
          <w:color w:val="646464"/>
        </w:rPr>
        <w:t>?</w:t>
      </w:r>
    </w:p>
    <w:p w14:paraId="3924CF06" w14:textId="77777777" w:rsidR="00237981" w:rsidRPr="00DD38C0" w:rsidRDefault="000176AF" w:rsidP="00EE6BF2">
      <w:pPr>
        <w:spacing w:line="276" w:lineRule="auto"/>
        <w:jc w:val="center"/>
        <w:rPr>
          <w:rStyle w:val="st"/>
          <w:rFonts w:asciiTheme="majorHAnsi" w:hAnsiTheme="majorHAnsi"/>
          <w:i/>
          <w:color w:val="646464"/>
        </w:rPr>
      </w:pPr>
      <w:r>
        <w:rPr>
          <w:rStyle w:val="st"/>
          <w:rFonts w:asciiTheme="majorHAnsi" w:hAnsiTheme="majorHAnsi"/>
          <w:i/>
          <w:color w:val="646464"/>
        </w:rPr>
        <w:t>ANSWER:</w:t>
      </w:r>
      <w:r>
        <w:rPr>
          <w:rStyle w:val="st"/>
          <w:rFonts w:asciiTheme="majorHAnsi" w:hAnsiTheme="majorHAnsi"/>
          <w:i/>
          <w:color w:val="646464"/>
        </w:rPr>
        <w:t xml:space="preserve"> </w:t>
      </w:r>
      <w:bookmarkEnd w:id="0"/>
      <w:r>
        <w:rPr>
          <w:rStyle w:val="st"/>
          <w:rFonts w:asciiTheme="majorHAnsi" w:hAnsiTheme="majorHAnsi"/>
          <w:i/>
          <w:color w:val="646464"/>
        </w:rPr>
        <w:t>February; after all, it is the shortest month</w:t>
      </w:r>
      <w:r w:rsidRPr="0006123D">
        <w:rPr>
          <w:rStyle w:val="st"/>
          <w:rFonts w:asciiTheme="majorHAnsi" w:hAnsiTheme="majorHAnsi"/>
          <w:i/>
          <w:color w:val="646464"/>
        </w:rPr>
        <w:t>.</w:t>
      </w:r>
    </w:p>
    <w:p w14:paraId="5426EBE6" w14:textId="77777777" w:rsidR="00237981" w:rsidRPr="00DD38C0" w:rsidRDefault="000176AF" w:rsidP="00EE6BF2">
      <w:pPr>
        <w:spacing w:line="276" w:lineRule="auto"/>
        <w:jc w:val="center"/>
        <w:rPr>
          <w:rStyle w:val="st"/>
          <w:rFonts w:asciiTheme="majorHAnsi" w:hAnsiTheme="majorHAnsi"/>
          <w:i/>
          <w:color w:val="A6A6A6" w:themeColor="background1" w:themeShade="A6"/>
          <w:sz w:val="4"/>
        </w:rPr>
      </w:pPr>
    </w:p>
    <w:p w14:paraId="7434C4C5" w14:textId="77777777" w:rsidR="00237981" w:rsidRDefault="000176AF" w:rsidP="00EE6BF2">
      <w:pPr>
        <w:spacing w:line="276" w:lineRule="auto"/>
        <w:jc w:val="center"/>
        <w:rPr>
          <w:rStyle w:val="st"/>
          <w:rFonts w:asciiTheme="majorHAnsi" w:hAnsiTheme="majorHAnsi"/>
          <w:i/>
          <w:color w:val="A6A6A6" w:themeColor="background1" w:themeShade="A6"/>
        </w:rPr>
      </w:pPr>
      <w:r w:rsidRPr="004A2938">
        <w:rPr>
          <w:rFonts w:asciiTheme="majorHAnsi" w:hAnsiTheme="majorHAnsi"/>
          <w:noProof/>
          <w:sz w:val="10"/>
        </w:rPr>
        <w:drawing>
          <wp:inline distT="0" distB="0" distL="0" distR="0" wp14:anchorId="34F8ABCB" wp14:editId="42E363FC">
            <wp:extent cx="5825083" cy="26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38991F96" w14:textId="6C54D709" w:rsidR="006E3EBF" w:rsidRPr="00425944" w:rsidRDefault="00594671" w:rsidP="00EE6BF2">
      <w:pPr>
        <w:spacing w:line="276" w:lineRule="auto"/>
        <w:jc w:val="center"/>
        <w:rPr>
          <w:rFonts w:asciiTheme="majorHAnsi" w:hAnsiTheme="majorHAnsi" w:cs="Times New Roman"/>
          <w:sz w:val="2"/>
          <w:szCs w:val="32"/>
        </w:rPr>
      </w:pPr>
      <w:r>
        <w:rPr>
          <w:rFonts w:asciiTheme="majorHAnsi" w:hAnsiTheme="majorHAnsi" w:cs="Times New Roman"/>
          <w:sz w:val="24"/>
          <w:szCs w:val="32"/>
        </w:rPr>
        <w:t>HyLee Hansen CFP</w:t>
      </w:r>
      <w:r w:rsidRPr="00141CC8">
        <w:rPr>
          <w:rFonts w:asciiTheme="majorHAnsi" w:hAnsiTheme="majorHAnsi" w:cs="Times New Roman"/>
          <w:i/>
          <w:color w:val="646464"/>
          <w:sz w:val="24"/>
          <w:szCs w:val="24"/>
        </w:rPr>
        <w:t xml:space="preserve"> ® </w:t>
      </w:r>
      <w:r w:rsidR="000176AF" w:rsidRPr="00237981">
        <w:rPr>
          <w:rFonts w:asciiTheme="majorHAnsi" w:hAnsiTheme="majorHAnsi" w:cs="Times New Roman"/>
          <w:sz w:val="24"/>
          <w:szCs w:val="32"/>
        </w:rPr>
        <w:t xml:space="preserve"> may be reached at </w:t>
      </w:r>
      <w:r w:rsidR="000176AF" w:rsidRPr="00237981">
        <w:rPr>
          <w:rFonts w:asciiTheme="majorHAnsi" w:hAnsiTheme="majorHAnsi" w:cs="Times New Roman"/>
          <w:sz w:val="24"/>
          <w:szCs w:val="32"/>
        </w:rPr>
        <w:fldChar w:fldCharType="begin"/>
      </w:r>
      <w:r w:rsidR="000176AF" w:rsidRPr="00237981">
        <w:rPr>
          <w:rFonts w:asciiTheme="majorHAnsi" w:hAnsiTheme="majorHAnsi" w:cs="Times New Roman"/>
          <w:sz w:val="24"/>
          <w:szCs w:val="32"/>
        </w:rPr>
        <w:instrText xml:space="preserve"> MERGEFIELD  representativephone  \* MERGEFORMAT </w:instrText>
      </w:r>
      <w:r w:rsidR="000176AF" w:rsidRPr="00237981">
        <w:rPr>
          <w:rFonts w:asciiTheme="majorHAnsi" w:hAnsiTheme="majorHAnsi" w:cs="Times New Roman"/>
          <w:sz w:val="24"/>
          <w:szCs w:val="32"/>
        </w:rPr>
        <w:fldChar w:fldCharType="separate"/>
      </w:r>
      <w:r>
        <w:rPr>
          <w:rFonts w:asciiTheme="majorHAnsi" w:hAnsiTheme="majorHAnsi" w:cs="Times New Roman"/>
          <w:sz w:val="24"/>
          <w:szCs w:val="32"/>
        </w:rPr>
        <w:t>208.846.7230</w:t>
      </w:r>
      <w:r w:rsidR="000176AF" w:rsidRPr="00237981">
        <w:rPr>
          <w:rFonts w:asciiTheme="majorHAnsi" w:hAnsiTheme="majorHAnsi" w:cs="Times New Roman"/>
          <w:sz w:val="24"/>
          <w:szCs w:val="32"/>
        </w:rPr>
        <w:fldChar w:fldCharType="end"/>
      </w:r>
      <w:r w:rsidR="000176AF" w:rsidRPr="00237981">
        <w:rPr>
          <w:rFonts w:asciiTheme="majorHAnsi" w:hAnsiTheme="majorHAnsi" w:cs="Times New Roman"/>
          <w:sz w:val="24"/>
          <w:szCs w:val="32"/>
        </w:rPr>
        <w:t xml:space="preserve"> or </w:t>
      </w:r>
      <w:hyperlink r:id="rId9" w:history="1">
        <w:r w:rsidRPr="009333E2">
          <w:rPr>
            <w:rStyle w:val="Hyperlink"/>
            <w:rFonts w:asciiTheme="majorHAnsi" w:hAnsiTheme="majorHAnsi" w:cs="Times New Roman"/>
            <w:sz w:val="24"/>
            <w:szCs w:val="32"/>
          </w:rPr>
          <w:t>hylee@hifcfp.com</w:t>
        </w:r>
      </w:hyperlink>
      <w:r>
        <w:rPr>
          <w:rFonts w:asciiTheme="majorHAnsi" w:hAnsiTheme="majorHAnsi" w:cs="Times New Roman"/>
          <w:sz w:val="24"/>
          <w:szCs w:val="32"/>
        </w:rPr>
        <w:t xml:space="preserve"> www.hifcfp.com</w:t>
      </w:r>
      <w:r w:rsidR="000176AF">
        <w:rPr>
          <w:rFonts w:asciiTheme="majorHAnsi" w:hAnsiTheme="majorHAnsi" w:cs="Times New Roman"/>
          <w:sz w:val="24"/>
          <w:szCs w:val="32"/>
        </w:rPr>
        <w:br/>
      </w:r>
    </w:p>
    <w:p w14:paraId="655D8C77" w14:textId="77777777" w:rsidR="00237981" w:rsidRPr="00DD38C0" w:rsidRDefault="000176AF" w:rsidP="00EE6BF2">
      <w:pPr>
        <w:spacing w:line="276" w:lineRule="auto"/>
        <w:jc w:val="center"/>
        <w:rPr>
          <w:rFonts w:asciiTheme="majorHAnsi" w:hAnsiTheme="majorHAnsi" w:cs="Times New Roman"/>
          <w:sz w:val="6"/>
          <w:szCs w:val="32"/>
        </w:rPr>
      </w:pPr>
      <w:r w:rsidRPr="006E3EBF">
        <w:rPr>
          <w:rFonts w:asciiTheme="majorHAnsi" w:hAnsiTheme="majorHAnsi" w:cs="Times New Roman"/>
          <w:b/>
          <w:sz w:val="24"/>
          <w:szCs w:val="32"/>
        </w:rPr>
        <w:t xml:space="preserve">Know someone who could use information like this? </w:t>
      </w:r>
      <w:r>
        <w:rPr>
          <w:rFonts w:asciiTheme="majorHAnsi" w:hAnsiTheme="majorHAnsi" w:cs="Times New Roman"/>
          <w:b/>
          <w:sz w:val="24"/>
          <w:szCs w:val="32"/>
        </w:rPr>
        <w:br/>
      </w:r>
      <w:r>
        <w:rPr>
          <w:rFonts w:asciiTheme="majorHAnsi" w:hAnsiTheme="majorHAnsi" w:cs="Times New Roman"/>
          <w:sz w:val="24"/>
          <w:szCs w:val="32"/>
        </w:rPr>
        <w:t>Please feel free</w:t>
      </w:r>
      <w:r>
        <w:rPr>
          <w:rFonts w:asciiTheme="majorHAnsi" w:hAnsiTheme="majorHAnsi" w:cs="Times New Roman"/>
          <w:sz w:val="24"/>
          <w:szCs w:val="32"/>
        </w:rPr>
        <w:t xml:space="preserve"> to</w:t>
      </w:r>
      <w:r>
        <w:rPr>
          <w:rFonts w:asciiTheme="majorHAnsi" w:hAnsiTheme="majorHAnsi" w:cs="Times New Roman"/>
          <w:sz w:val="24"/>
          <w:szCs w:val="32"/>
        </w:rPr>
        <w:t xml:space="preserve"> send us their contact information via phone or email. (Don’t worry – we’ll request their permission before adding them t</w:t>
      </w:r>
      <w:r>
        <w:rPr>
          <w:rFonts w:asciiTheme="majorHAnsi" w:hAnsiTheme="majorHAnsi" w:cs="Times New Roman"/>
          <w:sz w:val="24"/>
          <w:szCs w:val="32"/>
        </w:rPr>
        <w:t>o our mailing list.)</w:t>
      </w:r>
    </w:p>
    <w:p w14:paraId="50E29C4D" w14:textId="77777777" w:rsidR="00237981" w:rsidRDefault="000176AF" w:rsidP="00EE6BF2">
      <w:pPr>
        <w:spacing w:line="276" w:lineRule="auto"/>
        <w:jc w:val="center"/>
        <w:rPr>
          <w:rFonts w:asciiTheme="majorHAnsi" w:hAnsiTheme="majorHAnsi"/>
          <w:color w:val="A6A6A6" w:themeColor="background1" w:themeShade="A6"/>
          <w:sz w:val="20"/>
          <w:szCs w:val="20"/>
        </w:rPr>
      </w:pPr>
      <w:r w:rsidRPr="004A2938">
        <w:rPr>
          <w:rFonts w:asciiTheme="majorHAnsi" w:hAnsiTheme="majorHAnsi"/>
          <w:noProof/>
          <w:sz w:val="10"/>
        </w:rPr>
        <w:drawing>
          <wp:inline distT="0" distB="0" distL="0" distR="0" wp14:anchorId="287FA133" wp14:editId="4357F586">
            <wp:extent cx="5825083" cy="26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825083" cy="26885"/>
                    </a:xfrm>
                    <a:prstGeom prst="rect">
                      <a:avLst/>
                    </a:prstGeom>
                    <a:noFill/>
                    <a:ln>
                      <a:noFill/>
                    </a:ln>
                  </pic:spPr>
                </pic:pic>
              </a:graphicData>
            </a:graphic>
          </wp:inline>
        </w:drawing>
      </w:r>
    </w:p>
    <w:p w14:paraId="20932578" w14:textId="77777777" w:rsidR="00EA0505" w:rsidRPr="00DD38C0" w:rsidRDefault="000176AF" w:rsidP="00EE6BF2">
      <w:pPr>
        <w:spacing w:line="276" w:lineRule="auto"/>
        <w:jc w:val="both"/>
        <w:rPr>
          <w:rFonts w:asciiTheme="majorHAnsi" w:hAnsiTheme="majorHAnsi"/>
          <w:color w:val="646464"/>
          <w:sz w:val="2"/>
          <w:szCs w:val="16"/>
        </w:rPr>
      </w:pPr>
    </w:p>
    <w:p w14:paraId="55A61196" w14:textId="77777777" w:rsidR="00237981" w:rsidRPr="00DD38C0" w:rsidRDefault="000176AF" w:rsidP="00EE6BF2">
      <w:pPr>
        <w:widowControl w:val="0"/>
        <w:autoSpaceDE w:val="0"/>
        <w:autoSpaceDN w:val="0"/>
        <w:adjustRightInd w:val="0"/>
        <w:spacing w:line="276" w:lineRule="auto"/>
        <w:jc w:val="both"/>
        <w:rPr>
          <w:rFonts w:asciiTheme="majorHAnsi" w:hAnsiTheme="majorHAnsi"/>
          <w:color w:val="646464"/>
          <w:sz w:val="16"/>
          <w:szCs w:val="16"/>
        </w:rPr>
      </w:pPr>
      <w:r w:rsidRPr="00DD38C0">
        <w:rPr>
          <w:rFonts w:asciiTheme="majorHAnsi" w:hAnsiTheme="majorHAnsi" w:cs="Arial"/>
          <w:color w:val="646464"/>
          <w:sz w:val="16"/>
          <w:szCs w:val="16"/>
        </w:rPr>
        <w:t>This material was prepared by MarketingPro</w:t>
      </w:r>
      <w:r w:rsidRPr="00DD38C0">
        <w:rPr>
          <w:rFonts w:asciiTheme="majorHAnsi" w:hAnsiTheme="majorHAnsi" w:cs="Arial"/>
          <w:color w:val="646464"/>
          <w:sz w:val="16"/>
          <w:szCs w:val="16"/>
        </w:rPr>
        <w:t>, Inc., and does not necessarily represent the views of the presenting party, nor their affiliates. The information herein has been derived from sources believed to be accurate. Please note - investing involves risk, and past performance is no guarantee of</w:t>
      </w:r>
      <w:r w:rsidRPr="00DD38C0">
        <w:rPr>
          <w:rFonts w:asciiTheme="majorHAnsi" w:hAnsiTheme="majorHAnsi" w:cs="Arial"/>
          <w:color w:val="646464"/>
          <w:sz w:val="16"/>
          <w:szCs w:val="16"/>
        </w:rPr>
        <w:t xml:space="preserve"> future results. Investments will fluctuate and when redeemed may be worth more or less than when originally invested. This information should not be construed as investment, tax or legal advice and may not be relied on for the purpose of avoiding any Fede</w:t>
      </w:r>
      <w:r w:rsidRPr="00DD38C0">
        <w:rPr>
          <w:rFonts w:asciiTheme="majorHAnsi" w:hAnsiTheme="majorHAnsi" w:cs="Arial"/>
          <w:color w:val="646464"/>
          <w:sz w:val="16"/>
          <w:szCs w:val="16"/>
        </w:rPr>
        <w:t xml:space="preserve">ral tax penalty. This is neither a solicitation nor recommendation to purchase or sell any investment or insurance product or service, and should not be relied upon as such. </w:t>
      </w:r>
      <w:r w:rsidRPr="00C64077">
        <w:rPr>
          <w:rFonts w:asciiTheme="majorHAnsi" w:hAnsiTheme="majorHAnsi" w:cs="Arial"/>
          <w:color w:val="646464"/>
          <w:sz w:val="16"/>
          <w:szCs w:val="16"/>
        </w:rPr>
        <w:t>All market indices discussed are unmanaged and are not illustrative of any particu</w:t>
      </w:r>
      <w:r w:rsidRPr="00C64077">
        <w:rPr>
          <w:rFonts w:asciiTheme="majorHAnsi" w:hAnsiTheme="majorHAnsi" w:cs="Arial"/>
          <w:color w:val="646464"/>
          <w:sz w:val="16"/>
          <w:szCs w:val="16"/>
        </w:rPr>
        <w:t>lar investment. Indices do not incur management fees, costs, or expenses. Investors cannot invest directly in indices</w:t>
      </w:r>
      <w:r w:rsidRPr="001162D1">
        <w:rPr>
          <w:rFonts w:asciiTheme="majorHAnsi" w:hAnsiTheme="majorHAnsi" w:cs="Arial"/>
          <w:color w:val="646464"/>
          <w:sz w:val="16"/>
          <w:szCs w:val="16"/>
        </w:rPr>
        <w:t>.</w:t>
      </w:r>
      <w:r w:rsidRPr="00DD38C0">
        <w:rPr>
          <w:rFonts w:asciiTheme="majorHAnsi" w:hAnsiTheme="majorHAnsi" w:cs="Arial"/>
          <w:color w:val="646464"/>
          <w:sz w:val="16"/>
          <w:szCs w:val="16"/>
        </w:rPr>
        <w:t xml:space="preserve"> All economic and performance data is historical and not indicative of future results.</w:t>
      </w:r>
      <w:r w:rsidRPr="00DD38C0">
        <w:rPr>
          <w:rFonts w:asciiTheme="majorHAnsi" w:hAnsiTheme="majorHAnsi"/>
          <w:color w:val="646464"/>
          <w:sz w:val="16"/>
          <w:szCs w:val="16"/>
        </w:rPr>
        <w:t xml:space="preserve"> The Dow Jones Industrial Average is a price-weighte</w:t>
      </w:r>
      <w:r w:rsidRPr="00DD38C0">
        <w:rPr>
          <w:rFonts w:asciiTheme="majorHAnsi" w:hAnsiTheme="majorHAnsi"/>
          <w:color w:val="646464"/>
          <w:sz w:val="16"/>
          <w:szCs w:val="16"/>
        </w:rPr>
        <w:t xml:space="preserve">d index of 30 actively traded blue-chip stocks. The NASDAQ Composite Index is a market-weighted index of all over-the-counter common stocks traded on the National Association of Securities Dealers Automated Quotation System. The Standard &amp; Poor's 500 (S&amp;P </w:t>
      </w:r>
      <w:r w:rsidRPr="00DD38C0">
        <w:rPr>
          <w:rFonts w:asciiTheme="majorHAnsi" w:hAnsiTheme="majorHAnsi"/>
          <w:color w:val="646464"/>
          <w:sz w:val="16"/>
          <w:szCs w:val="16"/>
        </w:rPr>
        <w:t>500)</w:t>
      </w:r>
      <w:r w:rsidRPr="00DD38C0">
        <w:rPr>
          <w:rFonts w:asciiTheme="majorHAnsi" w:hAnsiTheme="majorHAnsi"/>
          <w:iCs/>
          <w:color w:val="646464"/>
          <w:sz w:val="16"/>
          <w:szCs w:val="16"/>
        </w:rPr>
        <w:t xml:space="preserve"> is a market-cap weighted index composed of the common stocks of 500 leading companies in leading industries of the U.S. economy</w:t>
      </w:r>
      <w:r w:rsidRPr="00DD38C0">
        <w:rPr>
          <w:rFonts w:asciiTheme="majorHAnsi" w:hAnsiTheme="majorHAnsi"/>
          <w:color w:val="646464"/>
          <w:sz w:val="16"/>
          <w:szCs w:val="16"/>
        </w:rPr>
        <w:t xml:space="preserve">. The Russell 2000 Index measures the performance of the small-cap segment of the U.S. equity universe. The CBOE Volatility </w:t>
      </w:r>
      <w:r w:rsidRPr="00DD38C0">
        <w:rPr>
          <w:rFonts w:asciiTheme="majorHAnsi" w:hAnsiTheme="majorHAnsi"/>
          <w:color w:val="646464"/>
          <w:sz w:val="16"/>
          <w:szCs w:val="16"/>
        </w:rPr>
        <w:t>Index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xml:space="preserve"> (VIX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is a key measure of market expectations of near-term volatility conveyed by S&amp;P 500 stock index option prices. NYSE Group, Inc. (NYSE:NYX) operates two securities exchanges: the New York Stock Exchange (the “NYSE”) and NYSE Arca (formerly kno</w:t>
      </w:r>
      <w:r w:rsidRPr="00DD38C0">
        <w:rPr>
          <w:rFonts w:asciiTheme="majorHAnsi" w:hAnsiTheme="majorHAnsi"/>
          <w:color w:val="646464"/>
          <w:sz w:val="16"/>
          <w:szCs w:val="16"/>
        </w:rPr>
        <w:t>wn as the Archipelago Exchange, or ArcaEx</w:t>
      </w:r>
      <w:r w:rsidRPr="00DD38C0">
        <w:rPr>
          <w:rFonts w:asciiTheme="majorHAnsi" w:hAnsiTheme="majorHAnsi"/>
          <w:color w:val="646464"/>
          <w:sz w:val="16"/>
          <w:szCs w:val="16"/>
          <w:vertAlign w:val="superscript"/>
        </w:rPr>
        <w:t>®</w:t>
      </w:r>
      <w:r w:rsidRPr="00DD38C0">
        <w:rPr>
          <w:rFonts w:asciiTheme="majorHAnsi" w:hAnsiTheme="majorHAnsi"/>
          <w:color w:val="646464"/>
          <w:sz w:val="16"/>
          <w:szCs w:val="16"/>
        </w:rPr>
        <w:t>, and the Pacific Exchange). NYSE Group is a leading provider of securities listing, trading and market data products and services. The New York Mercantile Exchange, Inc. (NYMEX) is the world's largest physical com</w:t>
      </w:r>
      <w:r w:rsidRPr="00DD38C0">
        <w:rPr>
          <w:rFonts w:asciiTheme="majorHAnsi" w:hAnsiTheme="majorHAnsi"/>
          <w:color w:val="646464"/>
          <w:sz w:val="16"/>
          <w:szCs w:val="16"/>
        </w:rPr>
        <w:t>modity futures exchange and the preeminent trading forum for energy and precious metals, with trading conducted through two divisions – the NYMEX Division, home to the energy, platinum, and palladium markets, and the COMEX Division, on which all other meta</w:t>
      </w:r>
      <w:r w:rsidRPr="00DD38C0">
        <w:rPr>
          <w:rFonts w:asciiTheme="majorHAnsi" w:hAnsiTheme="majorHAnsi"/>
          <w:color w:val="646464"/>
          <w:sz w:val="16"/>
          <w:szCs w:val="16"/>
        </w:rPr>
        <w:t>ls trade.</w:t>
      </w:r>
      <w:r>
        <w:rPr>
          <w:rFonts w:asciiTheme="majorHAnsi" w:hAnsiTheme="majorHAnsi"/>
          <w:color w:val="646464"/>
          <w:sz w:val="16"/>
          <w:szCs w:val="16"/>
        </w:rPr>
        <w:t xml:space="preserve"> </w:t>
      </w:r>
      <w:r w:rsidRPr="00945025">
        <w:rPr>
          <w:rFonts w:asciiTheme="majorHAnsi" w:hAnsiTheme="majorHAnsi"/>
          <w:color w:val="646464"/>
          <w:sz w:val="16"/>
          <w:szCs w:val="16"/>
        </w:rPr>
        <w:t>The Bovespa</w:t>
      </w:r>
      <w:r w:rsidRPr="00945025">
        <w:rPr>
          <w:rFonts w:asciiTheme="majorHAnsi" w:hAnsiTheme="majorHAnsi"/>
          <w:color w:val="646464"/>
          <w:sz w:val="16"/>
          <w:szCs w:val="16"/>
        </w:rPr>
        <w:t xml:space="preserve"> Index is a gross total return index weighted by traded volume &amp; is comprised of the most liquid stocks traded on the Sao Paulo Stock Exchange. The MERVAL Index (MERcado de VALores, literally Stock Exchange) is the most important index of the Buenos Aires </w:t>
      </w:r>
      <w:r w:rsidRPr="00945025">
        <w:rPr>
          <w:rFonts w:asciiTheme="majorHAnsi" w:hAnsiTheme="majorHAnsi"/>
          <w:color w:val="646464"/>
          <w:sz w:val="16"/>
          <w:szCs w:val="16"/>
        </w:rPr>
        <w:t>Stock Exchange.</w:t>
      </w:r>
      <w:r>
        <w:rPr>
          <w:rFonts w:asciiTheme="majorHAnsi" w:hAnsiTheme="majorHAnsi"/>
          <w:color w:val="646464"/>
          <w:sz w:val="16"/>
          <w:szCs w:val="16"/>
        </w:rPr>
        <w:t xml:space="preserve"> </w:t>
      </w:r>
      <w:r w:rsidRPr="00945025">
        <w:rPr>
          <w:rFonts w:asciiTheme="majorHAnsi" w:hAnsiTheme="majorHAnsi"/>
          <w:color w:val="646464"/>
          <w:sz w:val="16"/>
          <w:szCs w:val="16"/>
        </w:rPr>
        <w:t>The S&amp;P/TSX Composite Index is an index of the stock (equity) prices of the largest companies on the Toronto Stock Exchange (TSX) as measured by market capitalization.</w:t>
      </w:r>
      <w:r>
        <w:rPr>
          <w:rFonts w:asciiTheme="majorHAnsi" w:hAnsiTheme="majorHAnsi"/>
          <w:color w:val="646464"/>
          <w:sz w:val="16"/>
          <w:szCs w:val="16"/>
        </w:rPr>
        <w:t xml:space="preserve"> </w:t>
      </w:r>
      <w:r w:rsidRPr="00945025">
        <w:rPr>
          <w:rFonts w:asciiTheme="majorHAnsi" w:hAnsiTheme="majorHAnsi"/>
          <w:color w:val="646464"/>
          <w:sz w:val="16"/>
          <w:szCs w:val="16"/>
        </w:rPr>
        <w:t xml:space="preserve">The IBEX 35 is the benchmark stock market index of the Bolsa de Madrid, </w:t>
      </w:r>
      <w:r w:rsidRPr="00945025">
        <w:rPr>
          <w:rFonts w:asciiTheme="majorHAnsi" w:hAnsiTheme="majorHAnsi"/>
          <w:color w:val="646464"/>
          <w:sz w:val="16"/>
          <w:szCs w:val="16"/>
        </w:rPr>
        <w:t>Spain's principal stock exchange.</w:t>
      </w:r>
      <w:r>
        <w:rPr>
          <w:rFonts w:asciiTheme="majorHAnsi" w:hAnsiTheme="majorHAnsi"/>
          <w:color w:val="646464"/>
          <w:sz w:val="16"/>
          <w:szCs w:val="16"/>
        </w:rPr>
        <w:t xml:space="preserve"> </w:t>
      </w:r>
      <w:r w:rsidRPr="00945025">
        <w:rPr>
          <w:rFonts w:asciiTheme="majorHAnsi" w:hAnsiTheme="majorHAnsi"/>
          <w:color w:val="646464"/>
          <w:sz w:val="16"/>
          <w:szCs w:val="16"/>
        </w:rPr>
        <w:t>The CAC-40 Index is a narrow-based, modified capitalization-weighted index of 40 companies listed on the Paris Bourse.</w:t>
      </w:r>
      <w:r>
        <w:rPr>
          <w:rFonts w:asciiTheme="majorHAnsi" w:hAnsiTheme="majorHAnsi"/>
          <w:color w:val="646464"/>
          <w:sz w:val="16"/>
          <w:szCs w:val="16"/>
        </w:rPr>
        <w:t xml:space="preserve"> </w:t>
      </w:r>
      <w:r w:rsidRPr="00945025">
        <w:rPr>
          <w:rFonts w:asciiTheme="majorHAnsi" w:hAnsiTheme="majorHAnsi"/>
          <w:color w:val="646464"/>
          <w:sz w:val="16"/>
          <w:szCs w:val="16"/>
        </w:rPr>
        <w:t xml:space="preserve">The FTSEurofirst 300 Index comprises the 300 largest companies ranked by market </w:t>
      </w:r>
      <w:r w:rsidRPr="00945025">
        <w:rPr>
          <w:rFonts w:asciiTheme="majorHAnsi" w:hAnsiTheme="majorHAnsi"/>
          <w:color w:val="646464"/>
          <w:sz w:val="16"/>
          <w:szCs w:val="16"/>
        </w:rPr>
        <w:t>capitalization</w:t>
      </w:r>
      <w:r w:rsidRPr="00945025">
        <w:rPr>
          <w:rFonts w:asciiTheme="majorHAnsi" w:hAnsiTheme="majorHAnsi"/>
          <w:color w:val="646464"/>
          <w:sz w:val="16"/>
          <w:szCs w:val="16"/>
        </w:rPr>
        <w:t xml:space="preserve"> in the F</w:t>
      </w:r>
      <w:r w:rsidRPr="00945025">
        <w:rPr>
          <w:rFonts w:asciiTheme="majorHAnsi" w:hAnsiTheme="majorHAnsi"/>
          <w:color w:val="646464"/>
          <w:sz w:val="16"/>
          <w:szCs w:val="16"/>
        </w:rPr>
        <w:t>TSE Developed Europe Index. The FTSE 100 Index is a share index of the 100 companies listed on the London Stock Exchange with the highest market capitalization</w:t>
      </w:r>
      <w:r>
        <w:rPr>
          <w:rFonts w:asciiTheme="majorHAnsi" w:hAnsiTheme="majorHAnsi"/>
          <w:color w:val="646464"/>
          <w:sz w:val="16"/>
          <w:szCs w:val="16"/>
        </w:rPr>
        <w:t xml:space="preserve">. </w:t>
      </w:r>
      <w:r w:rsidRPr="00945025">
        <w:rPr>
          <w:rFonts w:asciiTheme="majorHAnsi" w:hAnsiTheme="majorHAnsi"/>
          <w:color w:val="646464"/>
          <w:sz w:val="16"/>
          <w:szCs w:val="16"/>
        </w:rPr>
        <w:t>Nikkei 225 (Ticker: ^N225) is a stock market index for the Tokyo Stock Exchange (TSE).  The Nik</w:t>
      </w:r>
      <w:r w:rsidRPr="00945025">
        <w:rPr>
          <w:rFonts w:asciiTheme="majorHAnsi" w:hAnsiTheme="majorHAnsi"/>
          <w:color w:val="646464"/>
          <w:sz w:val="16"/>
          <w:szCs w:val="16"/>
        </w:rPr>
        <w:t>kei average is the most watched index of Asian stocks.</w:t>
      </w:r>
      <w:r>
        <w:rPr>
          <w:rFonts w:asciiTheme="majorHAnsi" w:hAnsiTheme="majorHAnsi"/>
          <w:color w:val="646464"/>
          <w:sz w:val="16"/>
          <w:szCs w:val="16"/>
        </w:rPr>
        <w:t xml:space="preserve"> </w:t>
      </w:r>
      <w:r w:rsidRPr="0041245E">
        <w:rPr>
          <w:rFonts w:asciiTheme="majorHAnsi" w:hAnsiTheme="majorHAnsi"/>
          <w:color w:val="646464"/>
          <w:sz w:val="16"/>
          <w:szCs w:val="16"/>
        </w:rPr>
        <w:t>The Korea Composite Stock Price Index or KOSPI is the major stock market index of South Korea, representing all common stocks traded on the Korea Exchange.</w:t>
      </w:r>
      <w:r>
        <w:rPr>
          <w:rFonts w:asciiTheme="majorHAnsi" w:hAnsiTheme="majorHAnsi"/>
          <w:color w:val="646464"/>
          <w:sz w:val="16"/>
          <w:szCs w:val="16"/>
        </w:rPr>
        <w:t xml:space="preserve"> </w:t>
      </w:r>
      <w:r w:rsidRPr="0041245E">
        <w:rPr>
          <w:rFonts w:asciiTheme="majorHAnsi" w:hAnsiTheme="majorHAnsi"/>
          <w:color w:val="646464"/>
          <w:sz w:val="16"/>
          <w:szCs w:val="16"/>
        </w:rPr>
        <w:t xml:space="preserve">The Nifty 50 (NTFE 50) is a well-diversified </w:t>
      </w:r>
      <w:r w:rsidRPr="0041245E">
        <w:rPr>
          <w:rFonts w:asciiTheme="majorHAnsi" w:hAnsiTheme="majorHAnsi"/>
          <w:color w:val="646464"/>
          <w:sz w:val="16"/>
          <w:szCs w:val="16"/>
        </w:rPr>
        <w:t>50-stock index accounting for 13 sectors of the Indian economy. It is used for a variety of purposes such as benchmarking fund portfolios, index-based derivatives and index funds.</w:t>
      </w:r>
      <w:r>
        <w:rPr>
          <w:rFonts w:asciiTheme="majorHAnsi" w:hAnsiTheme="majorHAnsi"/>
          <w:color w:val="646464"/>
          <w:sz w:val="16"/>
          <w:szCs w:val="16"/>
        </w:rPr>
        <w:t xml:space="preserve"> </w:t>
      </w:r>
      <w:r w:rsidRPr="0041245E">
        <w:rPr>
          <w:rFonts w:asciiTheme="majorHAnsi" w:hAnsiTheme="majorHAnsi"/>
          <w:color w:val="646464"/>
          <w:sz w:val="16"/>
          <w:szCs w:val="16"/>
        </w:rPr>
        <w:t xml:space="preserve">The BSE SENSEX (Bombay Stock Exchange Sensitive Index), also-called the BSE </w:t>
      </w:r>
      <w:r w:rsidRPr="0041245E">
        <w:rPr>
          <w:rFonts w:asciiTheme="majorHAnsi" w:hAnsiTheme="majorHAnsi"/>
          <w:color w:val="646464"/>
          <w:sz w:val="16"/>
          <w:szCs w:val="16"/>
        </w:rPr>
        <w:t>30 (BOMBAY STOCK EXCHANGE) or simply the SENSEX, is a free-float market capitalization-weighted stock market index of 30 well-established and financially sound companies listed on the Bombay Stock Exchange (BSE).</w:t>
      </w:r>
      <w:r>
        <w:rPr>
          <w:rFonts w:asciiTheme="majorHAnsi" w:hAnsiTheme="majorHAnsi"/>
          <w:color w:val="646464"/>
          <w:sz w:val="16"/>
          <w:szCs w:val="16"/>
        </w:rPr>
        <w:t xml:space="preserve"> </w:t>
      </w:r>
      <w:r w:rsidRPr="0041245E">
        <w:rPr>
          <w:rFonts w:asciiTheme="majorHAnsi" w:hAnsiTheme="majorHAnsi"/>
          <w:color w:val="646464"/>
          <w:sz w:val="16"/>
          <w:szCs w:val="16"/>
        </w:rPr>
        <w:t>The FTSE TWSE Taiwan 50 Index is a capitali</w:t>
      </w:r>
      <w:r w:rsidRPr="0041245E">
        <w:rPr>
          <w:rFonts w:asciiTheme="majorHAnsi" w:hAnsiTheme="majorHAnsi"/>
          <w:color w:val="646464"/>
          <w:sz w:val="16"/>
          <w:szCs w:val="16"/>
        </w:rPr>
        <w:t>zation-weighted index of stocks comprises 50 companies listed on the Taiwan Stock Exchange developed by Taiwan Stock Exchange in collaboration with FTSE.</w:t>
      </w:r>
      <w:r>
        <w:rPr>
          <w:rFonts w:asciiTheme="majorHAnsi" w:hAnsiTheme="majorHAnsi"/>
          <w:color w:val="646464"/>
          <w:sz w:val="16"/>
          <w:szCs w:val="16"/>
        </w:rPr>
        <w:t xml:space="preserve"> </w:t>
      </w:r>
      <w:r w:rsidRPr="0041245E">
        <w:rPr>
          <w:rFonts w:asciiTheme="majorHAnsi" w:hAnsiTheme="majorHAnsi"/>
          <w:color w:val="646464"/>
          <w:sz w:val="16"/>
          <w:szCs w:val="16"/>
        </w:rPr>
        <w:t>Established in January 1980, the All Ordinaries is the oldest index of shares in Australia. It is made</w:t>
      </w:r>
      <w:r w:rsidRPr="0041245E">
        <w:rPr>
          <w:rFonts w:asciiTheme="majorHAnsi" w:hAnsiTheme="majorHAnsi"/>
          <w:color w:val="646464"/>
          <w:sz w:val="16"/>
          <w:szCs w:val="16"/>
        </w:rPr>
        <w:t xml:space="preserve"> up of the share prices for 500 of the largest companies listed on the Australian Securities Exchange.</w:t>
      </w:r>
      <w:r>
        <w:rPr>
          <w:rFonts w:asciiTheme="majorHAnsi" w:hAnsiTheme="majorHAnsi"/>
          <w:color w:val="646464"/>
          <w:sz w:val="16"/>
          <w:szCs w:val="16"/>
        </w:rPr>
        <w:t xml:space="preserve"> </w:t>
      </w:r>
      <w:r w:rsidRPr="0041245E">
        <w:rPr>
          <w:rFonts w:asciiTheme="majorHAnsi" w:hAnsiTheme="majorHAnsi"/>
          <w:color w:val="646464"/>
          <w:sz w:val="16"/>
          <w:szCs w:val="16"/>
        </w:rPr>
        <w:t>T</w:t>
      </w:r>
      <w:r w:rsidRPr="00F50C82">
        <w:rPr>
          <w:rFonts w:asciiTheme="majorHAnsi" w:hAnsiTheme="majorHAnsi"/>
          <w:color w:val="767171" w:themeColor="background2" w:themeShade="80"/>
          <w:sz w:val="16"/>
          <w:szCs w:val="16"/>
        </w:rPr>
        <w:t>he Hang Seng Index is a free float-adjusted market capitalization-weighted stock market index that is the main indicator of the overall market performan</w:t>
      </w:r>
      <w:r w:rsidRPr="00F50C82">
        <w:rPr>
          <w:rFonts w:asciiTheme="majorHAnsi" w:hAnsiTheme="majorHAnsi"/>
          <w:color w:val="767171" w:themeColor="background2" w:themeShade="80"/>
          <w:sz w:val="16"/>
          <w:szCs w:val="16"/>
        </w:rPr>
        <w:t xml:space="preserve">ce in Hong Kong. The SSE Composite Index is an index of all stocks (A shares and B shares) that are traded at the Shanghai Stock Exchange. </w:t>
      </w:r>
      <w:r w:rsidRPr="00F50C82">
        <w:rPr>
          <w:rFonts w:asciiTheme="majorHAnsi" w:hAnsiTheme="majorHAnsi"/>
          <w:color w:val="767171" w:themeColor="background2" w:themeShade="80"/>
          <w:sz w:val="16"/>
          <w:szCs w:val="16"/>
        </w:rPr>
        <w:t>The MSCI EAFE Index is a stock market index that is designed to measure the equity market performance of developed ma</w:t>
      </w:r>
      <w:r w:rsidRPr="00F50C82">
        <w:rPr>
          <w:rFonts w:asciiTheme="majorHAnsi" w:hAnsiTheme="majorHAnsi"/>
          <w:color w:val="767171" w:themeColor="background2" w:themeShade="80"/>
          <w:sz w:val="16"/>
          <w:szCs w:val="16"/>
        </w:rPr>
        <w:t xml:space="preserve">rkets outside of the U.S. &amp; Canada. It is maintained by </w:t>
      </w:r>
      <w:r w:rsidRPr="00F50C82">
        <w:rPr>
          <w:rFonts w:asciiTheme="majorHAnsi" w:hAnsiTheme="majorHAnsi"/>
          <w:color w:val="767171" w:themeColor="background2" w:themeShade="80"/>
          <w:sz w:val="16"/>
          <w:szCs w:val="16"/>
        </w:rPr>
        <w:lastRenderedPageBreak/>
        <w:t xml:space="preserve">MSCI Inc., a provider of investment decision support tools; the EAFE acronym stands for Europe, Australasia and Far East. </w:t>
      </w:r>
      <w:r w:rsidRPr="002F292D">
        <w:rPr>
          <w:rFonts w:asciiTheme="majorHAnsi" w:hAnsiTheme="majorHAnsi"/>
          <w:color w:val="767171" w:themeColor="background2" w:themeShade="80"/>
          <w:sz w:val="16"/>
          <w:szCs w:val="16"/>
        </w:rPr>
        <w:t>The U</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S</w:t>
      </w:r>
      <w:r>
        <w:rPr>
          <w:rFonts w:asciiTheme="majorHAnsi" w:hAnsiTheme="majorHAnsi"/>
          <w:color w:val="767171" w:themeColor="background2" w:themeShade="80"/>
          <w:sz w:val="16"/>
          <w:szCs w:val="16"/>
        </w:rPr>
        <w:t>.</w:t>
      </w:r>
      <w:r w:rsidRPr="002F292D">
        <w:rPr>
          <w:rFonts w:asciiTheme="majorHAnsi" w:hAnsiTheme="majorHAnsi"/>
          <w:color w:val="767171" w:themeColor="background2" w:themeShade="80"/>
          <w:sz w:val="16"/>
          <w:szCs w:val="16"/>
        </w:rPr>
        <w:t xml:space="preserve"> Dollar Index measures the performance of the U.S. dollar against a ba</w:t>
      </w:r>
      <w:r w:rsidRPr="002F292D">
        <w:rPr>
          <w:rFonts w:asciiTheme="majorHAnsi" w:hAnsiTheme="majorHAnsi"/>
          <w:color w:val="767171" w:themeColor="background2" w:themeShade="80"/>
          <w:sz w:val="16"/>
          <w:szCs w:val="16"/>
        </w:rPr>
        <w:t xml:space="preserve">sket of six currencies. </w:t>
      </w:r>
      <w:r w:rsidRPr="002F292D">
        <w:rPr>
          <w:rFonts w:asciiTheme="majorHAnsi" w:hAnsiTheme="majorHAnsi" w:cs="Arial"/>
          <w:color w:val="767171" w:themeColor="background2" w:themeShade="80"/>
          <w:sz w:val="16"/>
          <w:szCs w:val="16"/>
        </w:rPr>
        <w:t xml:space="preserve">Additional risks are associated with international </w:t>
      </w:r>
      <w:r w:rsidRPr="00AB1FB1">
        <w:rPr>
          <w:rFonts w:asciiTheme="majorHAnsi" w:hAnsiTheme="majorHAnsi" w:cs="Arial"/>
          <w:color w:val="767171" w:themeColor="background2" w:themeShade="80"/>
          <w:sz w:val="16"/>
          <w:szCs w:val="16"/>
        </w:rPr>
        <w:t xml:space="preserve">investing, such as currency fluctuations, political and economic instability and differences in accounting standards. This material represents an assessment of the market </w:t>
      </w:r>
      <w:r w:rsidRPr="00DD38C0">
        <w:rPr>
          <w:rFonts w:asciiTheme="majorHAnsi" w:hAnsiTheme="majorHAnsi" w:cs="Arial"/>
          <w:color w:val="646464"/>
          <w:sz w:val="16"/>
          <w:szCs w:val="16"/>
        </w:rPr>
        <w:t>environment at a specific point in time and is not intended to be a forecast of future events, or a guarantee of future results. MarketingPro, Inc. is not affiliated with any person or firm that may be providing this information to you. The publisher is no</w:t>
      </w:r>
      <w:r w:rsidRPr="00DD38C0">
        <w:rPr>
          <w:rFonts w:asciiTheme="majorHAnsi" w:hAnsiTheme="majorHAnsi" w:cs="Arial"/>
          <w:color w:val="646464"/>
          <w:sz w:val="16"/>
          <w:szCs w:val="16"/>
        </w:rPr>
        <w:t>t engaged in rendering legal, accounting or other professional services. If assistance is needed, the reader is advised to engage the services of a competent professional</w:t>
      </w:r>
      <w:r w:rsidRPr="00DD38C0">
        <w:rPr>
          <w:rFonts w:asciiTheme="majorHAnsi" w:hAnsiTheme="majorHAnsi"/>
          <w:color w:val="646464"/>
          <w:sz w:val="16"/>
          <w:szCs w:val="16"/>
        </w:rPr>
        <w:t>.</w:t>
      </w:r>
    </w:p>
    <w:p w14:paraId="5EFD9543" w14:textId="77777777" w:rsidR="00237981" w:rsidRPr="00DD38C0" w:rsidRDefault="000176AF" w:rsidP="00EE6BF2">
      <w:pPr>
        <w:spacing w:line="276" w:lineRule="auto"/>
        <w:rPr>
          <w:rFonts w:asciiTheme="majorHAnsi" w:hAnsiTheme="majorHAnsi" w:cs="Arial"/>
          <w:color w:val="646464"/>
          <w:sz w:val="16"/>
          <w:szCs w:val="16"/>
        </w:rPr>
      </w:pPr>
      <w:r w:rsidRPr="00DD38C0">
        <w:rPr>
          <w:rFonts w:asciiTheme="majorHAnsi" w:hAnsiTheme="majorHAnsi" w:cs="Arial"/>
          <w:color w:val="646464"/>
          <w:sz w:val="16"/>
          <w:szCs w:val="16"/>
        </w:rPr>
        <w:t>CITATIONS:</w:t>
      </w:r>
    </w:p>
    <w:p w14:paraId="41540926" w14:textId="77777777" w:rsidR="006004A7" w:rsidRPr="00B443E5" w:rsidRDefault="000176AF" w:rsidP="00B443E5">
      <w:pPr>
        <w:spacing w:after="0" w:line="240" w:lineRule="auto"/>
        <w:rPr>
          <w:noProof/>
        </w:rPr>
      </w:pPr>
      <w:bookmarkStart w:id="5" w:name="_Hlk520808669"/>
      <w:r>
        <w:rPr>
          <w:rFonts w:asciiTheme="majorHAnsi" w:hAnsiTheme="majorHAnsi" w:cstheme="majorHAnsi"/>
          <w:color w:val="767171" w:themeColor="background2" w:themeShade="80"/>
          <w:sz w:val="16"/>
          <w:szCs w:val="16"/>
        </w:rPr>
        <w:t>1</w:t>
      </w:r>
      <w:r w:rsidRPr="00F30576">
        <w:rPr>
          <w:rFonts w:asciiTheme="majorHAnsi" w:hAnsiTheme="majorHAnsi" w:cstheme="majorHAnsi"/>
          <w:color w:val="767171" w:themeColor="background2" w:themeShade="80"/>
          <w:sz w:val="16"/>
          <w:szCs w:val="16"/>
        </w:rPr>
        <w:t xml:space="preserve"> - </w:t>
      </w:r>
      <w:r w:rsidRPr="001748AF">
        <w:rPr>
          <w:rFonts w:asciiTheme="majorHAnsi" w:hAnsiTheme="majorHAnsi" w:cstheme="majorHAnsi"/>
          <w:color w:val="767171" w:themeColor="background2" w:themeShade="80"/>
          <w:sz w:val="16"/>
          <w:szCs w:val="16"/>
        </w:rPr>
        <w:t xml:space="preserve">money.cnn.com/data/markets/sandp/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p>
    <w:p w14:paraId="4FEFE087" w14:textId="77777777" w:rsidR="004E63A9" w:rsidRDefault="000176AF" w:rsidP="00B443E5">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2 - </w:t>
      </w:r>
      <w:r w:rsidRPr="00BF1EEB">
        <w:rPr>
          <w:rFonts w:asciiTheme="majorHAnsi" w:hAnsiTheme="majorHAnsi" w:cs="Arial"/>
          <w:color w:val="767171" w:themeColor="background2" w:themeShade="80"/>
          <w:sz w:val="16"/>
        </w:rPr>
        <w:t xml:space="preserve">reuters.com/article/us-usa-fed/fed-cuts-rates-on-7-3-vote-gives-mixed-signals-on-next-move-idUSKBN1W32H7 </w:t>
      </w:r>
      <w:r>
        <w:rPr>
          <w:rFonts w:asciiTheme="majorHAnsi" w:hAnsiTheme="majorHAnsi" w:cs="Arial"/>
          <w:color w:val="767171" w:themeColor="background2" w:themeShade="80"/>
          <w:sz w:val="16"/>
        </w:rPr>
        <w:t>[9/18/19]</w:t>
      </w:r>
    </w:p>
    <w:p w14:paraId="40858032" w14:textId="77777777" w:rsidR="00E631F9" w:rsidRPr="008E589A" w:rsidRDefault="000176AF" w:rsidP="00B443E5">
      <w:pPr>
        <w:spacing w:after="0" w:line="240" w:lineRule="auto"/>
        <w:rPr>
          <w:rFonts w:asciiTheme="majorHAnsi" w:hAnsiTheme="majorHAnsi" w:cs="Arial"/>
          <w:color w:val="767171" w:themeColor="background2" w:themeShade="80"/>
          <w:sz w:val="16"/>
        </w:rPr>
      </w:pPr>
      <w:r>
        <w:rPr>
          <w:rFonts w:asciiTheme="majorHAnsi" w:hAnsiTheme="majorHAnsi" w:cs="Calibri"/>
          <w:color w:val="767171" w:themeColor="background2" w:themeShade="80"/>
          <w:sz w:val="16"/>
          <w:szCs w:val="16"/>
        </w:rPr>
        <w:t xml:space="preserve">3 - </w:t>
      </w:r>
      <w:r w:rsidRPr="009C6AE7">
        <w:rPr>
          <w:rFonts w:asciiTheme="majorHAnsi" w:hAnsiTheme="majorHAnsi" w:cs="Arial"/>
          <w:color w:val="767171" w:themeColor="background2" w:themeShade="80"/>
          <w:sz w:val="16"/>
        </w:rPr>
        <w:t xml:space="preserve">marketwatch.com/story/us-oils-10-surge-after-saudi-attack-puts-it-on-track-for-the-biggest-daily-gain-in-312-years-2019-09-15 </w:t>
      </w:r>
      <w:r w:rsidRPr="008E589A">
        <w:rPr>
          <w:rFonts w:asciiTheme="majorHAnsi" w:hAnsiTheme="majorHAnsi" w:cs="Arial"/>
          <w:color w:val="767171" w:themeColor="background2" w:themeShade="80"/>
          <w:sz w:val="16"/>
        </w:rPr>
        <w:t>[</w:t>
      </w:r>
      <w:r>
        <w:rPr>
          <w:rFonts w:asciiTheme="majorHAnsi" w:hAnsiTheme="majorHAnsi" w:cs="Arial"/>
          <w:color w:val="767171" w:themeColor="background2" w:themeShade="80"/>
          <w:sz w:val="16"/>
        </w:rPr>
        <w:t>9/16</w:t>
      </w:r>
      <w:r w:rsidRPr="008E589A">
        <w:rPr>
          <w:rFonts w:asciiTheme="majorHAnsi" w:hAnsiTheme="majorHAnsi" w:cs="Arial"/>
          <w:color w:val="767171" w:themeColor="background2" w:themeShade="80"/>
          <w:sz w:val="16"/>
        </w:rPr>
        <w:t>/19]</w:t>
      </w:r>
    </w:p>
    <w:p w14:paraId="5C93E03E" w14:textId="77777777" w:rsidR="00A4278A" w:rsidRPr="00987729" w:rsidRDefault="000176AF" w:rsidP="00B443E5">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noProof/>
          <w:color w:val="808080" w:themeColor="background1" w:themeShade="80"/>
          <w:sz w:val="16"/>
          <w:szCs w:val="16"/>
        </w:rPr>
        <w:t>4</w:t>
      </w:r>
      <w:r w:rsidRPr="00B53DB8">
        <w:rPr>
          <w:rFonts w:asciiTheme="majorHAnsi" w:hAnsiTheme="majorHAnsi" w:cstheme="majorHAnsi"/>
          <w:noProof/>
          <w:color w:val="808080" w:themeColor="background1" w:themeShade="80"/>
          <w:sz w:val="16"/>
          <w:szCs w:val="16"/>
        </w:rPr>
        <w:t xml:space="preserve"> - money.cnn.com/data/commodities/ [</w:t>
      </w:r>
      <w:r>
        <w:rPr>
          <w:rFonts w:asciiTheme="majorHAnsi" w:hAnsiTheme="majorHAnsi" w:cstheme="majorHAnsi"/>
          <w:noProof/>
          <w:color w:val="808080" w:themeColor="background1" w:themeShade="80"/>
          <w:sz w:val="16"/>
          <w:szCs w:val="16"/>
        </w:rPr>
        <w:t>9/30</w:t>
      </w:r>
      <w:r w:rsidRPr="00B53DB8">
        <w:rPr>
          <w:rFonts w:asciiTheme="majorHAnsi" w:hAnsiTheme="majorHAnsi" w:cstheme="majorHAnsi"/>
          <w:noProof/>
          <w:color w:val="808080" w:themeColor="background1" w:themeShade="80"/>
          <w:sz w:val="16"/>
          <w:szCs w:val="16"/>
        </w:rPr>
        <w:t>/1</w:t>
      </w:r>
      <w:r>
        <w:rPr>
          <w:rFonts w:asciiTheme="majorHAnsi" w:hAnsiTheme="majorHAnsi" w:cstheme="majorHAnsi"/>
          <w:noProof/>
          <w:color w:val="808080" w:themeColor="background1" w:themeShade="80"/>
          <w:sz w:val="16"/>
          <w:szCs w:val="16"/>
        </w:rPr>
        <w:t>9</w:t>
      </w:r>
      <w:r w:rsidRPr="00B53DB8">
        <w:rPr>
          <w:rFonts w:asciiTheme="majorHAnsi" w:hAnsiTheme="majorHAnsi" w:cstheme="majorHAnsi"/>
          <w:noProof/>
          <w:color w:val="808080" w:themeColor="background1" w:themeShade="80"/>
          <w:sz w:val="16"/>
          <w:szCs w:val="16"/>
        </w:rPr>
        <w:t>]</w:t>
      </w:r>
    </w:p>
    <w:p w14:paraId="300EA1D0" w14:textId="77777777" w:rsidR="00EC2B16" w:rsidRDefault="000176AF" w:rsidP="00B443E5">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5 -</w:t>
      </w:r>
      <w:bookmarkStart w:id="6" w:name="_Hlk18071214"/>
      <w:r>
        <w:rPr>
          <w:rFonts w:asciiTheme="majorHAnsi" w:hAnsiTheme="majorHAnsi" w:cs="Arial"/>
          <w:color w:val="767171" w:themeColor="background2" w:themeShade="80"/>
          <w:sz w:val="16"/>
        </w:rPr>
        <w:t xml:space="preserve"> </w:t>
      </w:r>
      <w:bookmarkEnd w:id="6"/>
      <w:r w:rsidRPr="00947623">
        <w:rPr>
          <w:rFonts w:asciiTheme="majorHAnsi" w:hAnsiTheme="majorHAnsi" w:cs="Arial"/>
          <w:color w:val="767171" w:themeColor="background2" w:themeShade="80"/>
          <w:sz w:val="16"/>
        </w:rPr>
        <w:t xml:space="preserve">cnbc.com/2019/09/30/us-stocks-investors-monitor-us-china-trade-impeachment-inquiry.html </w:t>
      </w:r>
      <w:r>
        <w:rPr>
          <w:rFonts w:asciiTheme="majorHAnsi" w:hAnsiTheme="majorHAnsi" w:cs="Arial"/>
          <w:color w:val="767171" w:themeColor="background2" w:themeShade="80"/>
          <w:sz w:val="16"/>
        </w:rPr>
        <w:t>[9/</w:t>
      </w:r>
      <w:r>
        <w:rPr>
          <w:rFonts w:asciiTheme="majorHAnsi" w:hAnsiTheme="majorHAnsi" w:cs="Arial"/>
          <w:color w:val="767171" w:themeColor="background2" w:themeShade="80"/>
          <w:sz w:val="16"/>
        </w:rPr>
        <w:t>30</w:t>
      </w:r>
      <w:r>
        <w:rPr>
          <w:rFonts w:asciiTheme="majorHAnsi" w:hAnsiTheme="majorHAnsi" w:cs="Arial"/>
          <w:color w:val="767171" w:themeColor="background2" w:themeShade="80"/>
          <w:sz w:val="16"/>
        </w:rPr>
        <w:t>/19]</w:t>
      </w:r>
    </w:p>
    <w:p w14:paraId="3C6262A2" w14:textId="77777777" w:rsidR="00EC2B16" w:rsidRDefault="000176AF" w:rsidP="00B443E5">
      <w:pPr>
        <w:spacing w:after="0" w:line="240" w:lineRule="auto"/>
        <w:rPr>
          <w:rFonts w:asciiTheme="majorHAnsi" w:hAnsiTheme="majorHAnsi" w:cs="Arial"/>
          <w:color w:val="767171" w:themeColor="background2" w:themeShade="80"/>
          <w:sz w:val="16"/>
        </w:rPr>
      </w:pPr>
      <w:r>
        <w:rPr>
          <w:rFonts w:asciiTheme="majorHAnsi" w:hAnsiTheme="majorHAnsi" w:cs="Arial"/>
          <w:color w:val="767171" w:themeColor="background2" w:themeShade="80"/>
          <w:sz w:val="16"/>
        </w:rPr>
        <w:t xml:space="preserve">6 - </w:t>
      </w:r>
      <w:r w:rsidRPr="00B443E5">
        <w:rPr>
          <w:rFonts w:asciiTheme="majorHAnsi" w:hAnsiTheme="majorHAnsi" w:cs="Arial"/>
          <w:color w:val="767171" w:themeColor="background2" w:themeShade="80"/>
          <w:sz w:val="16"/>
        </w:rPr>
        <w:t xml:space="preserve">tinyurl.com/y2obyd4e </w:t>
      </w:r>
      <w:r>
        <w:rPr>
          <w:rFonts w:asciiTheme="majorHAnsi" w:hAnsiTheme="majorHAnsi" w:cs="Arial"/>
          <w:color w:val="767171" w:themeColor="background2" w:themeShade="80"/>
          <w:sz w:val="16"/>
        </w:rPr>
        <w:t>[9/12/19]</w:t>
      </w:r>
    </w:p>
    <w:p w14:paraId="256EB1ED" w14:textId="77777777" w:rsidR="00056927" w:rsidRDefault="000176AF" w:rsidP="00B443E5">
      <w:pPr>
        <w:spacing w:after="0" w:line="240" w:lineRule="auto"/>
        <w:rPr>
          <w:rFonts w:asciiTheme="majorHAnsi" w:hAnsiTheme="majorHAnsi" w:cstheme="majorHAnsi"/>
          <w:color w:val="808080" w:themeColor="background1" w:themeShade="80"/>
          <w:sz w:val="16"/>
          <w:szCs w:val="16"/>
        </w:rPr>
      </w:pPr>
      <w:bookmarkStart w:id="7" w:name="_Hlk10192834"/>
      <w:r>
        <w:rPr>
          <w:rFonts w:asciiTheme="majorHAnsi" w:hAnsiTheme="majorHAnsi" w:cstheme="majorHAnsi"/>
          <w:color w:val="808080" w:themeColor="background1" w:themeShade="80"/>
          <w:sz w:val="16"/>
          <w:szCs w:val="16"/>
        </w:rPr>
        <w:t xml:space="preserve">7 - </w:t>
      </w:r>
      <w:r w:rsidRPr="003F6091">
        <w:rPr>
          <w:rFonts w:asciiTheme="majorHAnsi" w:hAnsiTheme="majorHAnsi" w:cstheme="majorHAnsi"/>
          <w:color w:val="808080" w:themeColor="background1" w:themeShade="80"/>
          <w:sz w:val="16"/>
          <w:szCs w:val="16"/>
        </w:rPr>
        <w:t xml:space="preserve">nbcnews.com/business/economy/jobs-report-paints-mixed-picture-health-economy-n1050681 </w:t>
      </w:r>
      <w:r>
        <w:rPr>
          <w:rFonts w:asciiTheme="majorHAnsi" w:hAnsiTheme="majorHAnsi" w:cstheme="majorHAnsi"/>
          <w:color w:val="808080" w:themeColor="background1" w:themeShade="80"/>
          <w:sz w:val="16"/>
          <w:szCs w:val="16"/>
        </w:rPr>
        <w:t>[9/6/19]</w:t>
      </w:r>
    </w:p>
    <w:p w14:paraId="22AC991B" w14:textId="77777777" w:rsidR="00056927"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8 - </w:t>
      </w:r>
      <w:r w:rsidRPr="00B121C9">
        <w:rPr>
          <w:rFonts w:asciiTheme="majorHAnsi" w:hAnsiTheme="majorHAnsi" w:cstheme="majorHAnsi"/>
          <w:color w:val="808080" w:themeColor="background1" w:themeShade="80"/>
          <w:sz w:val="16"/>
          <w:szCs w:val="16"/>
        </w:rPr>
        <w:t>instituteforsupplymanagement.org/ISMReport/NonMfgROB.cfm?SSO=1</w:t>
      </w:r>
      <w:r>
        <w:rPr>
          <w:rFonts w:asciiTheme="majorHAnsi" w:hAnsiTheme="majorHAnsi" w:cstheme="majorHAnsi"/>
          <w:color w:val="808080" w:themeColor="background1" w:themeShade="80"/>
          <w:sz w:val="16"/>
          <w:szCs w:val="16"/>
        </w:rPr>
        <w:t xml:space="preserve"> [9/5/19]</w:t>
      </w:r>
    </w:p>
    <w:p w14:paraId="527A69A3" w14:textId="77777777" w:rsidR="006004A7" w:rsidRDefault="000176AF" w:rsidP="00B443E5">
      <w:pPr>
        <w:spacing w:after="0" w:line="240" w:lineRule="auto"/>
        <w:rPr>
          <w:noProof/>
        </w:rPr>
      </w:pPr>
      <w:bookmarkStart w:id="8" w:name="_Hlk20470023"/>
      <w:bookmarkStart w:id="9" w:name="_Hlk20399867"/>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 xml:space="preserve"> - investing.com/economic-calendar [</w:t>
      </w:r>
      <w:r>
        <w:rPr>
          <w:rFonts w:asciiTheme="majorHAnsi" w:hAnsiTheme="majorHAnsi" w:cstheme="majorHAnsi"/>
          <w:color w:val="808080" w:themeColor="background1" w:themeShade="80"/>
          <w:sz w:val="16"/>
          <w:szCs w:val="16"/>
        </w:rPr>
        <w:t>9/30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r w:rsidRPr="004E728F">
        <w:rPr>
          <w:noProof/>
        </w:rPr>
        <w:t xml:space="preserve"> </w:t>
      </w:r>
      <w:bookmarkEnd w:id="8"/>
    </w:p>
    <w:bookmarkEnd w:id="7"/>
    <w:bookmarkEnd w:id="9"/>
    <w:p w14:paraId="3D338156" w14:textId="77777777" w:rsidR="00920791"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 xml:space="preserve">10 - </w:t>
      </w:r>
      <w:r w:rsidRPr="00920791">
        <w:rPr>
          <w:rFonts w:asciiTheme="majorHAnsi" w:hAnsiTheme="majorHAnsi" w:cstheme="majorHAnsi"/>
          <w:color w:val="808080" w:themeColor="background1" w:themeShade="80"/>
          <w:sz w:val="16"/>
          <w:szCs w:val="16"/>
        </w:rPr>
        <w:t>marketwatch.com/story/europe-stocks-cautiously-higher-ahead-of-ecb-meeting-and-easing-trade-war-tensions-2019-09-12</w:t>
      </w:r>
      <w:r>
        <w:rPr>
          <w:rFonts w:asciiTheme="majorHAnsi" w:hAnsiTheme="majorHAnsi" w:cstheme="majorHAnsi"/>
          <w:color w:val="808080" w:themeColor="background1" w:themeShade="80"/>
          <w:sz w:val="16"/>
          <w:szCs w:val="16"/>
        </w:rPr>
        <w:t xml:space="preserve"> [9/12/19]</w:t>
      </w:r>
    </w:p>
    <w:p w14:paraId="7BF58207" w14:textId="77777777" w:rsidR="00B443E5"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1</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E23090">
        <w:rPr>
          <w:rFonts w:asciiTheme="majorHAnsi" w:hAnsiTheme="majorHAnsi" w:cstheme="majorHAnsi"/>
          <w:color w:val="808080" w:themeColor="background1" w:themeShade="80"/>
          <w:sz w:val="16"/>
          <w:szCs w:val="16"/>
        </w:rPr>
        <w:t xml:space="preserve">ft.com/content/02e97d16-ddd0-11e9-9743-db5a370481bc </w:t>
      </w:r>
      <w:r>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w:t>
      </w:r>
      <w:r>
        <w:rPr>
          <w:rFonts w:asciiTheme="majorHAnsi" w:hAnsiTheme="majorHAnsi" w:cstheme="majorHAnsi"/>
          <w:color w:val="808080" w:themeColor="background1" w:themeShade="80"/>
          <w:sz w:val="16"/>
          <w:szCs w:val="16"/>
        </w:rPr>
        <w:t>/2</w:t>
      </w:r>
      <w:r>
        <w:rPr>
          <w:rFonts w:asciiTheme="majorHAnsi" w:hAnsiTheme="majorHAnsi" w:cstheme="majorHAnsi"/>
          <w:color w:val="808080" w:themeColor="background1" w:themeShade="80"/>
          <w:sz w:val="16"/>
          <w:szCs w:val="16"/>
        </w:rPr>
        <w:t>3</w:t>
      </w:r>
      <w:r>
        <w:rPr>
          <w:rFonts w:asciiTheme="majorHAnsi" w:hAnsiTheme="majorHAnsi" w:cstheme="majorHAnsi"/>
          <w:color w:val="808080" w:themeColor="background1" w:themeShade="80"/>
          <w:sz w:val="16"/>
          <w:szCs w:val="16"/>
        </w:rPr>
        <w:t>/19]</w:t>
      </w:r>
      <w:bookmarkEnd w:id="5"/>
    </w:p>
    <w:p w14:paraId="148A32D1" w14:textId="77777777" w:rsidR="006004A7" w:rsidRPr="00FC51E8"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12</w:t>
      </w:r>
      <w:r w:rsidRPr="00FC51E8">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6764DE">
        <w:rPr>
          <w:rFonts w:asciiTheme="majorHAnsi" w:hAnsiTheme="majorHAnsi" w:cstheme="majorHAnsi"/>
          <w:color w:val="808080" w:themeColor="background1" w:themeShade="80"/>
          <w:sz w:val="16"/>
          <w:szCs w:val="16"/>
        </w:rPr>
        <w:t xml:space="preserve">tinyurl.com/y53dzoy5 </w:t>
      </w:r>
      <w:r w:rsidRPr="00FC51E8">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w:t>
      </w:r>
      <w:r>
        <w:rPr>
          <w:rFonts w:asciiTheme="majorHAnsi" w:hAnsiTheme="majorHAnsi" w:cstheme="majorHAnsi"/>
          <w:color w:val="808080" w:themeColor="background1" w:themeShade="80"/>
          <w:sz w:val="16"/>
          <w:szCs w:val="16"/>
        </w:rPr>
        <w:t>/24</w:t>
      </w:r>
      <w:r w:rsidRPr="00FC51E8">
        <w:rPr>
          <w:rFonts w:asciiTheme="majorHAnsi" w:hAnsiTheme="majorHAnsi" w:cstheme="majorHAnsi"/>
          <w:color w:val="808080" w:themeColor="background1" w:themeShade="80"/>
          <w:sz w:val="16"/>
          <w:szCs w:val="16"/>
        </w:rPr>
        <w:t>/19]</w:t>
      </w:r>
    </w:p>
    <w:p w14:paraId="14CC418A" w14:textId="77777777" w:rsidR="006004A7"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13</w:t>
      </w:r>
      <w:r w:rsidRPr="000B4F01">
        <w:rPr>
          <w:rFonts w:asciiTheme="majorHAnsi" w:hAnsiTheme="majorHAnsi" w:cstheme="majorHAnsi"/>
          <w:color w:val="808080" w:themeColor="background1" w:themeShade="80"/>
          <w:sz w:val="16"/>
          <w:szCs w:val="16"/>
        </w:rPr>
        <w:t xml:space="preserve"> - </w:t>
      </w:r>
      <w:r w:rsidRPr="00330D10">
        <w:rPr>
          <w:rFonts w:asciiTheme="majorHAnsi" w:hAnsiTheme="majorHAnsi" w:cstheme="majorHAnsi"/>
          <w:color w:val="808080" w:themeColor="background1" w:themeShade="80"/>
          <w:sz w:val="16"/>
          <w:szCs w:val="16"/>
        </w:rPr>
        <w:t xml:space="preserve">cnn.com/2019/09/16/economy/china-economy-industrial-production/index.html </w:t>
      </w:r>
      <w:r w:rsidRPr="000B4F01">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w:t>
      </w:r>
      <w:r>
        <w:rPr>
          <w:rFonts w:asciiTheme="majorHAnsi" w:hAnsiTheme="majorHAnsi" w:cstheme="majorHAnsi"/>
          <w:color w:val="808080" w:themeColor="background1" w:themeShade="80"/>
          <w:sz w:val="16"/>
          <w:szCs w:val="16"/>
        </w:rPr>
        <w:t>16</w:t>
      </w:r>
      <w:r w:rsidRPr="000B4F01">
        <w:rPr>
          <w:rFonts w:asciiTheme="majorHAnsi" w:hAnsiTheme="majorHAnsi" w:cstheme="majorHAnsi"/>
          <w:color w:val="808080" w:themeColor="background1" w:themeShade="80"/>
          <w:sz w:val="16"/>
          <w:szCs w:val="16"/>
        </w:rPr>
        <w:t xml:space="preserve">/19] </w:t>
      </w:r>
    </w:p>
    <w:p w14:paraId="7AFAF4CA" w14:textId="77777777" w:rsidR="0095131F"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14</w:t>
      </w:r>
      <w:r w:rsidRPr="00410159">
        <w:rPr>
          <w:rFonts w:asciiTheme="majorHAnsi" w:hAnsiTheme="majorHAnsi" w:cstheme="majorHAnsi"/>
          <w:color w:val="808080" w:themeColor="background1" w:themeShade="80"/>
          <w:sz w:val="16"/>
          <w:szCs w:val="16"/>
        </w:rPr>
        <w:t xml:space="preserve"> - markets.on.nytimes.com/research/markets/worldmarkets/worldmarkets.asp [</w:t>
      </w:r>
      <w:r>
        <w:rPr>
          <w:rFonts w:asciiTheme="majorHAnsi" w:hAnsiTheme="majorHAnsi" w:cstheme="majorHAnsi"/>
          <w:color w:val="808080" w:themeColor="background1" w:themeShade="80"/>
          <w:sz w:val="16"/>
          <w:szCs w:val="16"/>
        </w:rPr>
        <w:t>9/30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088DE94A" w14:textId="77777777" w:rsidR="00B443E5" w:rsidRDefault="000176AF" w:rsidP="00B443E5">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5</w:t>
      </w:r>
      <w:r w:rsidRPr="00410159">
        <w:rPr>
          <w:rFonts w:asciiTheme="majorHAnsi" w:hAnsiTheme="majorHAnsi" w:cstheme="majorHAnsi"/>
          <w:color w:val="808080" w:themeColor="background1" w:themeShade="80"/>
          <w:sz w:val="16"/>
          <w:szCs w:val="16"/>
        </w:rPr>
        <w:t xml:space="preserve"> - </w:t>
      </w:r>
      <w:r w:rsidRPr="009B50F1">
        <w:rPr>
          <w:rFonts w:asciiTheme="majorHAnsi" w:hAnsiTheme="majorHAnsi" w:cstheme="majorHAnsi"/>
          <w:color w:val="808080" w:themeColor="background1" w:themeShade="80"/>
          <w:sz w:val="16"/>
          <w:szCs w:val="16"/>
        </w:rPr>
        <w:t xml:space="preserve">marketwatch.com/investing/index/990300?countrycode=xx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473B71C2" w14:textId="77777777" w:rsidR="006004A7" w:rsidRDefault="000176AF" w:rsidP="00B443E5">
      <w:pPr>
        <w:spacing w:after="0" w:line="240" w:lineRule="auto"/>
        <w:rPr>
          <w:rFonts w:asciiTheme="majorHAnsi" w:hAnsiTheme="majorHAnsi" w:cstheme="majorHAnsi"/>
          <w:noProof/>
          <w:color w:val="808080" w:themeColor="background1" w:themeShade="80"/>
          <w:sz w:val="16"/>
          <w:szCs w:val="16"/>
        </w:rPr>
      </w:pPr>
      <w:r>
        <w:rPr>
          <w:rFonts w:asciiTheme="majorHAnsi" w:hAnsiTheme="majorHAnsi" w:cstheme="majorHAnsi"/>
          <w:color w:val="808080" w:themeColor="background1" w:themeShade="80"/>
          <w:sz w:val="16"/>
          <w:szCs w:val="16"/>
        </w:rPr>
        <w:t>16</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7C0A83">
        <w:rPr>
          <w:rFonts w:asciiTheme="majorHAnsi" w:hAnsiTheme="majorHAnsi" w:cstheme="majorHAnsi"/>
          <w:color w:val="808080" w:themeColor="background1" w:themeShade="80"/>
          <w:sz w:val="16"/>
          <w:szCs w:val="16"/>
        </w:rPr>
        <w:t xml:space="preserve">barchart.com/stocks/indices?viewName=performance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4E87E9F4" w14:textId="77777777" w:rsidR="006004A7"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7</w:t>
      </w:r>
      <w:r>
        <w:rPr>
          <w:rFonts w:asciiTheme="majorHAnsi" w:hAnsiTheme="majorHAnsi" w:cstheme="majorHAnsi"/>
          <w:color w:val="808080" w:themeColor="background1" w:themeShade="80"/>
          <w:sz w:val="16"/>
          <w:szCs w:val="16"/>
        </w:rPr>
        <w:t xml:space="preserve">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 xml:space="preserve"> </w:t>
      </w:r>
      <w:r w:rsidRPr="00DA4BFC">
        <w:rPr>
          <w:rFonts w:asciiTheme="majorHAnsi" w:hAnsiTheme="majorHAnsi" w:cstheme="majorHAnsi"/>
          <w:color w:val="808080" w:themeColor="background1" w:themeShade="80"/>
          <w:sz w:val="16"/>
          <w:szCs w:val="16"/>
        </w:rPr>
        <w:t xml:space="preserve">freddiemac.com/pmms/archive.html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w:t>
      </w:r>
      <w:r>
        <w:rPr>
          <w:rFonts w:asciiTheme="majorHAnsi" w:hAnsiTheme="majorHAnsi" w:cstheme="majorHAnsi"/>
          <w:color w:val="808080" w:themeColor="background1" w:themeShade="80"/>
          <w:sz w:val="16"/>
          <w:szCs w:val="16"/>
        </w:rPr>
        <w:t>26</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4F27249C" w14:textId="77777777" w:rsidR="006004A7"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18</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B46640">
        <w:rPr>
          <w:rFonts w:asciiTheme="majorHAnsi" w:hAnsiTheme="majorHAnsi" w:cstheme="majorHAnsi"/>
          <w:color w:val="808080" w:themeColor="background1" w:themeShade="80"/>
          <w:sz w:val="16"/>
          <w:szCs w:val="16"/>
        </w:rPr>
        <w:t xml:space="preserve">markets.wsj.com/us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12/31</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8</w:t>
      </w:r>
      <w:r w:rsidRPr="00410159">
        <w:rPr>
          <w:rFonts w:asciiTheme="majorHAnsi" w:hAnsiTheme="majorHAnsi" w:cstheme="majorHAnsi"/>
          <w:color w:val="808080" w:themeColor="background1" w:themeShade="80"/>
          <w:sz w:val="16"/>
          <w:szCs w:val="16"/>
        </w:rPr>
        <w:t>]</w:t>
      </w:r>
    </w:p>
    <w:p w14:paraId="2BB44EE3" w14:textId="77777777" w:rsidR="006004A7" w:rsidRDefault="000176AF" w:rsidP="00B443E5">
      <w:pPr>
        <w:spacing w:after="0" w:line="240" w:lineRule="auto"/>
        <w:rPr>
          <w:rFonts w:asciiTheme="majorHAnsi" w:hAnsiTheme="majorHAnsi" w:cstheme="majorHAnsi"/>
          <w:color w:val="808080" w:themeColor="background1" w:themeShade="80"/>
          <w:sz w:val="16"/>
          <w:szCs w:val="16"/>
        </w:rPr>
      </w:pPr>
      <w:r>
        <w:rPr>
          <w:rFonts w:asciiTheme="majorHAnsi" w:hAnsiTheme="majorHAnsi" w:cstheme="majorHAnsi"/>
          <w:color w:val="808080" w:themeColor="background1" w:themeShade="80"/>
          <w:sz w:val="16"/>
          <w:szCs w:val="16"/>
        </w:rPr>
        <w:t>19</w:t>
      </w:r>
      <w:r w:rsidRPr="00410159">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w:t>
      </w:r>
      <w:r w:rsidRPr="00D75E83">
        <w:rPr>
          <w:rFonts w:asciiTheme="majorHAnsi" w:hAnsiTheme="majorHAnsi" w:cstheme="majorHAnsi"/>
          <w:color w:val="808080" w:themeColor="background1" w:themeShade="80"/>
          <w:sz w:val="16"/>
          <w:szCs w:val="16"/>
        </w:rPr>
        <w:t xml:space="preserve">treasury.gov/resource-center/data-chart-center/interest-rates/Pages/TextView.aspx?data=yieldAll </w:t>
      </w:r>
      <w:r w:rsidRPr="00410159">
        <w:rPr>
          <w:rFonts w:asciiTheme="majorHAnsi" w:hAnsiTheme="majorHAnsi" w:cstheme="majorHAnsi"/>
          <w:color w:val="808080" w:themeColor="background1" w:themeShade="80"/>
          <w:sz w:val="16"/>
          <w:szCs w:val="16"/>
        </w:rPr>
        <w:t>[</w:t>
      </w:r>
      <w:r>
        <w:rPr>
          <w:rFonts w:asciiTheme="majorHAnsi" w:hAnsiTheme="majorHAnsi" w:cstheme="majorHAnsi"/>
          <w:color w:val="808080" w:themeColor="background1" w:themeShade="80"/>
          <w:sz w:val="16"/>
          <w:szCs w:val="16"/>
        </w:rPr>
        <w:t>9/30</w:t>
      </w:r>
      <w:r w:rsidRPr="00410159">
        <w:rPr>
          <w:rFonts w:asciiTheme="majorHAnsi" w:hAnsiTheme="majorHAnsi" w:cstheme="majorHAnsi"/>
          <w:color w:val="808080" w:themeColor="background1" w:themeShade="80"/>
          <w:sz w:val="16"/>
          <w:szCs w:val="16"/>
        </w:rPr>
        <w:t>/1</w:t>
      </w:r>
      <w:r>
        <w:rPr>
          <w:rFonts w:asciiTheme="majorHAnsi" w:hAnsiTheme="majorHAnsi" w:cstheme="majorHAnsi"/>
          <w:color w:val="808080" w:themeColor="background1" w:themeShade="80"/>
          <w:sz w:val="16"/>
          <w:szCs w:val="16"/>
        </w:rPr>
        <w:t>9</w:t>
      </w:r>
      <w:r w:rsidRPr="00410159">
        <w:rPr>
          <w:rFonts w:asciiTheme="majorHAnsi" w:hAnsiTheme="majorHAnsi" w:cstheme="majorHAnsi"/>
          <w:color w:val="808080" w:themeColor="background1" w:themeShade="80"/>
          <w:sz w:val="16"/>
          <w:szCs w:val="16"/>
        </w:rPr>
        <w:t>]</w:t>
      </w:r>
    </w:p>
    <w:p w14:paraId="3F43289E" w14:textId="77777777" w:rsidR="008E168C" w:rsidRPr="00410159" w:rsidRDefault="000176AF" w:rsidP="006004A7">
      <w:pPr>
        <w:spacing w:after="0" w:line="240" w:lineRule="auto"/>
        <w:rPr>
          <w:rFonts w:asciiTheme="majorHAnsi" w:hAnsiTheme="majorHAnsi" w:cstheme="majorHAnsi"/>
          <w:color w:val="808080" w:themeColor="background1" w:themeShade="80"/>
          <w:sz w:val="16"/>
          <w:szCs w:val="16"/>
        </w:rPr>
      </w:pPr>
    </w:p>
    <w:sectPr w:rsidR="008E168C" w:rsidRPr="00410159" w:rsidSect="005946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64EF1"/>
    <w:multiLevelType w:val="hybridMultilevel"/>
    <w:tmpl w:val="52807AE8"/>
    <w:lvl w:ilvl="0" w:tplc="154ECED0">
      <w:start w:val="1"/>
      <w:numFmt w:val="bullet"/>
      <w:lvlText w:val=""/>
      <w:lvlJc w:val="left"/>
      <w:pPr>
        <w:ind w:left="720" w:hanging="360"/>
      </w:pPr>
      <w:rPr>
        <w:rFonts w:ascii="Symbol" w:hAnsi="Symbol" w:hint="default"/>
      </w:rPr>
    </w:lvl>
    <w:lvl w:ilvl="1" w:tplc="B42EB7DA" w:tentative="1">
      <w:start w:val="1"/>
      <w:numFmt w:val="bullet"/>
      <w:lvlText w:val="o"/>
      <w:lvlJc w:val="left"/>
      <w:pPr>
        <w:ind w:left="1440" w:hanging="360"/>
      </w:pPr>
      <w:rPr>
        <w:rFonts w:ascii="Courier New" w:hAnsi="Courier New" w:cs="Courier New" w:hint="default"/>
      </w:rPr>
    </w:lvl>
    <w:lvl w:ilvl="2" w:tplc="B5C4C818" w:tentative="1">
      <w:start w:val="1"/>
      <w:numFmt w:val="bullet"/>
      <w:lvlText w:val=""/>
      <w:lvlJc w:val="left"/>
      <w:pPr>
        <w:ind w:left="2160" w:hanging="360"/>
      </w:pPr>
      <w:rPr>
        <w:rFonts w:ascii="Wingdings" w:hAnsi="Wingdings" w:hint="default"/>
      </w:rPr>
    </w:lvl>
    <w:lvl w:ilvl="3" w:tplc="E66AFB6C" w:tentative="1">
      <w:start w:val="1"/>
      <w:numFmt w:val="bullet"/>
      <w:lvlText w:val=""/>
      <w:lvlJc w:val="left"/>
      <w:pPr>
        <w:ind w:left="2880" w:hanging="360"/>
      </w:pPr>
      <w:rPr>
        <w:rFonts w:ascii="Symbol" w:hAnsi="Symbol" w:hint="default"/>
      </w:rPr>
    </w:lvl>
    <w:lvl w:ilvl="4" w:tplc="2152C2C8" w:tentative="1">
      <w:start w:val="1"/>
      <w:numFmt w:val="bullet"/>
      <w:lvlText w:val="o"/>
      <w:lvlJc w:val="left"/>
      <w:pPr>
        <w:ind w:left="3600" w:hanging="360"/>
      </w:pPr>
      <w:rPr>
        <w:rFonts w:ascii="Courier New" w:hAnsi="Courier New" w:cs="Courier New" w:hint="default"/>
      </w:rPr>
    </w:lvl>
    <w:lvl w:ilvl="5" w:tplc="2D6E27C6" w:tentative="1">
      <w:start w:val="1"/>
      <w:numFmt w:val="bullet"/>
      <w:lvlText w:val=""/>
      <w:lvlJc w:val="left"/>
      <w:pPr>
        <w:ind w:left="4320" w:hanging="360"/>
      </w:pPr>
      <w:rPr>
        <w:rFonts w:ascii="Wingdings" w:hAnsi="Wingdings" w:hint="default"/>
      </w:rPr>
    </w:lvl>
    <w:lvl w:ilvl="6" w:tplc="1F682EDA" w:tentative="1">
      <w:start w:val="1"/>
      <w:numFmt w:val="bullet"/>
      <w:lvlText w:val=""/>
      <w:lvlJc w:val="left"/>
      <w:pPr>
        <w:ind w:left="5040" w:hanging="360"/>
      </w:pPr>
      <w:rPr>
        <w:rFonts w:ascii="Symbol" w:hAnsi="Symbol" w:hint="default"/>
      </w:rPr>
    </w:lvl>
    <w:lvl w:ilvl="7" w:tplc="A8C2BF98" w:tentative="1">
      <w:start w:val="1"/>
      <w:numFmt w:val="bullet"/>
      <w:lvlText w:val="o"/>
      <w:lvlJc w:val="left"/>
      <w:pPr>
        <w:ind w:left="5760" w:hanging="360"/>
      </w:pPr>
      <w:rPr>
        <w:rFonts w:ascii="Courier New" w:hAnsi="Courier New" w:cs="Courier New" w:hint="default"/>
      </w:rPr>
    </w:lvl>
    <w:lvl w:ilvl="8" w:tplc="B7D85C5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6D"/>
    <w:rsid w:val="000176AF"/>
    <w:rsid w:val="00594671"/>
    <w:rsid w:val="00D7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0C34"/>
  <w15:docId w15:val="{0101DA90-588E-4754-B26C-EBA093F5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rsid w:val="004A2938"/>
  </w:style>
  <w:style w:type="paragraph" w:styleId="ListParagraph">
    <w:name w:val="List Paragraph"/>
    <w:basedOn w:val="Normal"/>
    <w:uiPriority w:val="34"/>
    <w:qFormat/>
    <w:rsid w:val="00B2579B"/>
    <w:pPr>
      <w:ind w:left="720"/>
      <w:contextualSpacing/>
    </w:pPr>
  </w:style>
  <w:style w:type="table" w:styleId="TableGrid">
    <w:name w:val="Table Grid"/>
    <w:basedOn w:val="TableNormal"/>
    <w:uiPriority w:val="39"/>
    <w:rsid w:val="006D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7981"/>
    <w:pPr>
      <w:autoSpaceDE w:val="0"/>
      <w:autoSpaceDN w:val="0"/>
      <w:adjustRightInd w:val="0"/>
      <w:spacing w:after="480" w:line="420" w:lineRule="exact"/>
    </w:pPr>
    <w:rPr>
      <w:rFonts w:ascii="Georgia" w:eastAsia="Times" w:hAnsi="Georgia" w:cs="Times New Roman"/>
      <w:sz w:val="40"/>
      <w:szCs w:val="24"/>
    </w:rPr>
  </w:style>
  <w:style w:type="character" w:customStyle="1" w:styleId="BodyTextChar">
    <w:name w:val="Body Text Char"/>
    <w:basedOn w:val="DefaultParagraphFont"/>
    <w:link w:val="BodyText"/>
    <w:rsid w:val="00237981"/>
    <w:rPr>
      <w:rFonts w:ascii="Georgia" w:eastAsia="Times" w:hAnsi="Georgia" w:cs="Times New Roman"/>
      <w:sz w:val="40"/>
      <w:szCs w:val="24"/>
    </w:rPr>
  </w:style>
  <w:style w:type="paragraph" w:styleId="PlainText">
    <w:name w:val="Plain Text"/>
    <w:basedOn w:val="Normal"/>
    <w:link w:val="PlainTextChar"/>
    <w:uiPriority w:val="99"/>
    <w:unhideWhenUsed/>
    <w:rsid w:val="00775662"/>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75662"/>
    <w:rPr>
      <w:rFonts w:ascii="Consolas" w:eastAsia="Calibri" w:hAnsi="Consolas" w:cs="Consolas"/>
      <w:sz w:val="21"/>
      <w:szCs w:val="21"/>
    </w:rPr>
  </w:style>
  <w:style w:type="paragraph" w:styleId="BalloonText">
    <w:name w:val="Balloon Text"/>
    <w:basedOn w:val="Normal"/>
    <w:link w:val="BalloonTextChar"/>
    <w:uiPriority w:val="99"/>
    <w:semiHidden/>
    <w:unhideWhenUsed/>
    <w:rsid w:val="001F1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964"/>
    <w:rPr>
      <w:rFonts w:ascii="Segoe UI" w:hAnsi="Segoe UI" w:cs="Segoe UI"/>
      <w:sz w:val="18"/>
      <w:szCs w:val="18"/>
    </w:rPr>
  </w:style>
  <w:style w:type="paragraph" w:styleId="NormalWeb">
    <w:name w:val="Normal (Web)"/>
    <w:basedOn w:val="Normal"/>
    <w:uiPriority w:val="99"/>
    <w:unhideWhenUsed/>
    <w:rsid w:val="00A554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4671"/>
    <w:rPr>
      <w:color w:val="0563C1" w:themeColor="hyperlink"/>
      <w:u w:val="single"/>
    </w:rPr>
  </w:style>
  <w:style w:type="character" w:styleId="UnresolvedMention">
    <w:name w:val="Unresolved Mention"/>
    <w:basedOn w:val="DefaultParagraphFont"/>
    <w:uiPriority w:val="99"/>
    <w:rsid w:val="0059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ylee@hifcf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Admin hifcfp</cp:lastModifiedBy>
  <cp:revision>3</cp:revision>
  <dcterms:created xsi:type="dcterms:W3CDTF">2019-10-07T20:40:00Z</dcterms:created>
  <dcterms:modified xsi:type="dcterms:W3CDTF">2019-10-07T20:41:00Z</dcterms:modified>
</cp:coreProperties>
</file>