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2EFCD" w14:textId="78D5C01F" w:rsidR="00461B72" w:rsidRDefault="00461B72" w:rsidP="00461B72">
      <w:pPr>
        <w:pStyle w:val="Heading1"/>
      </w:pPr>
      <w:r>
        <w:t xml:space="preserve">Applications </w:t>
      </w:r>
      <w:proofErr w:type="gramStart"/>
      <w:r>
        <w:t>of</w:t>
      </w:r>
      <w:proofErr w:type="gramEnd"/>
      <w:r>
        <w:t xml:space="preserve"> the Thel-Mar Compound Pipe Weir in Open </w:t>
      </w:r>
      <w:r w:rsidR="00D83196">
        <w:t xml:space="preserve">and Partially- Full Closed </w:t>
      </w:r>
      <w:r>
        <w:t>Channel Flow Measurement</w:t>
      </w:r>
      <w:r w:rsidR="00D83196">
        <w:t xml:space="preserve"> Systems</w:t>
      </w:r>
    </w:p>
    <w:p w14:paraId="3C669086" w14:textId="77777777" w:rsidR="005A06B9" w:rsidRPr="005A06B9" w:rsidRDefault="005A06B9" w:rsidP="005A06B9"/>
    <w:p w14:paraId="6D564A43" w14:textId="77777777" w:rsidR="00461B72" w:rsidRDefault="00461B72" w:rsidP="00461B72">
      <w:r>
        <w:rPr>
          <w:b/>
        </w:rPr>
        <w:t>Christopher L. Davis</w:t>
      </w:r>
      <w:r>
        <w:rPr>
          <w:b/>
        </w:rPr>
        <w:br/>
      </w:r>
      <w:r>
        <w:t>Lower 48 Instruments, LLC</w:t>
      </w:r>
    </w:p>
    <w:p w14:paraId="6CF1F51E" w14:textId="77777777" w:rsidR="005A06B9" w:rsidRDefault="005A06B9" w:rsidP="00461B72"/>
    <w:p w14:paraId="226BCE6C" w14:textId="77777777" w:rsidR="00461B72" w:rsidRDefault="00461B72" w:rsidP="00461B72">
      <w:pPr>
        <w:pStyle w:val="Heading2"/>
      </w:pPr>
      <w:r>
        <w:t>Abstract</w:t>
      </w:r>
    </w:p>
    <w:p w14:paraId="1CDAD63C" w14:textId="34DED124" w:rsidR="00461B72" w:rsidRDefault="00461B72" w:rsidP="00461B72">
      <w:r w:rsidRPr="00703196">
        <w:t>Measuring</w:t>
      </w:r>
      <w:r>
        <w:t xml:space="preserve"> flow in partially full gravity pipelines </w:t>
      </w:r>
      <w:r w:rsidRPr="00703196">
        <w:t>can be difficult in</w:t>
      </w:r>
      <w:r>
        <w:t xml:space="preserve"> municipal wastewater, industrial pretreatment, agricultural drainage, combined sewer overflow (CSO), sanitary sewer overflow (SSO), and environmental monitoring </w:t>
      </w:r>
      <w:r w:rsidRPr="00703196">
        <w:t>work. Common approaches such as</w:t>
      </w:r>
      <w:r>
        <w:t xml:space="preserve"> area-velocity meters, Palmer-Bowlus flumes, Parshall flumes, and sharp-crested weirs</w:t>
      </w:r>
      <w:r w:rsidRPr="00703196">
        <w:t xml:space="preserve"> can be limited by changing</w:t>
      </w:r>
      <w:r>
        <w:t xml:space="preserve"> hydraulic conditions, </w:t>
      </w:r>
      <w:r w:rsidRPr="00703196">
        <w:t xml:space="preserve">very </w:t>
      </w:r>
      <w:r>
        <w:t>low</w:t>
      </w:r>
      <w:r w:rsidRPr="00703196">
        <w:t xml:space="preserve"> flow</w:t>
      </w:r>
      <w:r>
        <w:t>, surcharge</w:t>
      </w:r>
      <w:r w:rsidR="00D83196">
        <w:t xml:space="preserve"> </w:t>
      </w:r>
      <w:r w:rsidRPr="00703196">
        <w:t>or restricted</w:t>
      </w:r>
      <w:r>
        <w:t xml:space="preserve"> installation </w:t>
      </w:r>
      <w:r w:rsidRPr="00703196">
        <w:t>space</w:t>
      </w:r>
      <w:r>
        <w:t>.</w:t>
      </w:r>
    </w:p>
    <w:p w14:paraId="707B1020" w14:textId="77777777" w:rsidR="008D75A2" w:rsidRDefault="00175860" w:rsidP="009D7A49">
      <w:r w:rsidRPr="00ED43D5">
        <w:t xml:space="preserve">The Thel-Mar Compound Pipe Weir is designed for </w:t>
      </w:r>
      <w:r w:rsidRPr="00ED43D5">
        <w:t>field conditions</w:t>
      </w:r>
      <w:r w:rsidR="00BA6FBF" w:rsidRPr="00BA6FBF">
        <w:t xml:space="preserve"> where both low-flow sensitivity and higher-flow capacity are needed.</w:t>
      </w:r>
      <w:r w:rsidRPr="00ED43D5">
        <w:t xml:space="preserve"> By combining more than one hydraulic control shape in a single device, it </w:t>
      </w:r>
      <w:r w:rsidR="00BA6FBF" w:rsidRPr="00BA6FBF">
        <w:t>measures</w:t>
      </w:r>
      <w:r w:rsidRPr="00ED43D5">
        <w:t xml:space="preserve"> very low </w:t>
      </w:r>
      <w:proofErr w:type="gramStart"/>
      <w:r w:rsidRPr="00ED43D5">
        <w:t>flows</w:t>
      </w:r>
      <w:proofErr w:type="gramEnd"/>
      <w:r w:rsidRPr="00ED43D5">
        <w:t xml:space="preserve"> </w:t>
      </w:r>
      <w:r w:rsidR="00BA6FBF" w:rsidRPr="00BA6FBF">
        <w:t>through the smaller opening and accommodates</w:t>
      </w:r>
      <w:r w:rsidRPr="00ED43D5">
        <w:t xml:space="preserve"> higher flows as </w:t>
      </w:r>
      <w:r w:rsidR="00BA6FBF" w:rsidRPr="00BA6FBF">
        <w:t>additional opening area becomes active.</w:t>
      </w:r>
      <w:r w:rsidRPr="00ED43D5">
        <w:t xml:space="preserve"> This paper reviews the operating concept, design approach, and practical uses of the compound pipe weir and compares it with other flow measurement methods.</w:t>
      </w:r>
    </w:p>
    <w:p w14:paraId="7D93B478" w14:textId="77777777" w:rsidR="005A06B9" w:rsidRDefault="005A06B9" w:rsidP="009D7A49"/>
    <w:p w14:paraId="01AFEE3C" w14:textId="77777777" w:rsidR="005A06B9" w:rsidRDefault="005A06B9" w:rsidP="009D7A49"/>
    <w:p w14:paraId="71222518" w14:textId="77777777" w:rsidR="005A06B9" w:rsidRDefault="005A06B9" w:rsidP="009D7A49"/>
    <w:p w14:paraId="0949871C" w14:textId="77777777" w:rsidR="005A06B9" w:rsidRDefault="005A06B9" w:rsidP="009D7A49"/>
    <w:p w14:paraId="3C9919E7" w14:textId="77777777" w:rsidR="005A06B9" w:rsidRDefault="005A06B9" w:rsidP="009D7A49"/>
    <w:p w14:paraId="48EFA955" w14:textId="77777777" w:rsidR="005A06B9" w:rsidRDefault="005A06B9" w:rsidP="009D7A49"/>
    <w:p w14:paraId="08724CFF" w14:textId="77777777" w:rsidR="005A06B9" w:rsidRDefault="005A06B9" w:rsidP="009D7A49"/>
    <w:p w14:paraId="0E16EAB2" w14:textId="77777777" w:rsidR="00461B72" w:rsidRDefault="00461B72" w:rsidP="00461B72">
      <w:pPr>
        <w:pStyle w:val="Heading2"/>
      </w:pPr>
      <w:r>
        <w:lastRenderedPageBreak/>
        <w:t>1. Introduction</w:t>
      </w:r>
    </w:p>
    <w:p w14:paraId="002C4FC2" w14:textId="77777777" w:rsidR="00D83196" w:rsidRDefault="00D83196">
      <w:r>
        <w:t>The discussion is organized around the weir’s hydraulic concept, operating behavior, installation advantages, practical applications, comparison with alternative technologies, operational benefits, and future uses. This structure is intended to help readers evaluate where the compound pipe weir is most useful and what field conditions should be considered before installation.</w:t>
      </w:r>
    </w:p>
    <w:p w14:paraId="2036770C" w14:textId="634D9F41" w:rsidR="00461B72" w:rsidRDefault="00461B72" w:rsidP="00461B72">
      <w:r>
        <w:t xml:space="preserve">Open channel flow measurement </w:t>
      </w:r>
      <w:r w:rsidRPr="00E2563D">
        <w:t>often requires</w:t>
      </w:r>
      <w:r>
        <w:t xml:space="preserve"> a </w:t>
      </w:r>
      <w:r w:rsidRPr="00E2563D">
        <w:t>tradeoff between</w:t>
      </w:r>
      <w:r>
        <w:t xml:space="preserve"> low</w:t>
      </w:r>
      <w:r w:rsidRPr="00E2563D">
        <w:t xml:space="preserve">-flow sensitivity and </w:t>
      </w:r>
      <w:r>
        <w:t>high</w:t>
      </w:r>
      <w:r w:rsidRPr="00E2563D">
        <w:t>-flow capacity.</w:t>
      </w:r>
      <w:r>
        <w:t xml:space="preserve"> V-notch weirs, rectangular weirs, Cipolletti weirs, Palmer-Bowlus flumes, Parshall flumes, area-velocity meters, and ultrasonic level</w:t>
      </w:r>
      <w:r w:rsidRPr="00E2563D">
        <w:t xml:space="preserve"> systems </w:t>
      </w:r>
      <w:r w:rsidR="005A06B9">
        <w:t xml:space="preserve">used to calculate using Mannings equation or derivatives </w:t>
      </w:r>
      <w:r w:rsidRPr="00E2563D">
        <w:t>each work well in certain conditions, but each has limits. The compound pipe weir addresses this tradeoff by fitting inside existing circular conduits and providing staged measurement over a wider range of flow.</w:t>
      </w:r>
    </w:p>
    <w:p w14:paraId="0DE4CFC7" w14:textId="096395C1" w:rsidR="005A06B9" w:rsidRDefault="005A06B9" w:rsidP="00461B72">
      <w:r>
        <w:t xml:space="preserve">In this paper, compound pipe weir refers to a weir plate </w:t>
      </w:r>
      <w:r>
        <w:t>using</w:t>
      </w:r>
      <w:r>
        <w:t xml:space="preserve"> more than one opening shape to create </w:t>
      </w:r>
      <w:r>
        <w:t>multi-</w:t>
      </w:r>
      <w:r>
        <w:t>staged hydraulic control. The lower opening improves sensitivity at shallow depths, while the larger upper opening increases capacity as flow rises.</w:t>
      </w:r>
    </w:p>
    <w:p w14:paraId="6481CCAB" w14:textId="77777777" w:rsidR="00461B72" w:rsidRDefault="00461B72" w:rsidP="00461B72">
      <w:pPr>
        <w:pStyle w:val="Heading2"/>
      </w:pPr>
      <w:r>
        <w:t>2. Hydraulic Theory</w:t>
      </w:r>
    </w:p>
    <w:p w14:paraId="629596A2" w14:textId="77777777" w:rsidR="00461B72" w:rsidRDefault="00461B72" w:rsidP="00461B72">
      <w:r>
        <w:t xml:space="preserve">The Thel-Mar Compound Pipe Weir </w:t>
      </w:r>
      <w:r w:rsidRPr="00DE7A6B">
        <w:t>uses several</w:t>
      </w:r>
      <w:r>
        <w:t xml:space="preserve"> hydraulic control sections arranged vertically </w:t>
      </w:r>
      <w:r w:rsidRPr="00DE7A6B">
        <w:t>in one</w:t>
      </w:r>
      <w:r>
        <w:t xml:space="preserve"> plate. </w:t>
      </w:r>
      <w:r w:rsidRPr="00DE7A6B">
        <w:t>A typical configuration includes a V-notch for low flow and a rectangular section for larger flow. As the water level rises, each section begins contributing to the discharge, increasing the effective flow area while preserving sensitivity at lower depths.</w:t>
      </w:r>
    </w:p>
    <w:p w14:paraId="1FC0AEE1" w14:textId="77777777" w:rsidR="00461B72" w:rsidRDefault="00461B72" w:rsidP="00461B72">
      <w:pPr>
        <w:pStyle w:val="Heading2"/>
      </w:pPr>
      <w:r>
        <w:t>3. Operating Principle</w:t>
      </w:r>
    </w:p>
    <w:p w14:paraId="61A1C8C3" w14:textId="77777777" w:rsidR="008D75A2" w:rsidRDefault="00175860" w:rsidP="002B5916">
      <w:r w:rsidRPr="003E3CF4">
        <w:t xml:space="preserve">At low flow, water passes through the V-notch, where small changes in depth produce measurable changes in discharge. As flow increases, the rectangular portion </w:t>
      </w:r>
      <w:r w:rsidR="00B7646E" w:rsidRPr="00B7646E">
        <w:t>begins to carry</w:t>
      </w:r>
      <w:r w:rsidRPr="003E3CF4">
        <w:t xml:space="preserve"> additional volume. </w:t>
      </w:r>
      <w:r w:rsidR="00B7646E" w:rsidRPr="00B7646E">
        <w:t>Together, these openings create</w:t>
      </w:r>
      <w:r w:rsidRPr="003E3CF4">
        <w:t xml:space="preserve"> a staged rating relationship that supports a broader operating range than a single-opening weir.</w:t>
      </w:r>
    </w:p>
    <w:p w14:paraId="5FB22B3A" w14:textId="77777777" w:rsidR="00461B72" w:rsidRDefault="00461B72" w:rsidP="00461B72">
      <w:pPr>
        <w:pStyle w:val="Heading2"/>
      </w:pPr>
      <w:r>
        <w:t>4. Installation Advantages</w:t>
      </w:r>
    </w:p>
    <w:p w14:paraId="49059AB9" w14:textId="77777777" w:rsidR="008D75A2" w:rsidRDefault="00175860" w:rsidP="00C11C5A">
      <w:r w:rsidRPr="006B133B">
        <w:t xml:space="preserve">The compound pipe weir can be installed in existing </w:t>
      </w:r>
      <w:proofErr w:type="gramStart"/>
      <w:r w:rsidRPr="006B133B">
        <w:t>pipe</w:t>
      </w:r>
      <w:proofErr w:type="gramEnd"/>
      <w:r w:rsidRPr="006B133B">
        <w:t xml:space="preserve"> without </w:t>
      </w:r>
      <w:proofErr w:type="gramStart"/>
      <w:r w:rsidRPr="006B133B">
        <w:t>the channel</w:t>
      </w:r>
      <w:proofErr w:type="gramEnd"/>
      <w:r w:rsidRPr="006B133B">
        <w:t xml:space="preserve"> reconstruction </w:t>
      </w:r>
      <w:r w:rsidR="008D118B" w:rsidRPr="008D118B">
        <w:t xml:space="preserve">often required for </w:t>
      </w:r>
      <w:r w:rsidRPr="006B133B">
        <w:t>flume installations. This makes it useful for retrofit projects, temporary measurements, and locations where excavation or major structural changes are impractical.</w:t>
      </w:r>
    </w:p>
    <w:p w14:paraId="0C6CC9EC" w14:textId="77777777" w:rsidR="00AD67A1" w:rsidRDefault="00AD67A1" w:rsidP="00461B72"/>
    <w:p w14:paraId="6AC4CBE7" w14:textId="77777777" w:rsidR="00461B72" w:rsidRDefault="00461B72" w:rsidP="00461B72">
      <w:pPr>
        <w:pStyle w:val="Heading2"/>
      </w:pPr>
      <w:r>
        <w:lastRenderedPageBreak/>
        <w:t>5. Applications</w:t>
      </w:r>
    </w:p>
    <w:p w14:paraId="32BA40C5" w14:textId="2A1FD4B1" w:rsidR="008D75A2" w:rsidRDefault="00175860" w:rsidP="00A47CCE">
      <w:r w:rsidRPr="00692647">
        <w:t>Typical</w:t>
      </w:r>
      <w:r>
        <w:t xml:space="preserve"> applications include </w:t>
      </w:r>
      <w:r w:rsidR="00AD67A1">
        <w:t xml:space="preserve">impoundment toe drains, </w:t>
      </w:r>
      <w:r>
        <w:t>municipal wastewater collection systems, industrial pretreatment monitoring, agricultural drainage, environmental monitoring, lift stations, combined sewer overflow monitoring, and stormwater systems.</w:t>
      </w:r>
      <w:r w:rsidR="00AD67A1" w:rsidRPr="00AD67A1">
        <w:t xml:space="preserve"> These applications are especially relevant where flows vary widely, low-flow measurement matters, and the monitoring location is an existing pipe rather than a purpose-built channel.</w:t>
      </w:r>
    </w:p>
    <w:p w14:paraId="1E0978E5" w14:textId="77777777" w:rsidR="00461B72" w:rsidRDefault="00461B72" w:rsidP="00461B72">
      <w:pPr>
        <w:pStyle w:val="Heading2"/>
      </w:pPr>
      <w:r>
        <w:t>6. Comparison with Alternative Technologies</w:t>
      </w:r>
    </w:p>
    <w:p w14:paraId="249700E8" w14:textId="7ED53788" w:rsidR="008D75A2" w:rsidRDefault="00175860" w:rsidP="003A4929">
      <w:r w:rsidRPr="00D20821">
        <w:t>Area</w:t>
      </w:r>
      <w:r>
        <w:t xml:space="preserve">-velocity meters, Palmer-Bowlus flumes, Parshall flumes, </w:t>
      </w:r>
      <w:r>
        <w:t>V-notch weirs, and rectangular weirs</w:t>
      </w:r>
      <w:r w:rsidRPr="00D20821">
        <w:t xml:space="preserve"> </w:t>
      </w:r>
      <w:r w:rsidRPr="0095734B">
        <w:t xml:space="preserve">are </w:t>
      </w:r>
      <w:r>
        <w:t xml:space="preserve">most </w:t>
      </w:r>
      <w:r w:rsidRPr="0095734B">
        <w:t xml:space="preserve">useful when </w:t>
      </w:r>
      <w:r w:rsidRPr="00D20821">
        <w:t>site conditions</w:t>
      </w:r>
      <w:r w:rsidRPr="0095734B">
        <w:t xml:space="preserve"> are suitable.</w:t>
      </w:r>
      <w:r w:rsidRPr="00D20821">
        <w:t xml:space="preserve"> The compound pipe weir is </w:t>
      </w:r>
      <w:r w:rsidRPr="0095734B">
        <w:t>best suited for existing pipe installations that need</w:t>
      </w:r>
      <w:r>
        <w:t xml:space="preserve"> low-flow sensitivity,</w:t>
      </w:r>
      <w:r>
        <w:t xml:space="preserve"> mid-range </w:t>
      </w:r>
      <w:r>
        <w:t xml:space="preserve">capacity, </w:t>
      </w:r>
      <w:r w:rsidRPr="00D20821">
        <w:t>compact installation</w:t>
      </w:r>
      <w:r>
        <w:t xml:space="preserve">, and </w:t>
      </w:r>
      <w:r w:rsidR="008D118B">
        <w:t>precise</w:t>
      </w:r>
      <w:r>
        <w:t xml:space="preserve"> hydraulic control</w:t>
      </w:r>
      <w:r>
        <w:t>.</w:t>
      </w:r>
    </w:p>
    <w:p w14:paraId="14FECE13" w14:textId="77777777" w:rsidR="00461B72" w:rsidRDefault="00461B72" w:rsidP="00461B72">
      <w:pPr>
        <w:pStyle w:val="Heading2"/>
      </w:pPr>
      <w:r>
        <w:t>7. Operational Benefits</w:t>
      </w:r>
    </w:p>
    <w:p w14:paraId="0E346FDE" w14:textId="409031F6" w:rsidR="00461B72" w:rsidRDefault="00461B72" w:rsidP="00461B72">
      <w:r w:rsidRPr="005541C3">
        <w:t>Operational advantages</w:t>
      </w:r>
      <w:r>
        <w:t xml:space="preserve"> include improved low-flow </w:t>
      </w:r>
      <w:r w:rsidRPr="005541C3">
        <w:t>readability, straightforward</w:t>
      </w:r>
      <w:r>
        <w:t xml:space="preserve"> maintenance, </w:t>
      </w:r>
      <w:r w:rsidRPr="005541C3">
        <w:t>lower</w:t>
      </w:r>
      <w:r>
        <w:t xml:space="preserve"> installation </w:t>
      </w:r>
      <w:r w:rsidRPr="005541C3">
        <w:t>effort,</w:t>
      </w:r>
      <w:r>
        <w:t xml:space="preserve"> compatibility with level sensors, and </w:t>
      </w:r>
      <w:r w:rsidRPr="005541C3">
        <w:t>repeatable</w:t>
      </w:r>
      <w:r>
        <w:t xml:space="preserve"> rating </w:t>
      </w:r>
      <w:r w:rsidRPr="005541C3">
        <w:t>performance when the device is installed and maintained correctly</w:t>
      </w:r>
      <w:r>
        <w:t>.</w:t>
      </w:r>
      <w:r w:rsidR="008D118B">
        <w:t xml:space="preserve">  With proper installation it is well suited for smart sewer monitoring, </w:t>
      </w:r>
      <w:r w:rsidR="00042595">
        <w:t>real time control, distributed watershed monitoring and for strengthening digital hydraulic modeling.</w:t>
      </w:r>
    </w:p>
    <w:p w14:paraId="7DAA53FD" w14:textId="77777777" w:rsidR="00461B72" w:rsidRDefault="00461B72" w:rsidP="00461B72">
      <w:pPr>
        <w:pStyle w:val="Heading2"/>
      </w:pPr>
      <w:r>
        <w:t>Conclusion</w:t>
      </w:r>
    </w:p>
    <w:p w14:paraId="2D315B8F" w14:textId="77777777" w:rsidR="00AD67A1" w:rsidRDefault="00AD67A1">
      <w:r>
        <w:t>Limitations should also be considered. A compound pipe weir may not be appropriate where surcharge conditions submerge the control, where debris frequently blocks the opening, where sediment accumulation changes the approach section, or where available head is too limited to maintain a stable rating. These conditions should be evaluated before selecting the device for permanent monitoring.</w:t>
      </w:r>
    </w:p>
    <w:p w14:paraId="0A651550" w14:textId="1D5A7207" w:rsidR="00461B72" w:rsidRDefault="00461B72" w:rsidP="00461B72">
      <w:r w:rsidRPr="001E058D">
        <w:t xml:space="preserve">The Thel-Mar Compound Pipe Weir offers a practical way to measure flow in partially full pipe systems where conditions vary widely. Its staged geometry, compact form, and retrofit potential make it </w:t>
      </w:r>
      <w:r w:rsidR="00AD67A1">
        <w:t xml:space="preserve">extremely </w:t>
      </w:r>
      <w:r w:rsidRPr="001E058D">
        <w:t>useful for environmental, municipal, agricultural, and industrial monitoring applications.</w:t>
      </w:r>
    </w:p>
    <w:p w14:paraId="5C0FB896" w14:textId="77777777" w:rsidR="00AD67A1" w:rsidRDefault="00AD67A1" w:rsidP="00461B72"/>
    <w:p w14:paraId="644B1FDF" w14:textId="77777777" w:rsidR="00AD67A1" w:rsidRDefault="00AD67A1" w:rsidP="00461B72"/>
    <w:p w14:paraId="12DF895A" w14:textId="77777777" w:rsidR="00042595" w:rsidRDefault="00042595" w:rsidP="00461B72"/>
    <w:p w14:paraId="62EF500A" w14:textId="19B4E8FE" w:rsidR="00461B72" w:rsidRDefault="00461B72" w:rsidP="00461B72">
      <w:pPr>
        <w:pStyle w:val="Heading2"/>
      </w:pPr>
      <w:r>
        <w:lastRenderedPageBreak/>
        <w:t>References</w:t>
      </w:r>
    </w:p>
    <w:p w14:paraId="75228A5D" w14:textId="77777777" w:rsidR="00D83196" w:rsidRDefault="00D83196" w:rsidP="00D83196">
      <w:pPr>
        <w:pStyle w:val="ListParagraph"/>
        <w:numPr>
          <w:ilvl w:val="0"/>
          <w:numId w:val="1"/>
        </w:numPr>
      </w:pPr>
      <w:r>
        <w:t xml:space="preserve">ASTM International. </w:t>
      </w:r>
      <w:r w:rsidRPr="00D83196">
        <w:rPr>
          <w:i/>
          <w:iCs/>
        </w:rPr>
        <w:t>ASTM D5242-92(2001): Standard Test Method for Open-Channel Flow Measurement of Water with Thin-Plate Weirs</w:t>
      </w:r>
      <w:r>
        <w:t>. ASTM International.</w:t>
      </w:r>
    </w:p>
    <w:p w14:paraId="49230B18" w14:textId="77777777" w:rsidR="00D83196" w:rsidRDefault="00D83196" w:rsidP="00D83196">
      <w:pPr>
        <w:pStyle w:val="ListParagraph"/>
        <w:numPr>
          <w:ilvl w:val="0"/>
          <w:numId w:val="1"/>
        </w:numPr>
      </w:pPr>
      <w:r>
        <w:t xml:space="preserve">Bos, M. G. (1989). </w:t>
      </w:r>
      <w:r w:rsidRPr="00D83196">
        <w:rPr>
          <w:i/>
          <w:iCs/>
        </w:rPr>
        <w:t>Discharge Measurement Structures</w:t>
      </w:r>
      <w:r>
        <w:t>. International Institute for Land Reclamation and Improvement.</w:t>
      </w:r>
    </w:p>
    <w:p w14:paraId="606D748E" w14:textId="77777777" w:rsidR="00D83196" w:rsidRDefault="00D83196" w:rsidP="00D83196">
      <w:pPr>
        <w:pStyle w:val="ListParagraph"/>
        <w:numPr>
          <w:ilvl w:val="0"/>
          <w:numId w:val="1"/>
        </w:numPr>
      </w:pPr>
      <w:r>
        <w:t xml:space="preserve">Chow, V. T. (1959). </w:t>
      </w:r>
      <w:r w:rsidRPr="00D83196">
        <w:rPr>
          <w:i/>
          <w:iCs/>
        </w:rPr>
        <w:t>Open-Channel Hydraulics</w:t>
      </w:r>
      <w:r>
        <w:t>. McGraw-Hill.</w:t>
      </w:r>
    </w:p>
    <w:p w14:paraId="621D4772" w14:textId="77777777" w:rsidR="00D83196" w:rsidRDefault="00D83196" w:rsidP="00D83196">
      <w:pPr>
        <w:pStyle w:val="ListParagraph"/>
        <w:numPr>
          <w:ilvl w:val="0"/>
          <w:numId w:val="1"/>
        </w:numPr>
      </w:pPr>
      <w:r>
        <w:t xml:space="preserve">French, R. H. (1985). </w:t>
      </w:r>
      <w:r w:rsidRPr="00D83196">
        <w:rPr>
          <w:i/>
          <w:iCs/>
        </w:rPr>
        <w:t>Open-Channel Hydraulics</w:t>
      </w:r>
      <w:r>
        <w:t>. McGraw-Hill.</w:t>
      </w:r>
    </w:p>
    <w:p w14:paraId="184AD4C8" w14:textId="77777777" w:rsidR="00D83196" w:rsidRDefault="00D83196" w:rsidP="00D83196">
      <w:pPr>
        <w:pStyle w:val="ListParagraph"/>
        <w:numPr>
          <w:ilvl w:val="0"/>
          <w:numId w:val="1"/>
        </w:numPr>
      </w:pPr>
      <w:r>
        <w:t xml:space="preserve">International Organization for Standardization. (2017). </w:t>
      </w:r>
      <w:r w:rsidRPr="00D83196">
        <w:rPr>
          <w:i/>
          <w:iCs/>
        </w:rPr>
        <w:t>ISO 1438:2017: Hydrometry—Open Channel Flow Measurement Using Thin-Plate Weirs</w:t>
      </w:r>
      <w:r>
        <w:t>. ISO.</w:t>
      </w:r>
    </w:p>
    <w:p w14:paraId="536571C7" w14:textId="6CEC0BE0" w:rsidR="008D75A2" w:rsidRDefault="00D83196" w:rsidP="00D83196">
      <w:pPr>
        <w:pStyle w:val="ListParagraph"/>
        <w:numPr>
          <w:ilvl w:val="0"/>
          <w:numId w:val="1"/>
        </w:numPr>
      </w:pPr>
      <w:r>
        <w:t xml:space="preserve">U.S. Bureau of Reclamation. (2001). </w:t>
      </w:r>
      <w:r w:rsidRPr="00D83196">
        <w:rPr>
          <w:i/>
          <w:iCs/>
        </w:rPr>
        <w:t>Water Measurement Manual: A Guide to Effective Water Measurement Practices for Better Water Management</w:t>
      </w:r>
      <w:r>
        <w:t xml:space="preserve"> (3rd ed., revised reprint). U.S. Department of the Interior, Bureau of Reclamation.</w:t>
      </w:r>
    </w:p>
    <w:sectPr w:rsidR="008D75A2" w:rsidSect="00461B7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C7E51"/>
    <w:multiLevelType w:val="multilevel"/>
    <w:tmpl w:val="6B12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93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B72"/>
    <w:rsid w:val="00042595"/>
    <w:rsid w:val="001124B9"/>
    <w:rsid w:val="00461B72"/>
    <w:rsid w:val="005A06B9"/>
    <w:rsid w:val="00654133"/>
    <w:rsid w:val="008D118B"/>
    <w:rsid w:val="008D75A2"/>
    <w:rsid w:val="0095734B"/>
    <w:rsid w:val="00AD67A1"/>
    <w:rsid w:val="00B7646E"/>
    <w:rsid w:val="00BA6FBF"/>
    <w:rsid w:val="00BB5CD4"/>
    <w:rsid w:val="00D83196"/>
    <w:rsid w:val="00E1544C"/>
    <w:rsid w:val="00F25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E4411"/>
  <w15:chartTrackingRefBased/>
  <w15:docId w15:val="{98BBD7EC-F019-476C-B893-FAB04538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B72"/>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461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1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1B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1B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1B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1B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B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B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B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B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61B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1B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1B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1B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1B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B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B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B72"/>
    <w:rPr>
      <w:rFonts w:eastAsiaTheme="majorEastAsia" w:cstheme="majorBidi"/>
      <w:color w:val="272727" w:themeColor="text1" w:themeTint="D8"/>
    </w:rPr>
  </w:style>
  <w:style w:type="paragraph" w:styleId="Title">
    <w:name w:val="Title"/>
    <w:basedOn w:val="Normal"/>
    <w:next w:val="Normal"/>
    <w:link w:val="TitleChar"/>
    <w:uiPriority w:val="10"/>
    <w:qFormat/>
    <w:rsid w:val="00461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B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B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B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B72"/>
    <w:pPr>
      <w:spacing w:before="160"/>
      <w:jc w:val="center"/>
    </w:pPr>
    <w:rPr>
      <w:i/>
      <w:iCs/>
      <w:color w:val="404040" w:themeColor="text1" w:themeTint="BF"/>
    </w:rPr>
  </w:style>
  <w:style w:type="character" w:customStyle="1" w:styleId="QuoteChar">
    <w:name w:val="Quote Char"/>
    <w:basedOn w:val="DefaultParagraphFont"/>
    <w:link w:val="Quote"/>
    <w:uiPriority w:val="29"/>
    <w:rsid w:val="00461B72"/>
    <w:rPr>
      <w:i/>
      <w:iCs/>
      <w:color w:val="404040" w:themeColor="text1" w:themeTint="BF"/>
    </w:rPr>
  </w:style>
  <w:style w:type="paragraph" w:styleId="ListParagraph">
    <w:name w:val="List Paragraph"/>
    <w:basedOn w:val="Normal"/>
    <w:uiPriority w:val="34"/>
    <w:qFormat/>
    <w:rsid w:val="00461B72"/>
    <w:pPr>
      <w:ind w:left="720"/>
      <w:contextualSpacing/>
    </w:pPr>
  </w:style>
  <w:style w:type="character" w:styleId="IntenseEmphasis">
    <w:name w:val="Intense Emphasis"/>
    <w:basedOn w:val="DefaultParagraphFont"/>
    <w:uiPriority w:val="21"/>
    <w:qFormat/>
    <w:rsid w:val="00461B72"/>
    <w:rPr>
      <w:i/>
      <w:iCs/>
      <w:color w:val="0F4761" w:themeColor="accent1" w:themeShade="BF"/>
    </w:rPr>
  </w:style>
  <w:style w:type="paragraph" w:styleId="IntenseQuote">
    <w:name w:val="Intense Quote"/>
    <w:basedOn w:val="Normal"/>
    <w:next w:val="Normal"/>
    <w:link w:val="IntenseQuoteChar"/>
    <w:uiPriority w:val="30"/>
    <w:qFormat/>
    <w:rsid w:val="00461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1B72"/>
    <w:rPr>
      <w:i/>
      <w:iCs/>
      <w:color w:val="0F4761" w:themeColor="accent1" w:themeShade="BF"/>
    </w:rPr>
  </w:style>
  <w:style w:type="character" w:styleId="IntenseReference">
    <w:name w:val="Intense Reference"/>
    <w:basedOn w:val="DefaultParagraphFont"/>
    <w:uiPriority w:val="32"/>
    <w:qFormat/>
    <w:rsid w:val="00461B72"/>
    <w:rPr>
      <w:b/>
      <w:bCs/>
      <w:smallCaps/>
      <w:color w:val="0F4761" w:themeColor="accent1" w:themeShade="BF"/>
      <w:spacing w:val="5"/>
    </w:rPr>
  </w:style>
  <w:style w:type="character" w:styleId="BookTitle">
    <w:name w:val="Book Title"/>
    <w:basedOn w:val="DefaultParagraphFont"/>
    <w:uiPriority w:val="33"/>
    <w:qFormat/>
    <w:rsid w:val="00BB5CD4"/>
    <w:rPr>
      <w:b/>
      <w:bCs/>
      <w:i/>
      <w:iCs/>
      <w:spacing w:val="5"/>
    </w:rPr>
  </w:style>
  <w:style w:type="paragraph" w:styleId="Caption">
    <w:name w:val="caption"/>
    <w:basedOn w:val="Normal"/>
    <w:next w:val="Normal"/>
    <w:uiPriority w:val="35"/>
    <w:semiHidden/>
    <w:unhideWhenUsed/>
    <w:qFormat/>
    <w:rsid w:val="00BB5CD4"/>
    <w:pPr>
      <w:spacing w:line="240" w:lineRule="auto"/>
    </w:pPr>
    <w:rPr>
      <w:i/>
      <w:iCs/>
      <w:color w:val="0E2841" w:themeColor="text2"/>
      <w:sz w:val="18"/>
      <w:szCs w:val="18"/>
    </w:rPr>
  </w:style>
  <w:style w:type="character" w:styleId="Emphasis">
    <w:name w:val="Emphasis"/>
    <w:basedOn w:val="DefaultParagraphFont"/>
    <w:uiPriority w:val="20"/>
    <w:qFormat/>
    <w:rsid w:val="00BB5CD4"/>
    <w:rPr>
      <w:i/>
      <w:iCs/>
    </w:rPr>
  </w:style>
  <w:style w:type="paragraph" w:styleId="NoSpacing">
    <w:name w:val="No Spacing"/>
    <w:uiPriority w:val="1"/>
    <w:qFormat/>
    <w:rsid w:val="00BB5CD4"/>
    <w:pPr>
      <w:spacing w:after="0" w:line="240" w:lineRule="auto"/>
    </w:pPr>
    <w:rPr>
      <w:rFonts w:eastAsiaTheme="minorEastAsia"/>
      <w:kern w:val="0"/>
      <w:sz w:val="22"/>
      <w:szCs w:val="22"/>
      <w14:ligatures w14:val="none"/>
    </w:rPr>
  </w:style>
  <w:style w:type="character" w:styleId="Strong">
    <w:name w:val="Strong"/>
    <w:basedOn w:val="DefaultParagraphFont"/>
    <w:uiPriority w:val="22"/>
    <w:qFormat/>
    <w:rsid w:val="00BB5CD4"/>
    <w:rPr>
      <w:b/>
      <w:bCs/>
    </w:rPr>
  </w:style>
  <w:style w:type="character" w:styleId="SubtleEmphasis">
    <w:name w:val="Subtle Emphasis"/>
    <w:basedOn w:val="DefaultParagraphFont"/>
    <w:uiPriority w:val="19"/>
    <w:qFormat/>
    <w:rsid w:val="00BB5CD4"/>
    <w:rPr>
      <w:i/>
      <w:iCs/>
      <w:color w:val="404040" w:themeColor="text1" w:themeTint="BF"/>
    </w:rPr>
  </w:style>
  <w:style w:type="character" w:styleId="SubtleReference">
    <w:name w:val="Subtle Reference"/>
    <w:basedOn w:val="DefaultParagraphFont"/>
    <w:uiPriority w:val="31"/>
    <w:qFormat/>
    <w:rsid w:val="00BB5CD4"/>
    <w:rPr>
      <w:smallCaps/>
      <w:color w:val="5A5A5A" w:themeColor="text1" w:themeTint="A5"/>
    </w:rPr>
  </w:style>
  <w:style w:type="paragraph" w:styleId="TOCHeading">
    <w:name w:val="TOC Heading"/>
    <w:basedOn w:val="Heading1"/>
    <w:next w:val="Normal"/>
    <w:uiPriority w:val="39"/>
    <w:semiHidden/>
    <w:unhideWhenUsed/>
    <w:qFormat/>
    <w:rsid w:val="00BB5CD4"/>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2354</TotalTime>
  <Pages>4</Pages>
  <Words>903</Words>
  <Characters>5152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Davis</dc:creator>
  <cp:keywords/>
  <dc:description/>
  <cp:lastModifiedBy>Chris Davis</cp:lastModifiedBy>
  <cp:revision>1</cp:revision>
  <dcterms:created xsi:type="dcterms:W3CDTF">2026-08-08T17:10:00Z</dcterms:created>
  <dcterms:modified xsi:type="dcterms:W3CDTF">2026-08-10T08:24:00Z</dcterms:modified>
</cp:coreProperties>
</file>