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F2CD7" w14:textId="77777777" w:rsidR="006007C3" w:rsidRPr="006007C3" w:rsidRDefault="006007C3">
      <w:pPr>
        <w:rPr>
          <w:rFonts w:ascii="Britannic Bold" w:hAnsi="Britannic Bold"/>
          <w:shd w:val="clear" w:color="auto" w:fill="FFFFFF"/>
        </w:rPr>
      </w:pPr>
    </w:p>
    <w:p w14:paraId="7ABC34CA" w14:textId="52E00FE9" w:rsidR="00781570" w:rsidRPr="006007C3" w:rsidRDefault="006E1200">
      <w:pPr>
        <w:rPr>
          <w:rFonts w:ascii="Britannic Bold" w:hAnsi="Britannic Bold"/>
          <w:shd w:val="clear" w:color="auto" w:fill="FFFFFF"/>
        </w:rPr>
      </w:pPr>
      <w:r w:rsidRPr="006007C3">
        <w:rPr>
          <w:rFonts w:ascii="Britannic Bold" w:hAnsi="Britannic Bold"/>
          <w:shd w:val="clear" w:color="auto" w:fill="FFFFFF"/>
        </w:rPr>
        <w:t xml:space="preserve">In addition, </w:t>
      </w:r>
      <w:r w:rsidR="00781570" w:rsidRPr="006007C3">
        <w:rPr>
          <w:rFonts w:ascii="Britannic Bold" w:hAnsi="Britannic Bold"/>
          <w:shd w:val="clear" w:color="auto" w:fill="FFFFFF"/>
        </w:rPr>
        <w:t>the following services</w:t>
      </w:r>
      <w:r w:rsidRPr="006007C3">
        <w:rPr>
          <w:rFonts w:ascii="Britannic Bold" w:hAnsi="Britannic Bold"/>
          <w:shd w:val="clear" w:color="auto" w:fill="FFFFFF"/>
        </w:rPr>
        <w:t xml:space="preserve"> are also available under the COMP Waiver</w:t>
      </w:r>
      <w:r w:rsidR="00781570" w:rsidRPr="006007C3">
        <w:rPr>
          <w:rFonts w:ascii="Britannic Bold" w:hAnsi="Britannic Bold"/>
          <w:shd w:val="clear" w:color="auto" w:fill="FFFFFF"/>
        </w:rPr>
        <w:t xml:space="preserve"> for those who meet criteria. Services are based upon clinically assessed needs of the individual. </w:t>
      </w:r>
    </w:p>
    <w:p w14:paraId="2989D6D1" w14:textId="464E509B" w:rsidR="00916A62" w:rsidRPr="006E1200" w:rsidRDefault="00916A62">
      <w:pPr>
        <w:rPr>
          <w:b/>
          <w:bCs/>
          <w:sz w:val="20"/>
          <w:szCs w:val="20"/>
          <w:shd w:val="clear" w:color="auto" w:fill="FFFFFF"/>
        </w:rPr>
      </w:pPr>
      <w:r w:rsidRPr="006E1200">
        <w:rPr>
          <w:b/>
          <w:bCs/>
          <w:sz w:val="20"/>
          <w:szCs w:val="20"/>
          <w:u w:val="single"/>
          <w:shd w:val="clear" w:color="auto" w:fill="FFFFFF"/>
        </w:rPr>
        <w:t>Additional Staffing</w:t>
      </w:r>
      <w:r w:rsidR="00172A47" w:rsidRPr="006E1200">
        <w:rPr>
          <w:b/>
          <w:bCs/>
          <w:sz w:val="20"/>
          <w:szCs w:val="20"/>
          <w:shd w:val="clear" w:color="auto" w:fill="FFFFFF"/>
        </w:rPr>
        <w:t>—</w:t>
      </w:r>
      <w:r w:rsidR="00AB411C" w:rsidRPr="006E1200">
        <w:rPr>
          <w:sz w:val="20"/>
          <w:szCs w:val="20"/>
        </w:rPr>
        <w:t xml:space="preserve">Additional Staffing services are provided on behalf of individuals with a high level of functional, </w:t>
      </w:r>
      <w:proofErr w:type="gramStart"/>
      <w:r w:rsidR="00AB411C" w:rsidRPr="006E1200">
        <w:rPr>
          <w:sz w:val="20"/>
          <w:szCs w:val="20"/>
        </w:rPr>
        <w:t>medical</w:t>
      </w:r>
      <w:proofErr w:type="gramEnd"/>
      <w:r w:rsidR="00AB411C" w:rsidRPr="006E1200">
        <w:rPr>
          <w:sz w:val="20"/>
          <w:szCs w:val="20"/>
        </w:rPr>
        <w:t xml:space="preserve"> or behavioral needs who require direct support or oversight beyond the level provided within traditional service descriptions. Clinically indicated additional staffing can be utilized as an enhanced staffing option in conjunction with clinically indicated Community Living Supports Services, Community Access Group, or Community Residential Alternative Services</w:t>
      </w:r>
    </w:p>
    <w:p w14:paraId="216899BF" w14:textId="6F820CBE" w:rsidR="00781570" w:rsidRPr="006E1200" w:rsidRDefault="00781570">
      <w:pPr>
        <w:rPr>
          <w:sz w:val="20"/>
          <w:szCs w:val="20"/>
          <w:shd w:val="clear" w:color="auto" w:fill="FFFFFF"/>
        </w:rPr>
      </w:pPr>
      <w:r w:rsidRPr="006E1200">
        <w:rPr>
          <w:b/>
          <w:bCs/>
          <w:sz w:val="20"/>
          <w:szCs w:val="20"/>
          <w:u w:val="single"/>
          <w:shd w:val="clear" w:color="auto" w:fill="FFFFFF"/>
        </w:rPr>
        <w:t>Adult Nutrition Services</w:t>
      </w:r>
      <w:r w:rsidRPr="006E1200">
        <w:rPr>
          <w:sz w:val="20"/>
          <w:szCs w:val="20"/>
          <w:shd w:val="clear" w:color="auto" w:fill="FFFFFF"/>
        </w:rPr>
        <w:t xml:space="preserve">: </w:t>
      </w:r>
      <w:r w:rsidR="00AB411C" w:rsidRPr="006E1200">
        <w:rPr>
          <w:sz w:val="20"/>
          <w:szCs w:val="20"/>
        </w:rPr>
        <w:t>Adult Nutrition Services include development of diet guidelines consistent with physician’s order, mealtime observation to gather information about typical meal choices and preparation practices, development of sample menus, training and education of the individual, family, and staff in dietary compliance, and other clinically sound interventions judged necessary by the Licensed Dietitian, and not inconsistent with the physician’s order</w:t>
      </w:r>
      <w:r w:rsidRPr="006E1200">
        <w:rPr>
          <w:sz w:val="20"/>
          <w:szCs w:val="20"/>
          <w:shd w:val="clear" w:color="auto" w:fill="FFFFFF"/>
        </w:rPr>
        <w:t xml:space="preserve">. </w:t>
      </w:r>
    </w:p>
    <w:p w14:paraId="5810F4AF" w14:textId="2F904882" w:rsidR="00916A62" w:rsidRPr="006E1200" w:rsidRDefault="00781570">
      <w:pPr>
        <w:rPr>
          <w:sz w:val="20"/>
          <w:szCs w:val="20"/>
          <w:shd w:val="clear" w:color="auto" w:fill="FFFFFF"/>
        </w:rPr>
      </w:pPr>
      <w:r w:rsidRPr="006E1200">
        <w:rPr>
          <w:b/>
          <w:bCs/>
          <w:sz w:val="20"/>
          <w:szCs w:val="20"/>
          <w:u w:val="single"/>
          <w:shd w:val="clear" w:color="auto" w:fill="FFFFFF"/>
        </w:rPr>
        <w:t>Behavior Supports Services</w:t>
      </w:r>
      <w:r w:rsidR="00975AF0" w:rsidRPr="006E1200">
        <w:rPr>
          <w:b/>
          <w:bCs/>
          <w:sz w:val="20"/>
          <w:szCs w:val="20"/>
          <w:u w:val="single"/>
          <w:shd w:val="clear" w:color="auto" w:fill="FFFFFF"/>
        </w:rPr>
        <w:t xml:space="preserve"> Level I and Level 2</w:t>
      </w:r>
      <w:r w:rsidRPr="006E1200">
        <w:rPr>
          <w:sz w:val="20"/>
          <w:szCs w:val="20"/>
          <w:shd w:val="clear" w:color="auto" w:fill="FFFFFF"/>
        </w:rPr>
        <w:t xml:space="preserve">: </w:t>
      </w:r>
      <w:r w:rsidR="004D71A2" w:rsidRPr="006E1200">
        <w:rPr>
          <w:sz w:val="20"/>
          <w:szCs w:val="20"/>
        </w:rPr>
        <w:t xml:space="preserve">Behavior Support Services are a combination of learning based and systemic interventions and strategies to assist the individual with the management of challenging behaviors that interfere with activities of daily living, social interactions, work, or similar situations with the outcome of the individual learning new skills and reducing or replacing problem behaviors. </w:t>
      </w:r>
    </w:p>
    <w:p w14:paraId="54E0293F" w14:textId="21BA00B8" w:rsidR="004D71A2" w:rsidRPr="006E1200" w:rsidRDefault="004D71A2">
      <w:pPr>
        <w:rPr>
          <w:sz w:val="20"/>
          <w:szCs w:val="20"/>
          <w:shd w:val="clear" w:color="auto" w:fill="FFFFFF"/>
        </w:rPr>
      </w:pPr>
      <w:r w:rsidRPr="006E1200">
        <w:rPr>
          <w:b/>
          <w:bCs/>
          <w:sz w:val="20"/>
          <w:szCs w:val="20"/>
          <w:u w:val="single"/>
          <w:shd w:val="clear" w:color="auto" w:fill="FFFFFF"/>
        </w:rPr>
        <w:t>Community Access Services</w:t>
      </w:r>
      <w:r w:rsidR="002D1FA8" w:rsidRPr="006E1200">
        <w:rPr>
          <w:sz w:val="20"/>
          <w:szCs w:val="20"/>
          <w:shd w:val="clear" w:color="auto" w:fill="FFFFFF"/>
        </w:rPr>
        <w:t xml:space="preserve">: </w:t>
      </w:r>
      <w:r w:rsidR="002D1FA8" w:rsidRPr="006E1200">
        <w:rPr>
          <w:sz w:val="20"/>
          <w:szCs w:val="20"/>
        </w:rPr>
        <w:t>Community Access Services has three distinct categories, Community Access Individual, Community Access Participant Directed Activity, and Community Access Group. Community Access services are individually planned to meet the individual’s needs and preferences for active community participation. Community Access services are provided outside the individual’s place of residence. These services can occur during the day, the evenings, and weekends. Services include design of activities and environments for the individual to learn and/or use adaptive skills required for active community participation and independent functioning.</w:t>
      </w:r>
    </w:p>
    <w:p w14:paraId="03BEF495" w14:textId="4A0DDF68" w:rsidR="009F4894" w:rsidRPr="006E1200" w:rsidRDefault="009F4894">
      <w:pPr>
        <w:rPr>
          <w:b/>
          <w:bCs/>
          <w:sz w:val="20"/>
          <w:szCs w:val="20"/>
          <w:shd w:val="clear" w:color="auto" w:fill="FFFFFF"/>
        </w:rPr>
      </w:pPr>
      <w:r w:rsidRPr="006E1200">
        <w:rPr>
          <w:b/>
          <w:bCs/>
          <w:sz w:val="20"/>
          <w:szCs w:val="20"/>
          <w:u w:val="single"/>
          <w:shd w:val="clear" w:color="auto" w:fill="FFFFFF"/>
        </w:rPr>
        <w:t>Interpreter Services</w:t>
      </w:r>
      <w:r w:rsidR="006E1200" w:rsidRPr="006E1200">
        <w:rPr>
          <w:b/>
          <w:bCs/>
          <w:sz w:val="20"/>
          <w:szCs w:val="20"/>
          <w:shd w:val="clear" w:color="auto" w:fill="FFFFFF"/>
        </w:rPr>
        <w:t xml:space="preserve">: </w:t>
      </w:r>
      <w:r w:rsidR="006E1200" w:rsidRPr="006E1200">
        <w:rPr>
          <w:sz w:val="20"/>
          <w:szCs w:val="20"/>
        </w:rPr>
        <w:t>Interpreter Services provide sign language interpretation support services that are not otherwise reimbursed through Medicaid State Plan Services. Interpreter services is intended to facilitate communication to aid in the development of ISPs through informed assessment and full participation in planning by the individual and treatment team members. Interpreter services are also intended to provide training to direct support staff in various community settings including but not limited to CLA, CLS and Community Access.</w:t>
      </w:r>
    </w:p>
    <w:p w14:paraId="1414E976" w14:textId="1AF6C133" w:rsidR="006E1200" w:rsidRDefault="006E1200" w:rsidP="006E1200">
      <w:pPr>
        <w:rPr>
          <w:sz w:val="30"/>
          <w:szCs w:val="30"/>
          <w:shd w:val="clear" w:color="auto" w:fill="FFFFFF"/>
        </w:rPr>
      </w:pPr>
      <w:r w:rsidRPr="006E1200">
        <w:rPr>
          <w:b/>
          <w:bCs/>
          <w:sz w:val="20"/>
          <w:szCs w:val="20"/>
          <w:u w:val="single"/>
          <w:shd w:val="clear" w:color="auto" w:fill="FFFFFF"/>
        </w:rPr>
        <w:t>Intensive Support Coordination</w:t>
      </w:r>
      <w:r w:rsidRPr="006E1200">
        <w:rPr>
          <w:sz w:val="20"/>
          <w:szCs w:val="20"/>
          <w:shd w:val="clear" w:color="auto" w:fill="FFFFFF"/>
        </w:rPr>
        <w:t xml:space="preserve">: </w:t>
      </w:r>
      <w:r w:rsidRPr="006E1200">
        <w:rPr>
          <w:sz w:val="20"/>
          <w:szCs w:val="20"/>
        </w:rPr>
        <w:t>Intensive Support Coordination is a waiver service that includes all of the activities of Case Management Support Coordination but the activities reflect specialized coordination of waiver, medical and behavioral support services on behalf of waiver individuals with exceptional medical and/or behavioral needs. The need for Intensive Support Coordination is determined at initial and annual assessments. Intensive Support Coordinators assist waiver individuals with complex needs through: identifying and addressing barriers to care; accessing needed resources and services offered through the waiver as well as the larger healthcare system;</w:t>
      </w:r>
      <w:r>
        <w:t xml:space="preserve"> taking active measures to address complex needs; and fostering and maintaining family and other informal relationships and support </w:t>
      </w:r>
    </w:p>
    <w:p w14:paraId="034E63EC" w14:textId="237FAF98" w:rsidR="00916A62" w:rsidRDefault="00781570">
      <w:pPr>
        <w:rPr>
          <w:sz w:val="30"/>
          <w:szCs w:val="30"/>
          <w:shd w:val="clear" w:color="auto" w:fill="FFFFFF"/>
        </w:rPr>
      </w:pPr>
      <w:r w:rsidRPr="006E1200">
        <w:rPr>
          <w:b/>
          <w:bCs/>
          <w:sz w:val="20"/>
          <w:szCs w:val="20"/>
          <w:u w:val="single"/>
          <w:shd w:val="clear" w:color="auto" w:fill="FFFFFF"/>
        </w:rPr>
        <w:t>Nursing Services</w:t>
      </w:r>
      <w:r w:rsidRPr="006E1200">
        <w:rPr>
          <w:sz w:val="20"/>
          <w:szCs w:val="20"/>
          <w:shd w:val="clear" w:color="auto" w:fill="FFFFFF"/>
        </w:rPr>
        <w:t>:</w:t>
      </w:r>
      <w:r>
        <w:rPr>
          <w:sz w:val="30"/>
          <w:szCs w:val="30"/>
          <w:shd w:val="clear" w:color="auto" w:fill="FFFFFF"/>
        </w:rPr>
        <w:t xml:space="preserve"> </w:t>
      </w:r>
      <w:r w:rsidR="006E1200">
        <w:rPr>
          <w:shd w:val="clear" w:color="auto" w:fill="FFFFFF"/>
        </w:rPr>
        <w:t>Are</w:t>
      </w:r>
      <w:r w:rsidRPr="006E1200">
        <w:rPr>
          <w:shd w:val="clear" w:color="auto" w:fill="FFFFFF"/>
        </w:rPr>
        <w:t xml:space="preserve"> for individuals above the age of 21 who need skilled nursing care.</w:t>
      </w:r>
      <w:r>
        <w:rPr>
          <w:sz w:val="30"/>
          <w:szCs w:val="30"/>
          <w:shd w:val="clear" w:color="auto" w:fill="FFFFFF"/>
        </w:rPr>
        <w:t xml:space="preserve"> </w:t>
      </w:r>
      <w:r w:rsidR="006E1200">
        <w:t>Nursing care is the assessment and treatment of human responses to actual or potential health problems as identified through the nursing process. Thusly, nursing services are the provision of this level of care via the process of assessment, assignment of nursing diagnosis, planning, implementation/intervention and continued evaluations directed by the Georgia Nurse Practice Act and generally accepted standards of practice.</w:t>
      </w:r>
      <w:r>
        <w:rPr>
          <w:sz w:val="30"/>
          <w:szCs w:val="30"/>
          <w:shd w:val="clear" w:color="auto" w:fill="FFFFFF"/>
        </w:rPr>
        <w:t xml:space="preserve"> </w:t>
      </w:r>
    </w:p>
    <w:p w14:paraId="2C22A14A" w14:textId="74352F76" w:rsidR="00781570" w:rsidRDefault="00781570"/>
    <w:sectPr w:rsidR="00781570" w:rsidSect="001F7A5D">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8F4A9" w14:textId="77777777" w:rsidR="00050CB2" w:rsidRDefault="00050CB2" w:rsidP="001F7A5D">
      <w:pPr>
        <w:spacing w:after="0" w:line="240" w:lineRule="auto"/>
      </w:pPr>
      <w:r>
        <w:separator/>
      </w:r>
    </w:p>
  </w:endnote>
  <w:endnote w:type="continuationSeparator" w:id="0">
    <w:p w14:paraId="346853C0" w14:textId="77777777" w:rsidR="00050CB2" w:rsidRDefault="00050CB2" w:rsidP="001F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C3BE8" w14:textId="77777777" w:rsidR="001F7A5D" w:rsidRDefault="001F7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C9AAB" w14:textId="77777777" w:rsidR="001F7A5D" w:rsidRDefault="001F7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2D79" w14:textId="77777777" w:rsidR="001F7A5D" w:rsidRDefault="001F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A1F10" w14:textId="77777777" w:rsidR="00050CB2" w:rsidRDefault="00050CB2" w:rsidP="001F7A5D">
      <w:pPr>
        <w:spacing w:after="0" w:line="240" w:lineRule="auto"/>
      </w:pPr>
      <w:r>
        <w:separator/>
      </w:r>
    </w:p>
  </w:footnote>
  <w:footnote w:type="continuationSeparator" w:id="0">
    <w:p w14:paraId="5BFC6E88" w14:textId="77777777" w:rsidR="00050CB2" w:rsidRDefault="00050CB2" w:rsidP="001F7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AE462" w14:textId="77777777" w:rsidR="001F7A5D" w:rsidRDefault="001F7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CE40A" w14:textId="5BD0ABB3" w:rsidR="001F7A5D" w:rsidRDefault="001F7A5D">
    <w:pPr>
      <w:pStyle w:val="Header"/>
    </w:pPr>
    <w:r w:rsidRPr="00653C94">
      <w:rPr>
        <w:rFonts w:ascii="inherit" w:eastAsia="Times New Roman" w:hAnsi="inherit" w:cs="Times New Roman"/>
        <w:noProof/>
        <w:color w:val="003366"/>
        <w:bdr w:val="none" w:sz="0" w:space="0" w:color="auto" w:frame="1"/>
      </w:rPr>
      <w:drawing>
        <wp:inline distT="0" distB="0" distL="0" distR="0" wp14:anchorId="6F57D95A" wp14:editId="047CAE60">
          <wp:extent cx="962025" cy="702945"/>
          <wp:effectExtent l="0" t="0" r="0" b="1905"/>
          <wp:docPr id="1" name="logo" descr="DBHDD Logo">
            <a:hlinkClick xmlns:a="http://schemas.openxmlformats.org/drawingml/2006/main" r:id="rId1" tooltip="&quot;Georgia Department of Behavioral Health and Developmental Disabilit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BHDD Logo">
                    <a:hlinkClick r:id="rId1" tooltip="&quot;Georgia Department of Behavioral Health and Developmental Disabilities&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6971" cy="71386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B460" w14:textId="77777777" w:rsidR="001F7A5D" w:rsidRDefault="001F7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70"/>
    <w:rsid w:val="00050CB2"/>
    <w:rsid w:val="000B55C1"/>
    <w:rsid w:val="00172A47"/>
    <w:rsid w:val="00184CD6"/>
    <w:rsid w:val="001F7A5D"/>
    <w:rsid w:val="002D1FA8"/>
    <w:rsid w:val="00332BFB"/>
    <w:rsid w:val="004D71A2"/>
    <w:rsid w:val="006007C3"/>
    <w:rsid w:val="00636D92"/>
    <w:rsid w:val="006E1200"/>
    <w:rsid w:val="00781570"/>
    <w:rsid w:val="00916A62"/>
    <w:rsid w:val="00975AF0"/>
    <w:rsid w:val="009F4894"/>
    <w:rsid w:val="00AB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157F6"/>
  <w15:chartTrackingRefBased/>
  <w15:docId w15:val="{E957C727-E1AB-4170-964F-7AF60321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A5D"/>
  </w:style>
  <w:style w:type="paragraph" w:styleId="Footer">
    <w:name w:val="footer"/>
    <w:basedOn w:val="Normal"/>
    <w:link w:val="FooterChar"/>
    <w:uiPriority w:val="99"/>
    <w:unhideWhenUsed/>
    <w:rsid w:val="001F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bhdd.georg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Valona</dc:creator>
  <cp:keywords/>
  <dc:description/>
  <cp:lastModifiedBy>Baldwin, Valona</cp:lastModifiedBy>
  <cp:revision>2</cp:revision>
  <dcterms:created xsi:type="dcterms:W3CDTF">2021-02-05T21:31:00Z</dcterms:created>
  <dcterms:modified xsi:type="dcterms:W3CDTF">2021-02-05T21:31:00Z</dcterms:modified>
</cp:coreProperties>
</file>