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2F5116C6" w14:textId="041A089E" w:rsidR="00257E12" w:rsidRDefault="00257E12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715F0F">
        <w:rPr>
          <w:rFonts w:ascii="Arial" w:hAnsi="Arial" w:cs="Arial"/>
          <w:bCs/>
          <w:color w:val="FF0000"/>
          <w:sz w:val="22"/>
          <w:szCs w:val="22"/>
        </w:rPr>
        <w:t>OR the childminder agency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………………………………………………………………………………………...</w:t>
      </w:r>
    </w:p>
    <w:p w14:paraId="517351A7" w14:textId="3ED0661D" w:rsidR="00257E12" w:rsidRPr="00F024CC" w:rsidRDefault="00257E12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……………………………………………………………………………………………………………………….………………………………………………………………………………………………………………………...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000000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="008F488E"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 w:rsidR="008F488E"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2491" w14:textId="77777777" w:rsidR="009058F9" w:rsidRDefault="009058F9" w:rsidP="00202701">
      <w:r>
        <w:separator/>
      </w:r>
    </w:p>
  </w:endnote>
  <w:endnote w:type="continuationSeparator" w:id="0">
    <w:p w14:paraId="7818DCC4" w14:textId="77777777" w:rsidR="009058F9" w:rsidRDefault="009058F9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2025/26</w:t>
    </w:r>
    <w:r w:rsidRPr="46695385">
      <w:rPr>
        <w:rFonts w:ascii="Arial" w:hAnsi="Arial" w:cs="Arial"/>
        <w:i/>
        <w:iCs/>
        <w:sz w:val="20"/>
        <w:szCs w:val="20"/>
      </w:rPr>
      <w:t xml:space="preserve"> (Early Years Alliance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</w:t>
    </w:r>
    <w:r w:rsidRPr="46695385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4816" w14:textId="77777777" w:rsidR="009058F9" w:rsidRDefault="009058F9" w:rsidP="00202701">
      <w:r>
        <w:separator/>
      </w:r>
    </w:p>
  </w:footnote>
  <w:footnote w:type="continuationSeparator" w:id="0">
    <w:p w14:paraId="158401E2" w14:textId="77777777" w:rsidR="009058F9" w:rsidRDefault="009058F9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279FE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2BB2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58F9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2280D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4053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2011-08-21T11:18:00Z</cp:lastPrinted>
  <dcterms:created xsi:type="dcterms:W3CDTF">2025-12-03T10:53:00Z</dcterms:created>
  <dcterms:modified xsi:type="dcterms:W3CDTF">2025-12-03T10:53:00Z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