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1AE2E8A4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Pr="0049232B">
        <w:rPr>
          <w:b w:val="0"/>
          <w:i/>
          <w:iCs/>
          <w:sz w:val="22"/>
          <w:szCs w:val="22"/>
        </w:rPr>
        <w:t>[insert name of provision]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>
        <w:rPr>
          <w:b w:val="0"/>
          <w:sz w:val="22"/>
          <w:szCs w:val="22"/>
        </w:rPr>
        <w:t>.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2E3B7E21" w:rsidR="009D08F3" w:rsidRDefault="000A35A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Busy Lizzie’s Montessori</w:t>
      </w:r>
      <w:r w:rsidR="11A9196A" w:rsidRPr="398EF1FB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FA12" w14:textId="77777777" w:rsidR="00307826" w:rsidRDefault="00307826" w:rsidP="00E07382">
      <w:r>
        <w:separator/>
      </w:r>
    </w:p>
  </w:endnote>
  <w:endnote w:type="continuationSeparator" w:id="0">
    <w:p w14:paraId="594BE9C1" w14:textId="77777777" w:rsidR="00307826" w:rsidRDefault="00307826" w:rsidP="00E07382">
      <w:r>
        <w:continuationSeparator/>
      </w:r>
    </w:p>
  </w:endnote>
  <w:endnote w:type="continuationNotice" w:id="1">
    <w:p w14:paraId="2AE78811" w14:textId="77777777" w:rsidR="00307826" w:rsidRDefault="00307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535EBFDB">
      <w:rPr>
        <w:rFonts w:ascii="Arial" w:hAnsi="Arial" w:cs="Arial"/>
        <w:i/>
        <w:iCs/>
        <w:color w:val="FF0000"/>
        <w:sz w:val="20"/>
        <w:szCs w:val="20"/>
      </w:rPr>
      <w:t>2025/26</w:t>
    </w:r>
    <w:r w:rsidRPr="535EBFDB">
      <w:rPr>
        <w:rFonts w:ascii="Arial" w:hAnsi="Arial" w:cs="Arial"/>
        <w:i/>
        <w:iCs/>
        <w:sz w:val="20"/>
        <w:szCs w:val="20"/>
      </w:rPr>
      <w:t> (Early Years Alliance</w:t>
    </w:r>
    <w:r w:rsidRPr="535EBFDB">
      <w:rPr>
        <w:rFonts w:ascii="Arial" w:hAnsi="Arial" w:cs="Arial"/>
        <w:i/>
        <w:iCs/>
        <w:color w:val="FF0000"/>
        <w:sz w:val="20"/>
        <w:szCs w:val="20"/>
      </w:rPr>
      <w:t xml:space="preserve"> 2025</w:t>
    </w:r>
    <w:r w:rsidRPr="535EBFDB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CF07" w14:textId="77777777" w:rsidR="00307826" w:rsidRDefault="00307826" w:rsidP="00E07382">
      <w:r>
        <w:separator/>
      </w:r>
    </w:p>
  </w:footnote>
  <w:footnote w:type="continuationSeparator" w:id="0">
    <w:p w14:paraId="7812B761" w14:textId="77777777" w:rsidR="00307826" w:rsidRDefault="00307826" w:rsidP="00E07382">
      <w:r>
        <w:continuationSeparator/>
      </w:r>
    </w:p>
  </w:footnote>
  <w:footnote w:type="continuationNotice" w:id="1">
    <w:p w14:paraId="285016AF" w14:textId="77777777" w:rsidR="00307826" w:rsidRDefault="00307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35A4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07826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E8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1674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2011-11-21T12:20:00Z</cp:lastPrinted>
  <dcterms:created xsi:type="dcterms:W3CDTF">2025-12-03T10:46:00Z</dcterms:created>
  <dcterms:modified xsi:type="dcterms:W3CDTF">2025-12-03T10:46:00Z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