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49CC2" w14:textId="77777777" w:rsidR="00882337" w:rsidRDefault="00633B09" w:rsidP="00633B09">
      <w:pPr>
        <w:rPr>
          <w:rFonts w:ascii="Arial" w:hAnsi="Arial" w:cs="Arial"/>
        </w:rPr>
      </w:pPr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</w:t>
      </w:r>
      <w:r>
        <w:rPr>
          <w:rFonts w:ascii="Arial" w:hAnsi="Arial" w:cs="Arial"/>
        </w:rPr>
        <w:t> </w:t>
      </w:r>
      <w:r>
        <w:t>—</w:t>
      </w:r>
      <w:r>
        <w:rPr>
          <w:rFonts w:ascii="Arial" w:hAnsi="Arial" w:cs="Arial"/>
        </w:rPr>
        <w:t> </w:t>
      </w:r>
      <w:r>
        <w:t>ANNUAL</w:t>
      </w:r>
      <w:r>
        <w:rPr>
          <w:rFonts w:ascii="Arial" w:hAnsi="Arial" w:cs="Arial"/>
        </w:rPr>
        <w:t> </w:t>
      </w:r>
    </w:p>
    <w:p w14:paraId="24E73CE2" w14:textId="47A31EEA" w:rsidR="00633B09" w:rsidRDefault="00633B09" w:rsidP="00633B09">
      <w:r>
        <w:t>COMPLIANCE</w:t>
      </w:r>
      <w:r>
        <w:rPr>
          <w:rFonts w:ascii="Arial" w:hAnsi="Arial" w:cs="Arial"/>
        </w:rPr>
        <w:t> </w:t>
      </w:r>
      <w:r>
        <w:t>REVIEW</w:t>
      </w:r>
      <w:r>
        <w:rPr>
          <w:rFonts w:ascii="Arial" w:hAnsi="Arial" w:cs="Arial"/>
        </w:rPr>
        <w:t> </w:t>
      </w:r>
      <w:r>
        <w:t>NOTICE</w:t>
      </w:r>
    </w:p>
    <w:p w14:paraId="56176C0A" w14:textId="77777777" w:rsidR="00633B09" w:rsidRDefault="00633B09" w:rsidP="00633B09"/>
    <w:p w14:paraId="5B988F7A" w14:textId="77777777" w:rsidR="00633B09" w:rsidRDefault="00633B09" w:rsidP="00633B09">
      <w:r>
        <w:t>Effective</w:t>
      </w:r>
      <w:r>
        <w:rPr>
          <w:rFonts w:ascii="Arial" w:hAnsi="Arial" w:cs="Arial"/>
        </w:rPr>
        <w:t> </w:t>
      </w:r>
      <w:r>
        <w:t>Date: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2026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Last</w:t>
      </w:r>
      <w:r>
        <w:rPr>
          <w:rFonts w:ascii="Arial" w:hAnsi="Arial" w:cs="Arial"/>
        </w:rPr>
        <w:t> </w:t>
      </w:r>
      <w:r>
        <w:t>Updated: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2026</w:t>
      </w:r>
    </w:p>
    <w:p w14:paraId="06C51EFB" w14:textId="77777777" w:rsidR="00633B09" w:rsidRDefault="00633B09" w:rsidP="00633B09"/>
    <w:p w14:paraId="534226A0" w14:textId="77777777" w:rsidR="00633B09" w:rsidRDefault="00633B09" w:rsidP="00633B09">
      <w:r>
        <w:t>---</w:t>
      </w:r>
    </w:p>
    <w:p w14:paraId="2BD09EBE" w14:textId="77777777" w:rsidR="00633B09" w:rsidRDefault="00633B09" w:rsidP="00633B09"/>
    <w:p w14:paraId="7D66B7F6" w14:textId="77777777" w:rsidR="00633B09" w:rsidRDefault="00633B09" w:rsidP="00633B09">
      <w:r>
        <w:t>Purpose</w:t>
      </w:r>
    </w:p>
    <w:p w14:paraId="68AC4982" w14:textId="77777777" w:rsidR="00633B09" w:rsidRDefault="00633B09" w:rsidP="00633B09"/>
    <w:p w14:paraId="348CE4B5" w14:textId="77777777" w:rsidR="00633B09" w:rsidRDefault="00633B09" w:rsidP="00633B09"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</w:t>
      </w:r>
      <w:r>
        <w:rPr>
          <w:rFonts w:ascii="Arial" w:hAnsi="Arial" w:cs="Arial"/>
        </w:rPr>
        <w:t> </w:t>
      </w:r>
      <w:r>
        <w:t>(d/b/a</w:t>
      </w:r>
      <w:r>
        <w:rPr>
          <w:rFonts w:ascii="Arial" w:hAnsi="Arial" w:cs="Arial"/>
        </w:rPr>
        <w:t> </w:t>
      </w:r>
      <w:r>
        <w:t>RWG</w:t>
      </w:r>
      <w:r>
        <w:rPr>
          <w:rFonts w:ascii="Arial" w:hAnsi="Arial" w:cs="Arial"/>
        </w:rPr>
        <w:t> </w:t>
      </w:r>
      <w:r>
        <w:t>Studio) conducts an annual compliance review each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to ensure continued adherence to all applicable federal, state, and platform</w:t>
      </w:r>
      <w:r>
        <w:rPr>
          <w:rFonts w:ascii="Cambria Math" w:hAnsi="Cambria Math" w:cs="Cambria Math"/>
        </w:rPr>
        <w:t>‑</w:t>
      </w:r>
      <w:r>
        <w:t>specific regulations governing digital media operations.</w:t>
      </w:r>
    </w:p>
    <w:p w14:paraId="1C2EBD7C" w14:textId="77777777" w:rsidR="00633B09" w:rsidRDefault="00633B09" w:rsidP="00633B09">
      <w:r>
        <w:t>This review covers privacy, advertising, accessibility, copyright, and consumer</w:t>
      </w:r>
      <w:r>
        <w:rPr>
          <w:rFonts w:ascii="Cambria Math" w:hAnsi="Cambria Math" w:cs="Cambria Math"/>
        </w:rPr>
        <w:t>‑</w:t>
      </w:r>
      <w:r>
        <w:t>protection standards.</w:t>
      </w:r>
    </w:p>
    <w:p w14:paraId="48280DB2" w14:textId="77777777" w:rsidR="00633B09" w:rsidRDefault="00633B09" w:rsidP="00633B09"/>
    <w:p w14:paraId="43A242BA" w14:textId="77777777" w:rsidR="00633B09" w:rsidRDefault="00633B09" w:rsidP="00633B09">
      <w:r>
        <w:t>---</w:t>
      </w:r>
    </w:p>
    <w:p w14:paraId="42E6A3F9" w14:textId="77777777" w:rsidR="00633B09" w:rsidRDefault="00633B09" w:rsidP="00633B09"/>
    <w:p w14:paraId="252D6F76" w14:textId="77777777" w:rsidR="00633B09" w:rsidRDefault="00633B09" w:rsidP="00633B09">
      <w:r>
        <w:t>Scope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Review</w:t>
      </w:r>
    </w:p>
    <w:p w14:paraId="5B19B9D6" w14:textId="77777777" w:rsidR="00633B09" w:rsidRDefault="00633B09" w:rsidP="00633B09"/>
    <w:p w14:paraId="04FB3AE3" w14:textId="77777777" w:rsidR="00633B09" w:rsidRDefault="00633B09" w:rsidP="00633B09">
      <w:r>
        <w:t>Each year, RWG</w:t>
      </w:r>
      <w:r>
        <w:rPr>
          <w:rFonts w:ascii="Arial" w:hAnsi="Arial" w:cs="Arial"/>
        </w:rPr>
        <w:t> </w:t>
      </w:r>
      <w:r>
        <w:t>Studio evaluates and updates the following policies and procedures:</w:t>
      </w:r>
    </w:p>
    <w:p w14:paraId="350EB869" w14:textId="77777777" w:rsidR="00633B09" w:rsidRDefault="00633B09" w:rsidP="00633B09"/>
    <w:p w14:paraId="10C5527D" w14:textId="77777777" w:rsidR="00633B09" w:rsidRDefault="00633B09" w:rsidP="00633B09">
      <w:r>
        <w:t>Compliance</w:t>
      </w:r>
      <w:r>
        <w:rPr>
          <w:rFonts w:ascii="Arial" w:hAnsi="Arial" w:cs="Arial"/>
        </w:rPr>
        <w:t> </w:t>
      </w:r>
      <w:r>
        <w:t>Area</w:t>
      </w:r>
      <w:r>
        <w:tab/>
        <w:t>Reviewed</w:t>
      </w:r>
      <w:r>
        <w:rPr>
          <w:rFonts w:ascii="Arial" w:hAnsi="Arial" w:cs="Arial"/>
        </w:rPr>
        <w:t> </w:t>
      </w:r>
      <w:r>
        <w:t>Documents</w:t>
      </w:r>
      <w:r>
        <w:tab/>
        <w:t>Responsible</w:t>
      </w:r>
      <w:r>
        <w:rPr>
          <w:rFonts w:ascii="Arial" w:hAnsi="Arial" w:cs="Arial"/>
        </w:rPr>
        <w:t> </w:t>
      </w:r>
      <w:r>
        <w:t>Party</w:t>
      </w:r>
      <w:r>
        <w:tab/>
      </w:r>
    </w:p>
    <w:p w14:paraId="7CFA3DAE" w14:textId="77777777" w:rsidR="00633B09" w:rsidRDefault="00633B09" w:rsidP="00633B09">
      <w:r>
        <w:t>Privacy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Data</w:t>
      </w:r>
      <w:r>
        <w:rPr>
          <w:rFonts w:ascii="Arial" w:hAnsi="Arial" w:cs="Arial"/>
        </w:rPr>
        <w:t> </w:t>
      </w:r>
      <w:r>
        <w:t>Protection</w:t>
      </w:r>
      <w:r>
        <w:tab/>
        <w:t>Website</w:t>
      </w:r>
      <w:r>
        <w:rPr>
          <w:rFonts w:ascii="Arial" w:hAnsi="Arial" w:cs="Arial"/>
        </w:rPr>
        <w:t> </w:t>
      </w:r>
      <w:r>
        <w:t>Privacy</w:t>
      </w:r>
      <w:r>
        <w:rPr>
          <w:rFonts w:ascii="Arial" w:hAnsi="Arial" w:cs="Arial"/>
        </w:rPr>
        <w:t> </w:t>
      </w:r>
      <w:r>
        <w:t>Policy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Cookie</w:t>
      </w:r>
      <w:r>
        <w:rPr>
          <w:rFonts w:ascii="Arial" w:hAnsi="Arial" w:cs="Arial"/>
        </w:rPr>
        <w:t> </w:t>
      </w:r>
      <w:r>
        <w:t>Policy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GDPR</w:t>
      </w:r>
      <w:r>
        <w:rPr>
          <w:rFonts w:ascii="Arial" w:hAnsi="Arial" w:cs="Arial"/>
        </w:rPr>
        <w:t> </w:t>
      </w:r>
      <w:r>
        <w:t>Statement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271D25DD" w14:textId="77777777" w:rsidR="00633B09" w:rsidRDefault="00633B09" w:rsidP="00633B09">
      <w:r>
        <w:t>Advertising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Disclosure</w:t>
      </w:r>
      <w:r>
        <w:tab/>
        <w:t>FTC</w:t>
      </w:r>
      <w:r>
        <w:rPr>
          <w:rFonts w:ascii="Arial" w:hAnsi="Arial" w:cs="Arial"/>
        </w:rPr>
        <w:t> </w:t>
      </w:r>
      <w:r>
        <w:t>Disclosure</w:t>
      </w:r>
      <w:r>
        <w:rPr>
          <w:rFonts w:ascii="Arial" w:hAnsi="Arial" w:cs="Arial"/>
        </w:rPr>
        <w:t> </w:t>
      </w:r>
      <w:r>
        <w:t>Policy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Sponsorship</w:t>
      </w:r>
      <w:r>
        <w:rPr>
          <w:rFonts w:ascii="Arial" w:hAnsi="Arial" w:cs="Arial"/>
        </w:rPr>
        <w:t> </w:t>
      </w:r>
      <w:r>
        <w:t>Records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2442471C" w14:textId="77777777" w:rsidR="00633B09" w:rsidRDefault="00633B09" w:rsidP="00633B09">
      <w:r>
        <w:t>Copyright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Intellectual</w:t>
      </w:r>
      <w:r>
        <w:rPr>
          <w:rFonts w:ascii="Arial" w:hAnsi="Arial" w:cs="Arial"/>
        </w:rPr>
        <w:t> </w:t>
      </w:r>
      <w:r>
        <w:t>Property</w:t>
      </w:r>
      <w:r>
        <w:tab/>
        <w:t>DMCA</w:t>
      </w:r>
      <w:r>
        <w:rPr>
          <w:rFonts w:ascii="Arial" w:hAnsi="Arial" w:cs="Arial"/>
        </w:rPr>
        <w:t> </w:t>
      </w:r>
      <w:r>
        <w:t>Safe</w:t>
      </w:r>
      <w:r>
        <w:rPr>
          <w:rFonts w:ascii="Arial" w:hAnsi="Arial" w:cs="Arial"/>
        </w:rPr>
        <w:t> </w:t>
      </w:r>
      <w:r>
        <w:t>Harbor</w:t>
      </w:r>
      <w:r>
        <w:rPr>
          <w:rFonts w:ascii="Arial" w:hAnsi="Arial" w:cs="Arial"/>
        </w:rPr>
        <w:t> </w:t>
      </w:r>
      <w:r>
        <w:t>Notice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Content</w:t>
      </w:r>
      <w:r>
        <w:rPr>
          <w:rFonts w:ascii="Arial" w:hAnsi="Arial" w:cs="Arial"/>
        </w:rPr>
        <w:t> </w:t>
      </w:r>
      <w:r>
        <w:t>Archive</w:t>
      </w:r>
      <w:r>
        <w:rPr>
          <w:rFonts w:ascii="Arial" w:hAnsi="Arial" w:cs="Arial"/>
        </w:rPr>
        <w:t> </w:t>
      </w:r>
      <w:r>
        <w:t>Policy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1DAEBD03" w14:textId="77777777" w:rsidR="00633B09" w:rsidRDefault="00633B09" w:rsidP="00633B09">
      <w:r>
        <w:lastRenderedPageBreak/>
        <w:t>Accessibility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ADA</w:t>
      </w:r>
      <w:r>
        <w:rPr>
          <w:rFonts w:ascii="Arial" w:hAnsi="Arial" w:cs="Arial"/>
        </w:rPr>
        <w:t> </w:t>
      </w:r>
      <w:r>
        <w:t>Compliance</w:t>
      </w:r>
      <w:r>
        <w:tab/>
        <w:t>Accessibility</w:t>
      </w:r>
      <w:r>
        <w:rPr>
          <w:rFonts w:ascii="Arial" w:hAnsi="Arial" w:cs="Arial"/>
        </w:rPr>
        <w:t> </w:t>
      </w:r>
      <w:r>
        <w:t>Statement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Website</w:t>
      </w:r>
      <w:r>
        <w:rPr>
          <w:rFonts w:ascii="Arial" w:hAnsi="Arial" w:cs="Arial"/>
        </w:rPr>
        <w:t> </w:t>
      </w:r>
      <w:r>
        <w:t>Audit</w:t>
      </w:r>
      <w:r>
        <w:rPr>
          <w:rFonts w:ascii="Arial" w:hAnsi="Arial" w:cs="Arial"/>
        </w:rPr>
        <w:t> </w:t>
      </w:r>
      <w:r>
        <w:t>Checklist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5395ECA3" w14:textId="77777777" w:rsidR="00633B09" w:rsidRDefault="00633B09" w:rsidP="00633B09">
      <w:r>
        <w:t>Consumer</w:t>
      </w:r>
      <w:r>
        <w:rPr>
          <w:rFonts w:ascii="Arial" w:hAnsi="Arial" w:cs="Arial"/>
        </w:rPr>
        <w:t> </w:t>
      </w:r>
      <w:r>
        <w:t>Protection</w:t>
      </w:r>
      <w:r>
        <w:tab/>
        <w:t>Refund</w:t>
      </w:r>
      <w:r>
        <w:rPr>
          <w:rFonts w:ascii="Arial" w:hAnsi="Arial" w:cs="Arial"/>
        </w:rPr>
        <w:t> </w:t>
      </w:r>
      <w:r>
        <w:t>Policy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Terms</w:t>
      </w:r>
      <w:r>
        <w:rPr>
          <w:rFonts w:ascii="Arial" w:hAnsi="Arial" w:cs="Arial"/>
        </w:rPr>
        <w:t> </w:t>
      </w:r>
      <w:r>
        <w:t>of</w:t>
      </w:r>
      <w:r>
        <w:rPr>
          <w:rFonts w:ascii="Arial" w:hAnsi="Arial" w:cs="Arial"/>
        </w:rPr>
        <w:t> </w:t>
      </w:r>
      <w:r>
        <w:t>Service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39A40D2B" w14:textId="77777777" w:rsidR="00633B09" w:rsidRDefault="00633B09" w:rsidP="00633B09">
      <w:r>
        <w:t>Security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Incident</w:t>
      </w:r>
      <w:r>
        <w:rPr>
          <w:rFonts w:ascii="Arial" w:hAnsi="Arial" w:cs="Arial"/>
        </w:rPr>
        <w:t> </w:t>
      </w:r>
      <w:r>
        <w:t>Response</w:t>
      </w:r>
      <w:r>
        <w:tab/>
        <w:t>Security</w:t>
      </w:r>
      <w:r>
        <w:rPr>
          <w:rFonts w:ascii="Arial" w:hAnsi="Arial" w:cs="Arial"/>
        </w:rPr>
        <w:t> </w:t>
      </w:r>
      <w:r>
        <w:t>Response</w:t>
      </w:r>
      <w:r>
        <w:rPr>
          <w:rFonts w:ascii="Arial" w:hAnsi="Arial" w:cs="Arial"/>
        </w:rPr>
        <w:t> </w:t>
      </w:r>
      <w:r>
        <w:t>Statement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Crisis</w:t>
      </w:r>
      <w:r>
        <w:rPr>
          <w:rFonts w:ascii="Arial" w:hAnsi="Arial" w:cs="Arial"/>
        </w:rPr>
        <w:t> </w:t>
      </w:r>
      <w:r>
        <w:t>Plan</w:t>
      </w:r>
      <w:r>
        <w:tab/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tab/>
      </w:r>
    </w:p>
    <w:p w14:paraId="659A104C" w14:textId="77777777" w:rsidR="00633B09" w:rsidRDefault="00633B09" w:rsidP="00633B09"/>
    <w:p w14:paraId="6270201B" w14:textId="77777777" w:rsidR="00633B09" w:rsidRDefault="00633B09" w:rsidP="00633B09"/>
    <w:p w14:paraId="028C8640" w14:textId="77777777" w:rsidR="00633B09" w:rsidRDefault="00633B09" w:rsidP="00633B09">
      <w:r>
        <w:t>---</w:t>
      </w:r>
    </w:p>
    <w:p w14:paraId="640701F1" w14:textId="77777777" w:rsidR="00633B09" w:rsidRDefault="00633B09" w:rsidP="00633B09"/>
    <w:p w14:paraId="7BE25956" w14:textId="77777777" w:rsidR="00633B09" w:rsidRDefault="00633B09" w:rsidP="00633B09">
      <w:r>
        <w:t>Review</w:t>
      </w:r>
      <w:r>
        <w:rPr>
          <w:rFonts w:ascii="Arial" w:hAnsi="Arial" w:cs="Arial"/>
        </w:rPr>
        <w:t> </w:t>
      </w:r>
      <w:r>
        <w:t>Process</w:t>
      </w:r>
    </w:p>
    <w:p w14:paraId="358A2078" w14:textId="77777777" w:rsidR="00633B09" w:rsidRDefault="00633B09" w:rsidP="00633B09"/>
    <w:p w14:paraId="0F0C688C" w14:textId="77777777" w:rsidR="00633B09" w:rsidRDefault="00633B09" w:rsidP="00633B09">
      <w:r>
        <w:t>1. Policy</w:t>
      </w:r>
      <w:r>
        <w:rPr>
          <w:rFonts w:ascii="Arial" w:hAnsi="Arial" w:cs="Arial"/>
        </w:rPr>
        <w:t> </w:t>
      </w:r>
      <w:r>
        <w:t>Verification — Confirm all documents are current and publicly accessible on</w:t>
      </w:r>
      <w:r>
        <w:rPr>
          <w:rFonts w:ascii="Arial" w:hAnsi="Arial" w:cs="Arial"/>
        </w:rPr>
        <w:t> </w:t>
      </w:r>
      <w:proofErr w:type="spellStart"/>
      <w:r>
        <w:t>RedWhiteandGreen.us</w:t>
      </w:r>
      <w:proofErr w:type="spellEnd"/>
      <w:r>
        <w:t>.</w:t>
      </w:r>
    </w:p>
    <w:p w14:paraId="6A138B3D" w14:textId="77777777" w:rsidR="00633B09" w:rsidRDefault="00633B09" w:rsidP="00633B09">
      <w:r>
        <w:t>2. Regulatory</w:t>
      </w:r>
      <w:r>
        <w:rPr>
          <w:rFonts w:ascii="Arial" w:hAnsi="Arial" w:cs="Arial"/>
        </w:rPr>
        <w:t> </w:t>
      </w:r>
      <w:r>
        <w:t>Updates — Check for changes to FTC,</w:t>
      </w:r>
      <w:r>
        <w:rPr>
          <w:rFonts w:ascii="Arial" w:hAnsi="Arial" w:cs="Arial"/>
        </w:rPr>
        <w:t> </w:t>
      </w:r>
      <w:r>
        <w:t>DMCA,</w:t>
      </w:r>
      <w:r>
        <w:rPr>
          <w:rFonts w:ascii="Arial" w:hAnsi="Arial" w:cs="Arial"/>
        </w:rPr>
        <w:t> </w:t>
      </w:r>
      <w:r>
        <w:t>COPPA,</w:t>
      </w:r>
      <w:r>
        <w:rPr>
          <w:rFonts w:ascii="Arial" w:hAnsi="Arial" w:cs="Arial"/>
        </w:rPr>
        <w:t> </w:t>
      </w:r>
      <w:r>
        <w:t>ADA,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GDPR</w:t>
      </w:r>
      <w:r>
        <w:rPr>
          <w:rFonts w:ascii="Arial" w:hAnsi="Arial" w:cs="Arial"/>
        </w:rPr>
        <w:t> </w:t>
      </w:r>
      <w:r>
        <w:t>requirements.</w:t>
      </w:r>
    </w:p>
    <w:p w14:paraId="0AD18ED6" w14:textId="77777777" w:rsidR="00633B09" w:rsidRDefault="00633B09" w:rsidP="00633B09">
      <w:r>
        <w:t>3. Platform</w:t>
      </w:r>
      <w:r>
        <w:rPr>
          <w:rFonts w:ascii="Arial" w:hAnsi="Arial" w:cs="Arial"/>
        </w:rPr>
        <w:t> </w:t>
      </w:r>
      <w:r>
        <w:t>Compliance — Verify YouTube,</w:t>
      </w:r>
      <w:r>
        <w:rPr>
          <w:rFonts w:ascii="Arial" w:hAnsi="Arial" w:cs="Arial"/>
        </w:rPr>
        <w:t> </w:t>
      </w:r>
      <w:r>
        <w:t>Rumble,</w:t>
      </w:r>
      <w:r>
        <w:rPr>
          <w:rFonts w:ascii="Arial" w:hAnsi="Arial" w:cs="Arial"/>
        </w:rPr>
        <w:t> </w:t>
      </w:r>
      <w:r>
        <w:t>Facebook,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Podcast</w:t>
      </w:r>
      <w:r>
        <w:rPr>
          <w:rFonts w:ascii="Arial" w:hAnsi="Arial" w:cs="Arial"/>
        </w:rPr>
        <w:t> </w:t>
      </w:r>
      <w:r>
        <w:t>platform disclosure tools are active.</w:t>
      </w:r>
    </w:p>
    <w:p w14:paraId="24615BE5" w14:textId="77777777" w:rsidR="00633B09" w:rsidRDefault="00633B09" w:rsidP="00633B09">
      <w:r>
        <w:t xml:space="preserve">4. </w:t>
      </w:r>
      <w:proofErr w:type="spellStart"/>
      <w:r>
        <w:t>Recordkeeping</w:t>
      </w:r>
      <w:proofErr w:type="spellEnd"/>
      <w:r>
        <w:rPr>
          <w:rFonts w:ascii="Arial" w:hAnsi="Arial" w:cs="Arial"/>
        </w:rPr>
        <w:t> </w:t>
      </w:r>
      <w:r>
        <w:t>Audit — Ensure sponsorship and affiliate records are retained for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years.</w:t>
      </w:r>
    </w:p>
    <w:p w14:paraId="460F23DA" w14:textId="77777777" w:rsidR="00633B09" w:rsidRDefault="00633B09" w:rsidP="00633B09">
      <w:r>
        <w:t>5. Accessibility</w:t>
      </w:r>
      <w:r>
        <w:rPr>
          <w:rFonts w:ascii="Arial" w:hAnsi="Arial" w:cs="Arial"/>
        </w:rPr>
        <w:t> </w:t>
      </w:r>
      <w:r>
        <w:t>Testing — Perform WCAG</w:t>
      </w:r>
      <w:r>
        <w:rPr>
          <w:rFonts w:ascii="Arial" w:hAnsi="Arial" w:cs="Arial"/>
        </w:rPr>
        <w:t> </w:t>
      </w:r>
      <w:r>
        <w:t>2.1</w:t>
      </w:r>
      <w:r>
        <w:rPr>
          <w:rFonts w:ascii="Arial" w:hAnsi="Arial" w:cs="Arial"/>
        </w:rPr>
        <w:t> </w:t>
      </w:r>
      <w:r>
        <w:t>AA</w:t>
      </w:r>
      <w:r>
        <w:rPr>
          <w:rFonts w:ascii="Arial" w:hAnsi="Arial" w:cs="Arial"/>
        </w:rPr>
        <w:t> </w:t>
      </w:r>
      <w:r>
        <w:t>review of website and media content.</w:t>
      </w:r>
    </w:p>
    <w:p w14:paraId="4DDF3CDC" w14:textId="77777777" w:rsidR="00633B09" w:rsidRDefault="00633B09" w:rsidP="00633B09">
      <w:r>
        <w:t>6. Incident</w:t>
      </w:r>
      <w:r>
        <w:rPr>
          <w:rFonts w:ascii="Arial" w:hAnsi="Arial" w:cs="Arial"/>
        </w:rPr>
        <w:t> </w:t>
      </w:r>
      <w:r>
        <w:t>Response</w:t>
      </w:r>
      <w:r>
        <w:rPr>
          <w:rFonts w:ascii="Arial" w:hAnsi="Arial" w:cs="Arial"/>
        </w:rPr>
        <w:t> </w:t>
      </w:r>
      <w:r>
        <w:t>Drill — Confirm procedures for data breach or takedown requests.</w:t>
      </w:r>
    </w:p>
    <w:p w14:paraId="082E9586" w14:textId="77777777" w:rsidR="00633B09" w:rsidRDefault="00633B09" w:rsidP="00633B09"/>
    <w:p w14:paraId="7E2AE1BC" w14:textId="77777777" w:rsidR="00633B09" w:rsidRDefault="00633B09" w:rsidP="00633B09"/>
    <w:p w14:paraId="4E22E201" w14:textId="77777777" w:rsidR="00633B09" w:rsidRDefault="00633B09" w:rsidP="00633B09">
      <w:r>
        <w:t>---</w:t>
      </w:r>
    </w:p>
    <w:p w14:paraId="2B45322E" w14:textId="77777777" w:rsidR="00633B09" w:rsidRDefault="00633B09" w:rsidP="00633B09"/>
    <w:p w14:paraId="18A2E52E" w14:textId="77777777" w:rsidR="00633B09" w:rsidRDefault="00633B09" w:rsidP="00633B09">
      <w:r>
        <w:t>Certification</w:t>
      </w:r>
    </w:p>
    <w:p w14:paraId="3C3EE0B7" w14:textId="77777777" w:rsidR="00633B09" w:rsidRDefault="00633B09" w:rsidP="00633B09"/>
    <w:p w14:paraId="533F9F80" w14:textId="77777777" w:rsidR="00633B09" w:rsidRDefault="00633B09" w:rsidP="00633B09">
      <w:r>
        <w:t>Upon completion of each annual review, RWG</w:t>
      </w:r>
      <w:r>
        <w:rPr>
          <w:rFonts w:ascii="Arial" w:hAnsi="Arial" w:cs="Arial"/>
        </w:rPr>
        <w:t> </w:t>
      </w:r>
      <w:r>
        <w:t>Studio certifies that all compliance documents have been reviewed, updated, and remain in effect.</w:t>
      </w:r>
    </w:p>
    <w:p w14:paraId="4AD6D53B" w14:textId="77777777" w:rsidR="00633B09" w:rsidRDefault="00633B09" w:rsidP="00633B09">
      <w:r>
        <w:lastRenderedPageBreak/>
        <w:t>The updated versions are published on the Legal</w:t>
      </w:r>
      <w:r>
        <w:rPr>
          <w:rFonts w:ascii="Arial" w:hAnsi="Arial" w:cs="Arial"/>
        </w:rPr>
        <w:t> </w:t>
      </w:r>
      <w:r>
        <w:t>&amp;</w:t>
      </w:r>
      <w:r>
        <w:rPr>
          <w:rFonts w:ascii="Arial" w:hAnsi="Arial" w:cs="Arial"/>
        </w:rPr>
        <w:t> </w:t>
      </w:r>
      <w:r>
        <w:t>Compliance page and stored in Binder</w:t>
      </w:r>
      <w:r>
        <w:rPr>
          <w:rFonts w:ascii="Arial" w:hAnsi="Arial" w:cs="Arial"/>
        </w:rPr>
        <w:t> </w:t>
      </w:r>
      <w:r>
        <w:t>3</w:t>
      </w:r>
      <w:r>
        <w:rPr>
          <w:rFonts w:ascii="Arial" w:hAnsi="Arial" w:cs="Arial"/>
        </w:rPr>
        <w:t> </w:t>
      </w:r>
      <w:r>
        <w:t>→</w:t>
      </w:r>
      <w:r>
        <w:rPr>
          <w:rFonts w:ascii="Arial" w:hAnsi="Arial" w:cs="Arial"/>
        </w:rPr>
        <w:t> </w:t>
      </w:r>
      <w:r>
        <w:t>Compliance</w:t>
      </w:r>
      <w:r>
        <w:rPr>
          <w:rFonts w:ascii="Arial" w:hAnsi="Arial" w:cs="Arial"/>
        </w:rPr>
        <w:t> </w:t>
      </w:r>
      <w:r>
        <w:t>Tab.</w:t>
      </w:r>
    </w:p>
    <w:p w14:paraId="2EBF0935" w14:textId="77777777" w:rsidR="00633B09" w:rsidRDefault="00633B09" w:rsidP="00633B09"/>
    <w:p w14:paraId="71D108BF" w14:textId="77777777" w:rsidR="00633B09" w:rsidRDefault="00633B09" w:rsidP="00633B09">
      <w:r>
        <w:t>---</w:t>
      </w:r>
    </w:p>
    <w:p w14:paraId="7B498710" w14:textId="77777777" w:rsidR="00633B09" w:rsidRDefault="00633B09" w:rsidP="00633B09"/>
    <w:p w14:paraId="4ECF5E6F" w14:textId="77777777" w:rsidR="00633B09" w:rsidRDefault="00633B09" w:rsidP="00633B09">
      <w:r>
        <w:t>Next</w:t>
      </w:r>
      <w:r>
        <w:rPr>
          <w:rFonts w:ascii="Arial" w:hAnsi="Arial" w:cs="Arial"/>
        </w:rPr>
        <w:t> </w:t>
      </w:r>
      <w:r>
        <w:t>Scheduled</w:t>
      </w:r>
      <w:r>
        <w:rPr>
          <w:rFonts w:ascii="Arial" w:hAnsi="Arial" w:cs="Arial"/>
        </w:rPr>
        <w:t> </w:t>
      </w:r>
      <w:r>
        <w:t>Review</w:t>
      </w:r>
    </w:p>
    <w:p w14:paraId="04669847" w14:textId="77777777" w:rsidR="00633B09" w:rsidRDefault="00633B09" w:rsidP="00633B09"/>
    <w:p w14:paraId="6EEC8800" w14:textId="77777777" w:rsidR="00633B09" w:rsidRDefault="00633B09" w:rsidP="00633B09">
      <w:r>
        <w:t>August</w:t>
      </w:r>
      <w:r>
        <w:rPr>
          <w:rFonts w:ascii="Arial" w:hAnsi="Arial" w:cs="Arial"/>
        </w:rPr>
        <w:t> </w:t>
      </w:r>
      <w:r>
        <w:t>2027 — RWG</w:t>
      </w:r>
      <w:r>
        <w:rPr>
          <w:rFonts w:ascii="Arial" w:hAnsi="Arial" w:cs="Arial"/>
        </w:rPr>
        <w:t> </w:t>
      </w:r>
      <w:r>
        <w:t>Studio will conduct its next full compliance audit and update cycle.</w:t>
      </w:r>
    </w:p>
    <w:p w14:paraId="032A4849" w14:textId="77777777" w:rsidR="00633B09" w:rsidRDefault="00633B09" w:rsidP="00633B09"/>
    <w:p w14:paraId="0823DBBC" w14:textId="77777777" w:rsidR="00633B09" w:rsidRDefault="00633B09" w:rsidP="00633B09">
      <w:r>
        <w:t>---</w:t>
      </w:r>
    </w:p>
    <w:p w14:paraId="62B16C27" w14:textId="77777777" w:rsidR="00633B09" w:rsidRDefault="00633B09" w:rsidP="00633B09"/>
    <w:p w14:paraId="4B8EEF1F" w14:textId="77777777" w:rsidR="00633B09" w:rsidRDefault="00633B09" w:rsidP="00633B09">
      <w:r>
        <w:t>Contact</w:t>
      </w:r>
    </w:p>
    <w:p w14:paraId="45785672" w14:textId="77777777" w:rsidR="00633B09" w:rsidRDefault="00633B09" w:rsidP="00633B09"/>
    <w:p w14:paraId="3499399E" w14:textId="77777777" w:rsidR="00633B09" w:rsidRDefault="00633B09" w:rsidP="00633B09"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  <w:r>
        <w:rPr>
          <w:rFonts w:ascii="Arial" w:hAnsi="Arial" w:cs="Arial"/>
        </w:rPr>
        <w:t> </w:t>
      </w:r>
      <w:r>
        <w:t>LLC</w:t>
      </w:r>
      <w:r>
        <w:rPr>
          <w:rFonts w:ascii="Arial" w:hAnsi="Arial" w:cs="Arial"/>
        </w:rPr>
        <w:t> </w:t>
      </w:r>
      <w:r>
        <w:t>/</w:t>
      </w:r>
      <w:r>
        <w:rPr>
          <w:rFonts w:ascii="Arial" w:hAnsi="Arial" w:cs="Arial"/>
        </w:rPr>
        <w:t> </w:t>
      </w:r>
      <w:r>
        <w:t>RWG</w:t>
      </w:r>
      <w:r>
        <w:rPr>
          <w:rFonts w:ascii="Arial" w:hAnsi="Arial" w:cs="Arial"/>
        </w:rPr>
        <w:t> </w:t>
      </w:r>
      <w:r>
        <w:t>Studio</w:t>
      </w:r>
    </w:p>
    <w:p w14:paraId="754432F2" w14:textId="77777777" w:rsidR="00633B09" w:rsidRDefault="00633B09" w:rsidP="00633B09">
      <w:proofErr w:type="spellStart"/>
      <w:r>
        <w:t>Attn</w:t>
      </w:r>
      <w:proofErr w:type="spellEnd"/>
      <w:r>
        <w:t>:</w:t>
      </w:r>
      <w:r>
        <w:rPr>
          <w:rFonts w:ascii="Arial" w:hAnsi="Arial" w:cs="Arial"/>
        </w:rPr>
        <w:t> </w:t>
      </w:r>
      <w:r>
        <w:t>Compliance</w:t>
      </w:r>
      <w:r>
        <w:rPr>
          <w:rFonts w:ascii="Arial" w:hAnsi="Arial" w:cs="Arial"/>
        </w:rPr>
        <w:t> </w:t>
      </w:r>
      <w:r>
        <w:t>Coordinator</w:t>
      </w:r>
      <w:r>
        <w:rPr>
          <w:rFonts w:ascii="Arial" w:hAnsi="Arial" w:cs="Arial"/>
        </w:rPr>
        <w:t> </w:t>
      </w:r>
      <w:r>
        <w:t>—</w:t>
      </w:r>
      <w:r>
        <w:rPr>
          <w:rFonts w:ascii="Arial" w:hAnsi="Arial" w:cs="Arial"/>
        </w:rPr>
        <w:t> </w:t>
      </w:r>
      <w:r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</w:p>
    <w:p w14:paraId="546351DE" w14:textId="77777777" w:rsidR="00633B09" w:rsidRDefault="00633B09" w:rsidP="00633B09">
      <w:r>
        <w:t>Email:</w:t>
      </w:r>
      <w:r>
        <w:rPr>
          <w:rFonts w:ascii="Arial" w:hAnsi="Arial" w:cs="Arial"/>
        </w:rPr>
        <w:t> </w:t>
      </w:r>
      <w:r>
        <w:t>media@redwhiteandgreen.us</w:t>
      </w:r>
    </w:p>
    <w:p w14:paraId="759C3064" w14:textId="01489755" w:rsidR="00633B09" w:rsidRDefault="00633B09">
      <w:r>
        <w:t>Location:</w:t>
      </w:r>
      <w:r>
        <w:rPr>
          <w:rFonts w:ascii="Arial" w:hAnsi="Arial" w:cs="Arial"/>
        </w:rPr>
        <w:t> </w:t>
      </w:r>
      <w:r>
        <w:t>Sauk</w:t>
      </w:r>
      <w:r>
        <w:rPr>
          <w:rFonts w:ascii="Arial" w:hAnsi="Arial" w:cs="Arial"/>
        </w:rPr>
        <w:t> </w:t>
      </w:r>
      <w:r>
        <w:t>Centre,</w:t>
      </w:r>
      <w:r>
        <w:rPr>
          <w:rFonts w:ascii="Arial" w:hAnsi="Arial" w:cs="Arial"/>
        </w:rPr>
        <w:t> </w:t>
      </w:r>
      <w:r>
        <w:t>Minnesota</w:t>
      </w:r>
      <w:r>
        <w:rPr>
          <w:rFonts w:ascii="Arial" w:hAnsi="Arial" w:cs="Arial"/>
        </w:rPr>
        <w:t> </w:t>
      </w:r>
      <w:r>
        <w:t>56378</w:t>
      </w:r>
    </w:p>
    <w:sectPr w:rsidR="00633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09"/>
    <w:rsid w:val="00555593"/>
    <w:rsid w:val="00633B09"/>
    <w:rsid w:val="00882337"/>
    <w:rsid w:val="0090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A912"/>
  <w15:chartTrackingRefBased/>
  <w15:docId w15:val="{7E0CBD7C-035B-E448-B48E-B1B6B2AC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4</cp:revision>
  <dcterms:created xsi:type="dcterms:W3CDTF">2026-08-19T20:08:00Z</dcterms:created>
  <dcterms:modified xsi:type="dcterms:W3CDTF">2026-08-19T20:12:00Z</dcterms:modified>
</cp:coreProperties>
</file>