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A348" w14:textId="77777777" w:rsidR="00912D2F" w:rsidRDefault="00912D2F" w:rsidP="00912D2F">
      <w:pPr>
        <w:pStyle w:val="CapText"/>
        <w:rPr>
          <w:rFonts w:ascii="Georgia" w:hAnsi="Georgia"/>
          <w:szCs w:val="26"/>
        </w:rPr>
      </w:pPr>
      <w:r>
        <w:rPr>
          <w:rFonts w:ascii="Georgia" w:hAnsi="Georgia"/>
          <w:szCs w:val="26"/>
        </w:rPr>
        <w:t>Dan Koukol (SBN 122526)</w:t>
      </w:r>
    </w:p>
    <w:p w14:paraId="703BAC9D" w14:textId="77777777" w:rsidR="00912D2F" w:rsidRDefault="00912D2F" w:rsidP="00912D2F">
      <w:pPr>
        <w:pStyle w:val="CapText"/>
        <w:rPr>
          <w:rFonts w:ascii="Georgia" w:hAnsi="Georgia"/>
          <w:szCs w:val="26"/>
        </w:rPr>
      </w:pPr>
      <w:r>
        <w:rPr>
          <w:rFonts w:ascii="Georgia" w:hAnsi="Georgia"/>
          <w:szCs w:val="26"/>
        </w:rPr>
        <w:t>PLACER COUNTY PUBLIC DEFENDER</w:t>
      </w:r>
    </w:p>
    <w:p w14:paraId="3C59EA5D" w14:textId="77777777" w:rsidR="00912D2F" w:rsidRDefault="00912D2F" w:rsidP="00912D2F">
      <w:pPr>
        <w:pStyle w:val="CapText"/>
        <w:rPr>
          <w:rFonts w:ascii="Georgia" w:hAnsi="Georgia"/>
          <w:szCs w:val="26"/>
        </w:rPr>
      </w:pPr>
      <w:r>
        <w:rPr>
          <w:rFonts w:ascii="Georgia" w:hAnsi="Georgia"/>
          <w:szCs w:val="26"/>
        </w:rPr>
        <w:t>3785 Placer Corporate Drive, Suite 550</w:t>
      </w:r>
    </w:p>
    <w:p w14:paraId="6080B7D7" w14:textId="77777777" w:rsidR="00912D2F" w:rsidRDefault="00912D2F" w:rsidP="00912D2F">
      <w:pPr>
        <w:pStyle w:val="CapText"/>
        <w:rPr>
          <w:rFonts w:ascii="Georgia" w:hAnsi="Georgia"/>
          <w:szCs w:val="26"/>
        </w:rPr>
      </w:pPr>
      <w:r>
        <w:rPr>
          <w:rFonts w:ascii="Georgia" w:hAnsi="Georgia"/>
          <w:szCs w:val="26"/>
        </w:rPr>
        <w:t>Rocklin, CA 95765</w:t>
      </w:r>
    </w:p>
    <w:p w14:paraId="4519ACF0" w14:textId="77777777" w:rsidR="00912D2F" w:rsidRDefault="00912D2F" w:rsidP="00912D2F">
      <w:pPr>
        <w:pStyle w:val="CapText"/>
        <w:rPr>
          <w:rFonts w:ascii="Georgia" w:hAnsi="Georgia"/>
          <w:szCs w:val="26"/>
        </w:rPr>
      </w:pPr>
      <w:r>
        <w:rPr>
          <w:rFonts w:ascii="Georgia" w:hAnsi="Georgia"/>
          <w:szCs w:val="26"/>
        </w:rPr>
        <w:t>Telephone: (916) 644-1100</w:t>
      </w:r>
    </w:p>
    <w:p w14:paraId="29A04EFF" w14:textId="77777777" w:rsidR="00073223" w:rsidRPr="00073223" w:rsidRDefault="00073223" w:rsidP="00B20671">
      <w:pPr>
        <w:pStyle w:val="BodyPA"/>
        <w:spacing w:line="240" w:lineRule="auto"/>
        <w:ind w:firstLine="0"/>
      </w:pPr>
    </w:p>
    <w:p w14:paraId="0603503A" w14:textId="573FE7DE" w:rsidR="002131AC" w:rsidRDefault="00FF26EE" w:rsidP="00B20671">
      <w:pPr>
        <w:pStyle w:val="BodyPA"/>
        <w:spacing w:line="240" w:lineRule="auto"/>
        <w:ind w:firstLine="0"/>
      </w:pPr>
      <w:r>
        <w:t>L</w:t>
      </w:r>
      <w:r w:rsidR="0068691E">
        <w:t>eonard Tauman  SBN: 51685</w:t>
      </w:r>
    </w:p>
    <w:p w14:paraId="48296E67" w14:textId="32431A4A" w:rsidR="00073223" w:rsidRPr="00073223" w:rsidRDefault="00073223" w:rsidP="00B20671">
      <w:pPr>
        <w:pStyle w:val="BodyPA"/>
        <w:spacing w:line="240" w:lineRule="auto"/>
        <w:ind w:firstLine="0"/>
      </w:pPr>
      <w:r w:rsidRPr="00073223">
        <w:fldChar w:fldCharType="begin"/>
      </w:r>
      <w:r w:rsidRPr="00073223">
        <w:instrText xml:space="preserve"> ASK AttyTitle \* MERGEFORMAT </w:instrText>
      </w:r>
      <w:r w:rsidRPr="00073223">
        <w:fldChar w:fldCharType="separate"/>
      </w:r>
      <w:bookmarkStart w:id="0" w:name="AttyTitle"/>
      <w:r w:rsidRPr="00073223">
        <w:t>Assistant</w:t>
      </w:r>
      <w:bookmarkEnd w:id="0"/>
      <w:r w:rsidRPr="00073223">
        <w:fldChar w:fldCharType="end"/>
      </w:r>
      <w:fldSimple w:instr=" REF AttyTitle\* FirstCap  \* MERGEFORMAT ">
        <w:r w:rsidR="00F83775" w:rsidRPr="00073223">
          <w:t>Assistant</w:t>
        </w:r>
      </w:fldSimple>
      <w:r w:rsidRPr="00073223">
        <w:t xml:space="preserve"> Public Defender</w:t>
      </w:r>
    </w:p>
    <w:p w14:paraId="787D3B22" w14:textId="77777777" w:rsidR="00073223" w:rsidRPr="00073223" w:rsidRDefault="00073223" w:rsidP="00B20671">
      <w:pPr>
        <w:pStyle w:val="BodyPA"/>
        <w:spacing w:line="240" w:lineRule="auto"/>
        <w:ind w:firstLine="0"/>
      </w:pPr>
      <w:r w:rsidRPr="00073223">
        <w:fldChar w:fldCharType="begin"/>
      </w:r>
      <w:r w:rsidRPr="00073223">
        <w:instrText xml:space="preserve"> ASK CaseNum "Type the case number?" \* MERGEFORMAT </w:instrText>
      </w:r>
      <w:r w:rsidRPr="00073223">
        <w:fldChar w:fldCharType="separate"/>
      </w:r>
      <w:bookmarkStart w:id="1" w:name="CaseNum"/>
      <w:r w:rsidRPr="00073223">
        <w:t>Case Number</w:t>
      </w:r>
      <w:bookmarkEnd w:id="1"/>
      <w:r w:rsidRPr="00073223">
        <w:fldChar w:fldCharType="end"/>
      </w:r>
      <w:r w:rsidRPr="00073223">
        <w:fldChar w:fldCharType="begin"/>
      </w:r>
      <w:r w:rsidRPr="00073223">
        <w:instrText xml:space="preserve"> ASK DeptNum "Type the department number." \* MERGEFORMAT </w:instrText>
      </w:r>
      <w:r w:rsidRPr="00073223">
        <w:fldChar w:fldCharType="separate"/>
      </w:r>
      <w:bookmarkStart w:id="2" w:name="DeptNum"/>
      <w:r w:rsidRPr="00073223">
        <w:t>Department number</w:t>
      </w:r>
      <w:bookmarkEnd w:id="2"/>
      <w:r w:rsidRPr="00073223">
        <w:fldChar w:fldCharType="end"/>
      </w:r>
      <w:r w:rsidRPr="00073223">
        <w:fldChar w:fldCharType="begin"/>
      </w:r>
      <w:r w:rsidRPr="00073223">
        <w:instrText xml:space="preserve"> ASK HrgDate "What is the hearing date?" \* MERGEFORMAT </w:instrText>
      </w:r>
      <w:r w:rsidRPr="00073223">
        <w:fldChar w:fldCharType="separate"/>
      </w:r>
      <w:bookmarkStart w:id="3" w:name="HrgDate"/>
      <w:r w:rsidRPr="00073223">
        <w:t>Example: June 7, 2004</w:t>
      </w:r>
      <w:bookmarkEnd w:id="3"/>
      <w:r w:rsidRPr="00073223">
        <w:fldChar w:fldCharType="end"/>
      </w:r>
      <w:r w:rsidRPr="00073223">
        <w:fldChar w:fldCharType="begin"/>
      </w:r>
      <w:r w:rsidRPr="00073223">
        <w:instrText xml:space="preserve"> ASK HrgTime "What is the hearing time?" \* MERGEFORMAT </w:instrText>
      </w:r>
      <w:r w:rsidRPr="00073223">
        <w:fldChar w:fldCharType="separate"/>
      </w:r>
      <w:bookmarkStart w:id="4" w:name="HrgTime"/>
      <w:r w:rsidRPr="00073223">
        <w:t>Example:  2:00 p.m.</w:t>
      </w:r>
      <w:bookmarkEnd w:id="4"/>
      <w:r w:rsidRPr="00073223">
        <w:fldChar w:fldCharType="end"/>
      </w:r>
      <w:r w:rsidRPr="00073223">
        <w:fldChar w:fldCharType="begin"/>
      </w:r>
      <w:r w:rsidRPr="00073223">
        <w:instrText xml:space="preserve"> ASK TrDate "What is the trial date?" \* MERGEFORMAT </w:instrText>
      </w:r>
      <w:r w:rsidRPr="00073223">
        <w:fldChar w:fldCharType="separate"/>
      </w:r>
      <w:bookmarkStart w:id="5" w:name="TrDate"/>
      <w:r w:rsidRPr="00073223">
        <w:t>Example: July 21, 2004</w:t>
      </w:r>
      <w:bookmarkEnd w:id="5"/>
      <w:r w:rsidRPr="00073223">
        <w:fldChar w:fldCharType="end"/>
      </w:r>
      <w:r w:rsidRPr="00073223">
        <w:fldChar w:fldCharType="begin"/>
      </w:r>
      <w:r w:rsidRPr="00073223">
        <w:instrText xml:space="preserve"> ASK TypistInitials "Initials of typist in lower case." \* MERGEFORMAT </w:instrText>
      </w:r>
      <w:r w:rsidRPr="00073223">
        <w:fldChar w:fldCharType="separate"/>
      </w:r>
      <w:bookmarkStart w:id="6" w:name="TypistInitials"/>
      <w:r w:rsidRPr="00073223">
        <w:t>mmm</w:t>
      </w:r>
      <w:bookmarkEnd w:id="6"/>
      <w:r w:rsidRPr="00073223">
        <w:fldChar w:fldCharType="end"/>
      </w:r>
    </w:p>
    <w:p w14:paraId="77527FC2" w14:textId="44E0B8C3" w:rsidR="00073223" w:rsidRDefault="00073223" w:rsidP="002B504E">
      <w:pPr>
        <w:pStyle w:val="BodyPA"/>
        <w:spacing w:line="240" w:lineRule="auto"/>
      </w:pPr>
      <w:r w:rsidRPr="00073223">
        <w:t xml:space="preserve">Attorney for </w:t>
      </w:r>
      <w:r w:rsidR="000A31CC">
        <w:t xml:space="preserve">Petitioner </w:t>
      </w:r>
      <w:r w:rsidR="00A1789D">
        <w:t>Shawn Michael Rodriguez</w:t>
      </w:r>
    </w:p>
    <w:p w14:paraId="32FC31C9" w14:textId="77777777" w:rsidR="002131AC" w:rsidRPr="00073223" w:rsidRDefault="002131AC" w:rsidP="00B20671">
      <w:pPr>
        <w:pStyle w:val="BodyPA"/>
        <w:spacing w:line="240" w:lineRule="auto"/>
        <w:ind w:firstLine="0"/>
      </w:pPr>
    </w:p>
    <w:p w14:paraId="100EACB0" w14:textId="510F41AE" w:rsidR="00073223" w:rsidRPr="00073223" w:rsidRDefault="00073223" w:rsidP="002131AC">
      <w:pPr>
        <w:pStyle w:val="BodyPA"/>
        <w:spacing w:line="240" w:lineRule="auto"/>
        <w:ind w:firstLine="0"/>
        <w:jc w:val="center"/>
      </w:pPr>
      <w:r w:rsidRPr="00073223">
        <w:t xml:space="preserve">SUPERIOR COURT OF CALIFORNIA, COUNTY OF </w:t>
      </w:r>
      <w:r w:rsidR="00912D2F">
        <w:t>PLACER</w:t>
      </w:r>
    </w:p>
    <w:p w14:paraId="1E03860D" w14:textId="77777777" w:rsidR="00073223" w:rsidRPr="00073223" w:rsidRDefault="00073223" w:rsidP="00B20671">
      <w:pPr>
        <w:pStyle w:val="BodyPA"/>
        <w:spacing w:line="240" w:lineRule="auto"/>
        <w:ind w:firstLine="0"/>
      </w:pPr>
    </w:p>
    <w:p w14:paraId="083A5759" w14:textId="77777777" w:rsidR="00073223" w:rsidRPr="00073223" w:rsidRDefault="00073223" w:rsidP="00B20671">
      <w:pPr>
        <w:pStyle w:val="BodyPA"/>
        <w:spacing w:line="240" w:lineRule="auto"/>
        <w:ind w:firstLine="0"/>
      </w:pPr>
    </w:p>
    <w:tbl>
      <w:tblPr>
        <w:tblW w:w="0" w:type="auto"/>
        <w:tblLayout w:type="fixed"/>
        <w:tblCellMar>
          <w:left w:w="0" w:type="dxa"/>
          <w:right w:w="0" w:type="dxa"/>
        </w:tblCellMar>
        <w:tblLook w:val="0000" w:firstRow="0" w:lastRow="0" w:firstColumn="0" w:lastColumn="0" w:noHBand="0" w:noVBand="0"/>
      </w:tblPr>
      <w:tblGrid>
        <w:gridCol w:w="4680"/>
        <w:gridCol w:w="4680"/>
      </w:tblGrid>
      <w:tr w:rsidR="00073223" w:rsidRPr="00073223" w14:paraId="681779AA" w14:textId="77777777" w:rsidTr="001C79FA">
        <w:tc>
          <w:tcPr>
            <w:tcW w:w="4680" w:type="dxa"/>
            <w:tcBorders>
              <w:bottom w:val="single" w:sz="4" w:space="0" w:color="auto"/>
              <w:right w:val="single" w:sz="4" w:space="0" w:color="auto"/>
            </w:tcBorders>
          </w:tcPr>
          <w:p w14:paraId="4135B4C5" w14:textId="77777777" w:rsidR="00073223" w:rsidRPr="00073223" w:rsidRDefault="00073223" w:rsidP="00B20671">
            <w:pPr>
              <w:pStyle w:val="BodyPA"/>
              <w:spacing w:line="240" w:lineRule="auto"/>
              <w:ind w:firstLine="0"/>
            </w:pPr>
            <w:r w:rsidRPr="00073223">
              <w:t>PEOPLE OF THE STATE OF CALIFORNIA</w:t>
            </w:r>
          </w:p>
          <w:p w14:paraId="4464AF53" w14:textId="77777777" w:rsidR="00073223" w:rsidRPr="00073223" w:rsidRDefault="00073223" w:rsidP="00B20671">
            <w:pPr>
              <w:pStyle w:val="BodyPA"/>
              <w:spacing w:line="240" w:lineRule="auto"/>
              <w:ind w:firstLine="0"/>
            </w:pPr>
          </w:p>
          <w:p w14:paraId="65A6E11C" w14:textId="77777777" w:rsidR="00073223" w:rsidRPr="00073223" w:rsidRDefault="00073223" w:rsidP="00B20671">
            <w:pPr>
              <w:pStyle w:val="BodyPA"/>
              <w:spacing w:line="240" w:lineRule="auto"/>
              <w:ind w:firstLine="0"/>
            </w:pPr>
            <w:r w:rsidRPr="00073223">
              <w:tab/>
            </w:r>
            <w:r w:rsidRPr="00073223">
              <w:tab/>
              <w:t>Plaintiff,</w:t>
            </w:r>
          </w:p>
          <w:p w14:paraId="4E16E6D5" w14:textId="77777777" w:rsidR="00073223" w:rsidRPr="00073223" w:rsidRDefault="00073223" w:rsidP="00B20671">
            <w:pPr>
              <w:pStyle w:val="BodyPA"/>
              <w:spacing w:line="240" w:lineRule="auto"/>
              <w:ind w:firstLine="0"/>
            </w:pPr>
            <w:r w:rsidRPr="00073223">
              <w:tab/>
              <w:t>v.</w:t>
            </w:r>
          </w:p>
          <w:p w14:paraId="5FA2564A" w14:textId="77777777" w:rsidR="00073223" w:rsidRPr="00073223" w:rsidRDefault="00073223" w:rsidP="00B20671">
            <w:pPr>
              <w:pStyle w:val="BodyPA"/>
              <w:spacing w:line="240" w:lineRule="auto"/>
              <w:ind w:firstLine="0"/>
            </w:pPr>
          </w:p>
          <w:p w14:paraId="71D537B6" w14:textId="231FD7ED" w:rsidR="00073223" w:rsidRPr="00B20671" w:rsidRDefault="008D5C00" w:rsidP="00B20671">
            <w:pPr>
              <w:pStyle w:val="BodyPA"/>
              <w:spacing w:line="240" w:lineRule="auto"/>
              <w:ind w:firstLine="0"/>
              <w:rPr>
                <w:caps/>
              </w:rPr>
            </w:pPr>
            <w:r>
              <w:rPr>
                <w:caps/>
              </w:rPr>
              <w:t>SHAWN MICHAEL RODRIGUEZ,</w:t>
            </w:r>
          </w:p>
          <w:p w14:paraId="1BC7315D" w14:textId="77777777" w:rsidR="00073223" w:rsidRPr="00073223" w:rsidRDefault="00073223" w:rsidP="00B20671">
            <w:pPr>
              <w:pStyle w:val="BodyPA"/>
              <w:spacing w:line="240" w:lineRule="auto"/>
              <w:ind w:firstLine="0"/>
            </w:pPr>
          </w:p>
          <w:p w14:paraId="43BD7428" w14:textId="7B369C60" w:rsidR="00073223" w:rsidRDefault="00073223" w:rsidP="00B20671">
            <w:pPr>
              <w:pStyle w:val="BodyPA"/>
              <w:spacing w:line="240" w:lineRule="auto"/>
              <w:ind w:firstLine="0"/>
            </w:pPr>
            <w:r w:rsidRPr="00073223">
              <w:tab/>
            </w:r>
            <w:r w:rsidRPr="00073223">
              <w:tab/>
              <w:t>Defendant</w:t>
            </w:r>
            <w:r w:rsidR="008D5C00">
              <w:t>/Petitioner</w:t>
            </w:r>
            <w:r w:rsidRPr="00073223">
              <w:t>.</w:t>
            </w:r>
          </w:p>
          <w:p w14:paraId="561E0549" w14:textId="77777777" w:rsidR="001C79FA" w:rsidRPr="00073223" w:rsidRDefault="001C79FA" w:rsidP="00B20671">
            <w:pPr>
              <w:pStyle w:val="BodyPA"/>
              <w:spacing w:line="240" w:lineRule="auto"/>
              <w:ind w:firstLine="0"/>
            </w:pPr>
          </w:p>
        </w:tc>
        <w:tc>
          <w:tcPr>
            <w:tcW w:w="4680" w:type="dxa"/>
            <w:tcBorders>
              <w:left w:val="nil"/>
            </w:tcBorders>
          </w:tcPr>
          <w:p w14:paraId="0AE133E7" w14:textId="2CAA778F" w:rsidR="00D6263C" w:rsidRPr="00D6263C" w:rsidRDefault="00D6263C" w:rsidP="005A7B57">
            <w:pPr>
              <w:pStyle w:val="BodyPA"/>
              <w:spacing w:line="240" w:lineRule="auto"/>
              <w:ind w:left="172" w:firstLine="0"/>
              <w:rPr>
                <w:b/>
                <w:bCs w:val="0"/>
              </w:rPr>
            </w:pPr>
            <w:r w:rsidRPr="00D6263C">
              <w:rPr>
                <w:b/>
                <w:bCs w:val="0"/>
              </w:rPr>
              <w:t>CUSTODY</w:t>
            </w:r>
            <w:r w:rsidR="008D5C00">
              <w:rPr>
                <w:b/>
                <w:bCs w:val="0"/>
              </w:rPr>
              <w:t>: PLACER JAIL</w:t>
            </w:r>
          </w:p>
          <w:p w14:paraId="58BDAACB" w14:textId="4563F0FB" w:rsidR="00073223" w:rsidRPr="00073223" w:rsidRDefault="00073223" w:rsidP="005A7B57">
            <w:pPr>
              <w:pStyle w:val="BodyPA"/>
              <w:spacing w:line="240" w:lineRule="auto"/>
              <w:ind w:left="172" w:firstLine="0"/>
            </w:pPr>
            <w:r w:rsidRPr="00073223">
              <w:t xml:space="preserve">Case No.: </w:t>
            </w:r>
            <w:bookmarkStart w:id="7" w:name="_Hlk195348267"/>
            <w:r w:rsidR="008D5C00" w:rsidRPr="008D5C00">
              <w:t>62-034689A</w:t>
            </w:r>
            <w:bookmarkEnd w:id="7"/>
          </w:p>
          <w:p w14:paraId="7F4E0F73" w14:textId="77777777" w:rsidR="00073223" w:rsidRPr="00073223" w:rsidRDefault="00073223" w:rsidP="005A7B57">
            <w:pPr>
              <w:pStyle w:val="BodyPA"/>
              <w:spacing w:line="240" w:lineRule="auto"/>
              <w:ind w:left="172" w:firstLine="0"/>
            </w:pPr>
          </w:p>
          <w:p w14:paraId="70B3A995" w14:textId="730250DD" w:rsidR="00073223" w:rsidRDefault="008D5C00" w:rsidP="005A7B57">
            <w:pPr>
              <w:pStyle w:val="BodyPA"/>
              <w:spacing w:line="240" w:lineRule="auto"/>
              <w:ind w:left="172" w:firstLine="0"/>
            </w:pPr>
            <w:r>
              <w:t xml:space="preserve">Pen.C. § 1172.1 </w:t>
            </w:r>
            <w:r w:rsidR="001D1828">
              <w:t>RECALL MOTION</w:t>
            </w:r>
          </w:p>
          <w:p w14:paraId="377DAE3E" w14:textId="77777777" w:rsidR="00116BCE" w:rsidRDefault="00116BCE" w:rsidP="005A7B57">
            <w:pPr>
              <w:pStyle w:val="BodyPA"/>
              <w:spacing w:line="240" w:lineRule="auto"/>
              <w:ind w:left="172" w:firstLine="0"/>
            </w:pPr>
          </w:p>
          <w:p w14:paraId="73A3DBA3" w14:textId="4CB22F80" w:rsidR="00073223" w:rsidRDefault="00B04CB3" w:rsidP="002131AC">
            <w:pPr>
              <w:pStyle w:val="BodyPA"/>
              <w:spacing w:line="276" w:lineRule="auto"/>
              <w:ind w:left="172" w:firstLine="0"/>
            </w:pPr>
            <w:r>
              <w:t xml:space="preserve">DATE: </w:t>
            </w:r>
            <w:r w:rsidR="001D1828">
              <w:t>December 3</w:t>
            </w:r>
            <w:r w:rsidR="00EC26C7">
              <w:t>, 2025</w:t>
            </w:r>
          </w:p>
          <w:p w14:paraId="29918F7A" w14:textId="39DA3FD8" w:rsidR="00B04CB3" w:rsidRDefault="00B04CB3" w:rsidP="002131AC">
            <w:pPr>
              <w:pStyle w:val="BodyPA"/>
              <w:spacing w:line="276" w:lineRule="auto"/>
              <w:ind w:left="172" w:firstLine="0"/>
            </w:pPr>
            <w:r>
              <w:t xml:space="preserve">TIME: </w:t>
            </w:r>
            <w:r w:rsidR="001D1828">
              <w:t>8:30 a.m</w:t>
            </w:r>
            <w:r w:rsidR="00EC26C7">
              <w:t>.</w:t>
            </w:r>
          </w:p>
          <w:p w14:paraId="11781E10" w14:textId="56111F65" w:rsidR="00B04CB3" w:rsidRDefault="00B04CB3" w:rsidP="002131AC">
            <w:pPr>
              <w:pStyle w:val="BodyPA"/>
              <w:spacing w:line="276" w:lineRule="auto"/>
              <w:ind w:left="172" w:firstLine="0"/>
            </w:pPr>
            <w:r>
              <w:t xml:space="preserve">Dept.: </w:t>
            </w:r>
            <w:r w:rsidR="001D1828">
              <w:t>33</w:t>
            </w:r>
          </w:p>
          <w:p w14:paraId="6B9256C3" w14:textId="4C69D45F" w:rsidR="00B04CB3" w:rsidRPr="00073223" w:rsidRDefault="001D1828" w:rsidP="002131AC">
            <w:pPr>
              <w:pStyle w:val="BodyPA"/>
              <w:spacing w:line="276" w:lineRule="auto"/>
              <w:ind w:left="172" w:firstLine="0"/>
            </w:pPr>
            <w:r>
              <w:t>Hon. Raymonn DeJesus</w:t>
            </w:r>
          </w:p>
        </w:tc>
      </w:tr>
    </w:tbl>
    <w:p w14:paraId="4F46FC83" w14:textId="4B68B369" w:rsidR="001D1828" w:rsidRDefault="00433E96" w:rsidP="00A0424A">
      <w:pPr>
        <w:pStyle w:val="Heading1"/>
      </w:pPr>
      <w:bookmarkStart w:id="8" w:name="_Hlk214889189"/>
      <w:bookmarkStart w:id="9" w:name="_Hlk198362982"/>
      <w:r>
        <w:t>Prelude</w:t>
      </w:r>
    </w:p>
    <w:bookmarkEnd w:id="8"/>
    <w:p w14:paraId="200AD665" w14:textId="29CE217C" w:rsidR="00362FC6" w:rsidRDefault="00362FC6" w:rsidP="008052A0">
      <w:pPr>
        <w:ind w:firstLine="720"/>
        <w:contextualSpacing w:val="0"/>
      </w:pPr>
      <w:r>
        <w:t xml:space="preserve">On </w:t>
      </w:r>
      <w:bookmarkStart w:id="10" w:name="_Hlk215732794"/>
      <w:r>
        <w:t xml:space="preserve">July 29, </w:t>
      </w:r>
      <w:bookmarkEnd w:id="10"/>
      <w:r w:rsidR="00433E96">
        <w:t>2025,</w:t>
      </w:r>
      <w:r>
        <w:t xml:space="preserve"> petitioner Shawn Michael Rodriguez submitted a </w:t>
      </w:r>
      <w:r w:rsidRPr="007F077C">
        <w:rPr>
          <w:i/>
          <w:iCs/>
        </w:rPr>
        <w:t>Franklin</w:t>
      </w:r>
      <w:r>
        <w:t>/</w:t>
      </w:r>
      <w:r w:rsidRPr="007F077C">
        <w:rPr>
          <w:i/>
          <w:iCs/>
        </w:rPr>
        <w:t>Cook</w:t>
      </w:r>
      <w:r w:rsidR="007F077C" w:rsidRPr="007F077C">
        <w:rPr>
          <w:vertAlign w:val="superscript"/>
        </w:rPr>
        <w:footnoteReference w:id="1"/>
      </w:r>
      <w:r w:rsidR="007F077C">
        <w:rPr>
          <w:i/>
          <w:iCs/>
        </w:rPr>
        <w:t xml:space="preserve"> </w:t>
      </w:r>
      <w:r>
        <w:t>pleading, which morphed into a Penal Code</w:t>
      </w:r>
      <w:r w:rsidR="007F077C">
        <w:rPr>
          <w:rStyle w:val="FootnoteReference"/>
        </w:rPr>
        <w:footnoteReference w:id="2"/>
      </w:r>
      <w:r>
        <w:t xml:space="preserve"> section 1172.1 petition, filed November 12, 2025.</w:t>
      </w:r>
      <w:r w:rsidR="007F077C">
        <w:rPr>
          <w:rStyle w:val="FootnoteReference"/>
        </w:rPr>
        <w:footnoteReference w:id="3"/>
      </w:r>
      <w:r>
        <w:t xml:space="preserve"> Attached to the two pleadings were thirteen exhibits. </w:t>
      </w:r>
      <w:r w:rsidR="00196A36">
        <w:t xml:space="preserve">The exhibits </w:t>
      </w:r>
      <w:r w:rsidR="00977FC5">
        <w:t xml:space="preserve">prove that </w:t>
      </w:r>
      <w:r w:rsidR="005C7279">
        <w:t xml:space="preserve">Shawn Rodriguez suffered an abusive, traumatic childhood, </w:t>
      </w:r>
      <w:r w:rsidR="00196A36">
        <w:t xml:space="preserve">leading to a </w:t>
      </w:r>
      <w:r w:rsidR="00977FC5">
        <w:t>personality</w:t>
      </w:r>
      <w:r w:rsidR="00196A36">
        <w:t xml:space="preserve"> disorder, </w:t>
      </w:r>
      <w:r w:rsidR="005C7279">
        <w:t xml:space="preserve">with a throughline to these crimes in 2003. </w:t>
      </w:r>
      <w:r w:rsidR="00977FC5">
        <w:t>P</w:t>
      </w:r>
      <w:r w:rsidR="00230750">
        <w:t xml:space="preserve">sychologists within and outside of the California Department of Corrections and Rehabilitation </w:t>
      </w:r>
      <w:r w:rsidR="007F077C">
        <w:t xml:space="preserve">(CDCR) </w:t>
      </w:r>
      <w:r w:rsidR="00196A36">
        <w:t xml:space="preserve">agree </w:t>
      </w:r>
      <w:r w:rsidR="00977FC5">
        <w:t>that from a child plagued with a conduct disorder Shawn Rodriguez</w:t>
      </w:r>
      <w:r w:rsidR="00196A36">
        <w:t xml:space="preserve"> has matured into a man with no personality disorder.</w:t>
      </w:r>
    </w:p>
    <w:p w14:paraId="7AA1612F" w14:textId="1E41FDA7" w:rsidR="00196A36" w:rsidRDefault="00977FC5" w:rsidP="008052A0">
      <w:pPr>
        <w:ind w:firstLine="720"/>
        <w:contextualSpacing w:val="0"/>
      </w:pPr>
      <w:r w:rsidRPr="00977FC5">
        <w:lastRenderedPageBreak/>
        <w:t xml:space="preserve">Hon. Jeffrey S. Penney, who </w:t>
      </w:r>
      <w:r w:rsidR="007F077C">
        <w:t>is</w:t>
      </w:r>
      <w:r w:rsidRPr="00977FC5">
        <w:t xml:space="preserve"> thoroughly familiar with petitioner and with the facts of this case,</w:t>
      </w:r>
      <w:r w:rsidRPr="00977FC5">
        <w:rPr>
          <w:vertAlign w:val="superscript"/>
        </w:rPr>
        <w:footnoteReference w:id="4"/>
      </w:r>
      <w:r w:rsidRPr="00977FC5">
        <w:t xml:space="preserve"> considered Rodriguez’ </w:t>
      </w:r>
      <w:r w:rsidR="00CF7B3F">
        <w:t xml:space="preserve">§ </w:t>
      </w:r>
      <w:r w:rsidRPr="00977FC5">
        <w:t xml:space="preserve">1172.1 petition. </w:t>
      </w:r>
      <w:bookmarkStart w:id="11" w:name="_Hlk215845638"/>
      <w:r w:rsidRPr="00977FC5">
        <w:t xml:space="preserve">Judge Penney found </w:t>
      </w:r>
      <w:r>
        <w:t xml:space="preserve">that </w:t>
      </w:r>
      <w:r w:rsidRPr="00977FC5">
        <w:t xml:space="preserve">petitioner </w:t>
      </w:r>
      <w:r>
        <w:t xml:space="preserve">is </w:t>
      </w:r>
      <w:r w:rsidRPr="00977FC5">
        <w:t>eligible for resentencing</w:t>
      </w:r>
      <w:r w:rsidR="007F077C">
        <w:t xml:space="preserve">. </w:t>
      </w:r>
      <w:r w:rsidR="006277F5">
        <w:t xml:space="preserve">Next, </w:t>
      </w:r>
      <w:bookmarkStart w:id="12" w:name="_Hlk215865810"/>
      <w:r w:rsidR="006277F5">
        <w:t>h</w:t>
      </w:r>
      <w:r w:rsidR="007F077C">
        <w:t xml:space="preserve">e </w:t>
      </w:r>
      <w:r w:rsidRPr="00977FC5">
        <w:t xml:space="preserve">chose to </w:t>
      </w:r>
      <w:bookmarkStart w:id="13" w:name="_Hlk215904422"/>
      <w:r w:rsidRPr="00977FC5">
        <w:t>exercise his “discretion to initiate resentencing proceedings.”</w:t>
      </w:r>
      <w:r w:rsidR="00F564D9">
        <w:t xml:space="preserve"> </w:t>
      </w:r>
      <w:bookmarkEnd w:id="12"/>
    </w:p>
    <w:bookmarkEnd w:id="11"/>
    <w:bookmarkEnd w:id="13"/>
    <w:p w14:paraId="6E9A4D49" w14:textId="1DCB0252" w:rsidR="00E65C0A" w:rsidRPr="00E65C0A" w:rsidRDefault="00E65C0A" w:rsidP="00E65C0A">
      <w:pPr>
        <w:ind w:firstLine="720"/>
        <w:contextualSpacing w:val="0"/>
      </w:pPr>
      <w:r w:rsidRPr="00E65C0A">
        <w:t xml:space="preserve">Recall is appropriate to the Legislature’s intent in amending </w:t>
      </w:r>
      <w:r w:rsidR="00CF7B3F">
        <w:t xml:space="preserve">§§ </w:t>
      </w:r>
      <w:r w:rsidRPr="00E65C0A">
        <w:t xml:space="preserve">1170, 1385, 654 and other statutes, and enacting </w:t>
      </w:r>
      <w:r w:rsidR="00CF7B3F">
        <w:t xml:space="preserve">§ </w:t>
      </w:r>
      <w:r w:rsidRPr="00E65C0A">
        <w:t xml:space="preserve">1172.1 itself. Resentencing, where appropriate, reflects evolving standards justice, reflected in the changes to relevant statutes. The Legislature amended </w:t>
      </w:r>
      <w:r w:rsidR="00CF7B3F">
        <w:t xml:space="preserve">§ </w:t>
      </w:r>
      <w:r w:rsidRPr="00E65C0A">
        <w:t xml:space="preserve">1170, for example, to emphasize rehabilitation and reintegration into society as a primary purpose of sentencing. That was not the case when petitioner was sentenced. Childhood trauma was not considered a mitigating factor. Cases such as </w:t>
      </w:r>
      <w:r w:rsidRPr="00E65C0A">
        <w:rPr>
          <w:i/>
          <w:iCs/>
        </w:rPr>
        <w:t>Graham</w:t>
      </w:r>
      <w:r w:rsidRPr="00E65C0A">
        <w:rPr>
          <w:vertAlign w:val="superscript"/>
        </w:rPr>
        <w:footnoteReference w:id="5"/>
      </w:r>
      <w:r w:rsidRPr="00E65C0A">
        <w:t xml:space="preserve"> and </w:t>
      </w:r>
      <w:r w:rsidRPr="00E65C0A">
        <w:rPr>
          <w:i/>
          <w:iCs/>
        </w:rPr>
        <w:t>Miller</w:t>
      </w:r>
      <w:r w:rsidRPr="00E65C0A">
        <w:t>,</w:t>
      </w:r>
      <w:r w:rsidRPr="00E65C0A">
        <w:rPr>
          <w:vertAlign w:val="superscript"/>
        </w:rPr>
        <w:footnoteReference w:id="6"/>
      </w:r>
      <w:r w:rsidRPr="00E65C0A">
        <w:t xml:space="preserve"> </w:t>
      </w:r>
      <w:r w:rsidRPr="00E65C0A">
        <w:rPr>
          <w:i/>
          <w:iCs/>
        </w:rPr>
        <w:t>Franklin</w:t>
      </w:r>
      <w:r w:rsidRPr="00E65C0A">
        <w:t xml:space="preserve">, </w:t>
      </w:r>
      <w:r w:rsidRPr="00E65C0A">
        <w:rPr>
          <w:i/>
          <w:iCs/>
        </w:rPr>
        <w:t>Rodriguez</w:t>
      </w:r>
      <w:r w:rsidRPr="00E65C0A">
        <w:t>,</w:t>
      </w:r>
      <w:r w:rsidRPr="00E65C0A">
        <w:rPr>
          <w:vertAlign w:val="superscript"/>
        </w:rPr>
        <w:footnoteReference w:id="7"/>
      </w:r>
      <w:r w:rsidRPr="00E65C0A">
        <w:t xml:space="preserve"> and </w:t>
      </w:r>
      <w:r w:rsidRPr="00E65C0A">
        <w:rPr>
          <w:i/>
          <w:iCs/>
        </w:rPr>
        <w:t>Cook</w:t>
      </w:r>
      <w:r w:rsidRPr="00E65C0A">
        <w:t xml:space="preserve"> were beyond the horizon. Factors in mitigation currently, such as youth, victimization, and mental illness were not included in the Rules of Court. The sole mitigating factor found by the probation officer was that “The defendant participate in the crime under circumstances of coercion or the criminal conduct was partially excusable for some other reason not amounting to a defense.” (Rodriguez’ probation report, filed December 5, 2003, at page 41:10 -42:2.)</w:t>
      </w:r>
    </w:p>
    <w:p w14:paraId="6A7DF01A" w14:textId="43749FD1" w:rsidR="00977FC5" w:rsidRDefault="00977FC5" w:rsidP="00977FC5">
      <w:pPr>
        <w:ind w:firstLine="720"/>
        <w:contextualSpacing w:val="0"/>
      </w:pPr>
      <w:r w:rsidRPr="00977FC5">
        <w:t xml:space="preserve">The People ask this court to shortcut a full resentencing hearing by denying it entirely. </w:t>
      </w:r>
      <w:r w:rsidR="00AF63FA" w:rsidRPr="00977FC5">
        <w:t>Their reasoning is faulty.</w:t>
      </w:r>
      <w:r w:rsidR="00AF63FA">
        <w:t xml:space="preserve"> The People</w:t>
      </w:r>
      <w:r>
        <w:t xml:space="preserve"> base their objection on static facts dredged from 2003 </w:t>
      </w:r>
      <w:r w:rsidR="00AF63FA">
        <w:t xml:space="preserve">and old rules violations which CDCR itself now rejects in its evaluation of petitioner’s appropriate </w:t>
      </w:r>
      <w:r w:rsidR="00433E96">
        <w:t xml:space="preserve">classification and </w:t>
      </w:r>
      <w:r w:rsidR="00AF63FA">
        <w:t>housing.</w:t>
      </w:r>
    </w:p>
    <w:p w14:paraId="200890A7" w14:textId="2A4F7D6D" w:rsidR="00AF63FA" w:rsidRDefault="007F077C" w:rsidP="00977FC5">
      <w:pPr>
        <w:ind w:firstLine="720"/>
        <w:contextualSpacing w:val="0"/>
      </w:pPr>
      <w:r w:rsidRPr="007F077C">
        <w:t xml:space="preserve">Petitioner seeks only a fair opportunity to present his case to this court. </w:t>
      </w:r>
      <w:r w:rsidR="00AF63FA">
        <w:t xml:space="preserve">The People’s </w:t>
      </w:r>
      <w:r w:rsidR="00CF7B3F">
        <w:t>opposition</w:t>
      </w:r>
      <w:r w:rsidR="00AF63FA">
        <w:t xml:space="preserve"> should be </w:t>
      </w:r>
      <w:r w:rsidR="00CF7B3F">
        <w:t>rejected</w:t>
      </w:r>
      <w:r w:rsidR="00AF63FA">
        <w:t>.</w:t>
      </w:r>
    </w:p>
    <w:p w14:paraId="02F9C2AF" w14:textId="77777777" w:rsidR="006A5149" w:rsidRDefault="006A5149" w:rsidP="006A5149">
      <w:pPr>
        <w:pStyle w:val="Heading1"/>
      </w:pPr>
      <w:r>
        <w:lastRenderedPageBreak/>
        <w:t>Facts</w:t>
      </w:r>
    </w:p>
    <w:p w14:paraId="42AE77AF" w14:textId="77777777" w:rsidR="006A5149" w:rsidRDefault="006A5149" w:rsidP="006A5149">
      <w:pPr>
        <w:ind w:firstLine="720"/>
        <w:contextualSpacing w:val="0"/>
      </w:pPr>
      <w:r w:rsidRPr="008B2AC7">
        <w:t>During the several days leading up to Saturday, March 15, 2003, Anna Rugg, who was recently released from custody on burglary charges, confided to Erin Hughes that she wanted to kill Nick Hamman. On March 15, Anna Rugg and defendant lured Hamman into a holding cell in the old juvenile hall in Auburn, just up from Elm Street, and falsely imprisoned him there. Rugg</w:t>
      </w:r>
      <w:r>
        <w:t xml:space="preserve"> </w:t>
      </w:r>
      <w:r w:rsidRPr="008B2AC7">
        <w:t>told the victim that she was still mad at him over</w:t>
      </w:r>
      <w:r>
        <w:t xml:space="preserve"> an earlier argument, and that she would let him out in a few minutes</w:t>
      </w:r>
      <w:r w:rsidRPr="008B2AC7">
        <w:t>. Defendant threatened to burn down the building</w:t>
      </w:r>
      <w:r>
        <w:t>.</w:t>
      </w:r>
      <w:r w:rsidRPr="008B2AC7">
        <w:t xml:space="preserve"> Rugg and defendant then left.</w:t>
      </w:r>
    </w:p>
    <w:p w14:paraId="3A3252B0" w14:textId="77777777" w:rsidR="006A5149" w:rsidRDefault="006A5149" w:rsidP="006A5149">
      <w:pPr>
        <w:ind w:firstLine="720"/>
        <w:contextualSpacing w:val="0"/>
      </w:pPr>
      <w:r>
        <w:t xml:space="preserve">Once they left, </w:t>
      </w:r>
      <w:r w:rsidRPr="00642A7C">
        <w:t xml:space="preserve">Hammon used his lighter to set off the sprinkler system </w:t>
      </w:r>
      <w:r>
        <w:t>i</w:t>
      </w:r>
      <w:r w:rsidRPr="008B2AC7">
        <w:t>n hopes of setting off a fire alarm and alerting the fire department to his plight,</w:t>
      </w:r>
      <w:r>
        <w:t>. This only</w:t>
      </w:r>
      <w:r w:rsidRPr="008B2AC7">
        <w:t xml:space="preserve"> resulted in Hammon being drenched. </w:t>
      </w:r>
      <w:r>
        <w:t xml:space="preserve">When Rugg and defendant returned, they demanded that Hamman turn over his cash and ATM card. He refused, and the pair placed towels to stop the slowly accumulating water from escaping. When Rugg and defendant returned a short while later the water level had risen to </w:t>
      </w:r>
      <w:r w:rsidRPr="008B2AC7">
        <w:t>Hamman</w:t>
      </w:r>
      <w:r>
        <w:t>’s thigh.</w:t>
      </w:r>
      <w:r w:rsidRPr="0001770B">
        <w:rPr>
          <w:vertAlign w:val="superscript"/>
        </w:rPr>
        <w:footnoteReference w:id="8"/>
      </w:r>
      <w:r>
        <w:t xml:space="preserve"> Hamman turned over keys to his vehicle, some cash, and his ATM card, and Rugg and defendant removed the towels. They </w:t>
      </w:r>
      <w:r w:rsidRPr="00973C62">
        <w:t>drove about in Hammon’s vehicle and withdrew $40 from Hammon’s bank account (this in addition to the $13 cash the victim handed over to them).</w:t>
      </w:r>
    </w:p>
    <w:p w14:paraId="379AF9D0" w14:textId="77777777" w:rsidR="006A5149" w:rsidRDefault="006A5149" w:rsidP="006A5149">
      <w:pPr>
        <w:ind w:firstLine="720"/>
        <w:contextualSpacing w:val="0"/>
      </w:pPr>
      <w:r>
        <w:t>The pair l</w:t>
      </w:r>
      <w:r w:rsidRPr="00973C62">
        <w:t xml:space="preserve">ater went to the Sacramento residence of </w:t>
      </w:r>
      <w:bookmarkStart w:id="14" w:name="_Hlk210471669"/>
      <w:r w:rsidRPr="00973C62">
        <w:t>defendant’s foster brother, Richard Romines</w:t>
      </w:r>
      <w:bookmarkEnd w:id="14"/>
      <w:r w:rsidRPr="00973C62">
        <w:t xml:space="preserve">, where they spent the night. On Sunday defendant asked about ways to kill someone. Romines described to defendant and Rugg that that on television he had seen someone hook up a hose to the pipe of a car’s </w:t>
      </w:r>
      <w:r w:rsidRPr="00973C62">
        <w:lastRenderedPageBreak/>
        <w:t xml:space="preserve">muffler and then run the hose to a small, sealed room. </w:t>
      </w:r>
      <w:r>
        <w:t xml:space="preserve">Romines testified that Rugg was the “mastermind” in all this. </w:t>
      </w:r>
    </w:p>
    <w:p w14:paraId="4F6E6C2A" w14:textId="77777777" w:rsidR="006A5149" w:rsidRDefault="006A5149" w:rsidP="006A5149">
      <w:pPr>
        <w:ind w:firstLine="720"/>
        <w:contextualSpacing w:val="0"/>
      </w:pPr>
      <w:r w:rsidRPr="00973C62">
        <w:t>The defendants then left and returned to Auburn.</w:t>
      </w:r>
      <w:r>
        <w:t xml:space="preserve"> </w:t>
      </w:r>
      <w:r w:rsidRPr="00973C62">
        <w:t>Rugg</w:t>
      </w:r>
      <w:r>
        <w:t xml:space="preserve"> and defendant</w:t>
      </w:r>
      <w:r w:rsidRPr="00973C62">
        <w:t xml:space="preserve"> purchased duct tape and hoses</w:t>
      </w:r>
      <w:r>
        <w:t>, purportedly</w:t>
      </w:r>
      <w:r w:rsidRPr="00973C62">
        <w:t xml:space="preserve"> to use to introduce carbon monoxide into Hamman’s cell. </w:t>
      </w:r>
      <w:r>
        <w:t>To satisfy Rugg that he shared her intent to kill the victim, d</w:t>
      </w:r>
      <w:r w:rsidRPr="00973C62">
        <w:t>efendant taped the hoses on the tailpipe of the car</w:t>
      </w:r>
      <w:r>
        <w:t>. But defendant deliberately did not run the hose into the cell where Hamman was confined.</w:t>
      </w:r>
      <w:r>
        <w:rPr>
          <w:rStyle w:val="FootnoteReference"/>
        </w:rPr>
        <w:footnoteReference w:id="9"/>
      </w:r>
      <w:r>
        <w:t xml:space="preserve"> Defendant</w:t>
      </w:r>
      <w:r w:rsidRPr="00973C62">
        <w:t xml:space="preserve"> ran the car’s engine for </w:t>
      </w:r>
      <w:r>
        <w:t xml:space="preserve">about six minutes, and the hose fell off the tailpipe. </w:t>
      </w:r>
      <w:r w:rsidRPr="00973C62">
        <w:t>Defendant assured Rugg that he had run a lethal amount of carbon monoxide into the cell where Hamman was confined</w:t>
      </w:r>
      <w:r>
        <w:t>; he had not.</w:t>
      </w:r>
    </w:p>
    <w:p w14:paraId="5A386BA9" w14:textId="77777777" w:rsidR="006A5149" w:rsidRDefault="006A5149" w:rsidP="006A5149">
      <w:pPr>
        <w:ind w:firstLine="720"/>
        <w:contextualSpacing w:val="0"/>
      </w:pPr>
      <w:r>
        <w:t>The pair again left juvenile hall. They stopped for gas at a nearby station. Rugg, understanding that the jig was up, surreptitiously left a note at the station claiming that she had been kidnapped by defendant and that Hamman was locked in a cell at juvenile hall. Police eventually responded to the hall, released Hamman and took him to a local hospital. A short while later the police arrested Rugg and defendant, who had returned to Auburn.</w:t>
      </w:r>
    </w:p>
    <w:p w14:paraId="41871B85" w14:textId="77777777" w:rsidR="006A5149" w:rsidRDefault="006A5149" w:rsidP="006A5149">
      <w:pPr>
        <w:ind w:firstLine="720"/>
        <w:contextualSpacing w:val="0"/>
      </w:pPr>
      <w:r>
        <w:t>Hamman was seen in the emergency room. His condition was diagnosed by Dr. Harris. Hamman had an abrasion on his thigh and was treated for mild dehydration. In Dr. Harris opinion, Hamman did not sustain any significant hypothermia or cold injury. He was released in about two and a half hours.</w:t>
      </w:r>
    </w:p>
    <w:p w14:paraId="18460006" w14:textId="77777777" w:rsidR="006A5149" w:rsidRDefault="006A5149" w:rsidP="006A5149">
      <w:pPr>
        <w:pStyle w:val="Heading1"/>
      </w:pPr>
      <w:bookmarkStart w:id="15" w:name="_Hlk215742177"/>
      <w:r>
        <w:t>Procedural History</w:t>
      </w:r>
    </w:p>
    <w:bookmarkEnd w:id="15"/>
    <w:p w14:paraId="507BACD6" w14:textId="3E5316D2" w:rsidR="006A5149" w:rsidRDefault="006A5149" w:rsidP="006A5149">
      <w:pPr>
        <w:ind w:firstLine="720"/>
        <w:contextualSpacing w:val="0"/>
      </w:pPr>
      <w:r>
        <w:t xml:space="preserve">On June 4, 2003, the People charged defendant with kidnapping Nicholas Hammon for ransom with bodily harm; the bodily harm allegation was subsequentially dropped and the information alleged kidnapping for extortion </w:t>
      </w:r>
      <w:r w:rsidRPr="00D44BFB">
        <w:t>(§</w:t>
      </w:r>
      <w:r>
        <w:t xml:space="preserve"> </w:t>
      </w:r>
      <w:r w:rsidRPr="00D44BFB">
        <w:t>209</w:t>
      </w:r>
      <w:r w:rsidR="00CF7B3F">
        <w:t xml:space="preserve">, subd. </w:t>
      </w:r>
      <w:r w:rsidRPr="00D44BFB">
        <w:t>(a))</w:t>
      </w:r>
      <w:r>
        <w:t xml:space="preserve">. In a special allegation the People charged that the manner of </w:t>
      </w:r>
      <w:r>
        <w:lastRenderedPageBreak/>
        <w:t>kidnapping subjected Hammon to a substantial likelihood of death. (Notably, upon conviction, defendant was subject to a term of life with possibility of parole because Hammon did not suffer bodily harm.) In count two the People charged defendant and Anna Rugg with conspiracy to commit murder (§</w:t>
      </w:r>
      <w:r w:rsidR="00CF7B3F">
        <w:t xml:space="preserve"> </w:t>
      </w:r>
      <w:r>
        <w:t>182</w:t>
      </w:r>
      <w:r w:rsidR="00CF7B3F">
        <w:t xml:space="preserve">, subd. </w:t>
      </w:r>
      <w:r>
        <w:t xml:space="preserve">(a)(1)/187). Count three charged defendant and Rugg with attempted murder, with a special allegation that the attempted murder was of the first degree (§664/187(a)). Count four alleged the defendants robbed Hammon (§211). Count five charged the pair with imprisonment by violence (§236), Count six charged them with unlawful taking or driving of a vehicle </w:t>
      </w:r>
      <w:r w:rsidRPr="00534D18">
        <w:t>(Veh.Code, §</w:t>
      </w:r>
      <w:r w:rsidR="00CF7B3F">
        <w:t xml:space="preserve"> </w:t>
      </w:r>
      <w:r w:rsidRPr="00534D18">
        <w:t>10851)</w:t>
      </w:r>
      <w:r>
        <w:t xml:space="preserve">, and counts seven and eight alleged identity theft </w:t>
      </w:r>
      <w:r w:rsidRPr="00D44BFB">
        <w:t>(§</w:t>
      </w:r>
      <w:r w:rsidR="00CF7B3F">
        <w:t xml:space="preserve"> </w:t>
      </w:r>
      <w:r w:rsidRPr="00D44BFB">
        <w:t>530.5)</w:t>
      </w:r>
      <w:r>
        <w:t>.</w:t>
      </w:r>
      <w:r w:rsidR="00AF0CB7">
        <w:t xml:space="preserve"> The People did not allege any bodily injury.</w:t>
      </w:r>
    </w:p>
    <w:p w14:paraId="33A27299" w14:textId="4065EE19" w:rsidR="006A5149" w:rsidRDefault="006A5149" w:rsidP="006A5149">
      <w:pPr>
        <w:ind w:firstLine="720"/>
        <w:contextualSpacing w:val="0"/>
      </w:pPr>
      <w:r>
        <w:t xml:space="preserve">The jury convicted defendant of kidnapping for extortion, with a finding that </w:t>
      </w:r>
      <w:r w:rsidRPr="007A70B5">
        <w:t>the victim was exposed to a substantial likelihood of death</w:t>
      </w:r>
      <w:r>
        <w:t xml:space="preserve">, conspiracy to commit murder, robbery, false imprisonment, two counts of identity theft, and auto theft. </w:t>
      </w:r>
      <w:r w:rsidR="00AF0CB7">
        <w:t>Notably, t</w:t>
      </w:r>
      <w:r>
        <w:t>he jury did not convict defendant of attempted murder.</w:t>
      </w:r>
    </w:p>
    <w:p w14:paraId="7A131DC9" w14:textId="77777777" w:rsidR="006A5149" w:rsidRDefault="006A5149" w:rsidP="006A5149">
      <w:pPr>
        <w:ind w:firstLine="720"/>
        <w:contextualSpacing w:val="0"/>
      </w:pPr>
      <w:r>
        <w:t>Anna Rugg entered a plea deal: she pleaded guilty to kidnapping for extortion (with no allegation that the victim was exposed to a substantial likelihood of death) and two counts of identity theft, entered no contest pleas to vehicle theft, and entered a no contest plea to a count of burglary (§ 459) which was unconnected to the present matter. She became eligible for parole in 2011, but remains in custody pending a next parole date in 2028.</w:t>
      </w:r>
    </w:p>
    <w:p w14:paraId="4A6AAFCA" w14:textId="77777777" w:rsidR="006A5149" w:rsidRDefault="006A5149" w:rsidP="006A5149">
      <w:pPr>
        <w:ind w:firstLine="720"/>
        <w:contextualSpacing w:val="0"/>
      </w:pPr>
      <w:r>
        <w:t xml:space="preserve">On February 15, 2015, Nick Hammon sent a note to the court and to the District Attorney recanting his allegation that the water reached his neck; he admitted that the water reached only up to his thighs. The court found that this created a prima facie showing for habeas corpus relief and held a hearing. The court denied relief, ruling that the only issue at trial was defendant’s intent, </w:t>
      </w:r>
      <w:r>
        <w:lastRenderedPageBreak/>
        <w:t>which was not affected by Hammon’s admission of exaggerated testimony.</w:t>
      </w:r>
      <w:r>
        <w:rPr>
          <w:rStyle w:val="FootnoteReference"/>
        </w:rPr>
        <w:footnoteReference w:id="10"/>
      </w:r>
      <w:bookmarkStart w:id="16" w:name="_Hlk215302633"/>
      <w:r>
        <w:t xml:space="preserve"> On December 29, 2022, Judge Penney affirmed this decision in a subsequent habeas petition filed on the same facts.</w:t>
      </w:r>
    </w:p>
    <w:bookmarkEnd w:id="16"/>
    <w:p w14:paraId="79E6B750" w14:textId="77777777" w:rsidR="006A5149" w:rsidRDefault="006A5149" w:rsidP="006A5149">
      <w:pPr>
        <w:ind w:firstLine="720"/>
        <w:contextualSpacing w:val="0"/>
      </w:pPr>
      <w:r>
        <w:t xml:space="preserve">On March 29, 2024, Judge Penney granted petitioner’s February 15, 2024, motion for a </w:t>
      </w:r>
      <w:r w:rsidRPr="004A7F72">
        <w:rPr>
          <w:i/>
          <w:iCs/>
        </w:rPr>
        <w:t>Franklin</w:t>
      </w:r>
      <w:r>
        <w:t>/</w:t>
      </w:r>
      <w:r w:rsidRPr="004A7F72">
        <w:rPr>
          <w:i/>
          <w:iCs/>
        </w:rPr>
        <w:t>Cook</w:t>
      </w:r>
      <w:r>
        <w:t xml:space="preserve"> hearing pursuant to § 1203.01. On July 29, 2025, petitioner filed the petition.</w:t>
      </w:r>
    </w:p>
    <w:p w14:paraId="23137D96" w14:textId="77777777" w:rsidR="006A5149" w:rsidRDefault="006A5149" w:rsidP="006A5149">
      <w:pPr>
        <w:ind w:firstLine="720"/>
        <w:contextualSpacing w:val="0"/>
      </w:pPr>
      <w:r>
        <w:t xml:space="preserve">On November 12, petitioner filed his </w:t>
      </w:r>
      <w:r w:rsidRPr="00D8474F">
        <w:t>§ 1172.1</w:t>
      </w:r>
      <w:r>
        <w:t xml:space="preserve"> petition for recall and resentencing. Judge Penney set the matter for status </w:t>
      </w:r>
      <w:bookmarkStart w:id="17" w:name="_Hlk214972911"/>
      <w:r>
        <w:t xml:space="preserve">conference on November 18, 2025, and appointed the Placer County Public </w:t>
      </w:r>
      <w:bookmarkEnd w:id="17"/>
      <w:r>
        <w:t>Defender to represent petitioner.</w:t>
      </w:r>
    </w:p>
    <w:p w14:paraId="3DC5B158" w14:textId="045C56F8" w:rsidR="006A5149" w:rsidRDefault="006A5149" w:rsidP="006A5149">
      <w:pPr>
        <w:ind w:firstLine="720"/>
        <w:contextualSpacing w:val="0"/>
      </w:pPr>
      <w:r>
        <w:t xml:space="preserve">On November 18, 2025, this court set the matter on December 3 for a </w:t>
      </w:r>
      <w:r w:rsidRPr="008052A0">
        <w:rPr>
          <w:i/>
          <w:iCs/>
        </w:rPr>
        <w:t>Franklin</w:t>
      </w:r>
      <w:r>
        <w:t xml:space="preserve"> hearing and a hearing on the motion to recall petitioner’s commitment and proceed to resentencing. </w:t>
      </w:r>
      <w:r w:rsidR="00CF7B3F">
        <w:t>Upon a defense motion, t</w:t>
      </w:r>
      <w:r>
        <w:t xml:space="preserve">he matter was continued to December 17. </w:t>
      </w:r>
    </w:p>
    <w:p w14:paraId="45FE96E0" w14:textId="015508F8" w:rsidR="00DC1AD7" w:rsidRDefault="00DC1AD7" w:rsidP="00DC1AD7">
      <w:pPr>
        <w:pStyle w:val="Heading1"/>
      </w:pPr>
      <w:r>
        <w:t>Law and Argument</w:t>
      </w:r>
    </w:p>
    <w:p w14:paraId="1ECF4AC8" w14:textId="263C6203" w:rsidR="00DC1AD7" w:rsidRPr="00DC1AD7" w:rsidRDefault="00AA478D" w:rsidP="00A67A87">
      <w:pPr>
        <w:numPr>
          <w:ilvl w:val="0"/>
          <w:numId w:val="8"/>
        </w:numPr>
        <w:spacing w:before="240" w:after="120" w:line="240" w:lineRule="auto"/>
        <w:contextualSpacing w:val="0"/>
        <w:outlineLvl w:val="0"/>
        <w:rPr>
          <w:rFonts w:eastAsia="Calibri" w:cs="Times New Roman"/>
          <w:b/>
          <w:bCs/>
        </w:rPr>
      </w:pPr>
      <w:bookmarkStart w:id="18" w:name="_Hlk215932333"/>
      <w:r>
        <w:rPr>
          <w:rFonts w:eastAsia="Calibri" w:cs="Times New Roman"/>
          <w:b/>
          <w:bCs/>
        </w:rPr>
        <w:t xml:space="preserve">THE LEGISLATURE INTENDED RESENTENCING FOR QUALIFIED </w:t>
      </w:r>
      <w:bookmarkEnd w:id="18"/>
      <w:r>
        <w:rPr>
          <w:rFonts w:eastAsia="Calibri" w:cs="Times New Roman"/>
          <w:b/>
          <w:bCs/>
        </w:rPr>
        <w:t xml:space="preserve">AND SUITABLE INMATES. </w:t>
      </w:r>
    </w:p>
    <w:p w14:paraId="11B15323" w14:textId="2839F0E9" w:rsidR="00F364C2" w:rsidRPr="00F364C2" w:rsidRDefault="0081568A" w:rsidP="00F364C2">
      <w:pPr>
        <w:pStyle w:val="ListParagraph"/>
        <w:numPr>
          <w:ilvl w:val="0"/>
          <w:numId w:val="11"/>
        </w:numPr>
        <w:spacing w:after="240" w:line="240" w:lineRule="auto"/>
        <w:contextualSpacing w:val="0"/>
        <w:rPr>
          <w:rFonts w:eastAsia="Calibri" w:cs="Times New Roman"/>
        </w:rPr>
      </w:pPr>
      <w:bookmarkStart w:id="19" w:name="_Hlk215842446"/>
      <w:bookmarkStart w:id="20" w:name="_Hlk215915572"/>
      <w:r w:rsidRPr="0081568A">
        <w:rPr>
          <w:rFonts w:eastAsia="Calibri" w:cs="Times New Roman"/>
          <w:i/>
          <w:iCs/>
        </w:rPr>
        <w:t>A Court Should Order Recall of a Commitment Unless Doing</w:t>
      </w:r>
      <w:r w:rsidR="00CF7B3F">
        <w:rPr>
          <w:rFonts w:eastAsia="Calibri" w:cs="Times New Roman"/>
          <w:i/>
          <w:iCs/>
        </w:rPr>
        <w:t xml:space="preserve"> So</w:t>
      </w:r>
      <w:r w:rsidRPr="0081568A">
        <w:rPr>
          <w:rFonts w:eastAsia="Calibri" w:cs="Times New Roman"/>
          <w:i/>
          <w:iCs/>
        </w:rPr>
        <w:t xml:space="preserve"> is Plainly Not in the Interest of Justice</w:t>
      </w:r>
      <w:r>
        <w:rPr>
          <w:rFonts w:eastAsia="Calibri" w:cs="Times New Roman"/>
        </w:rPr>
        <w:t>.</w:t>
      </w:r>
    </w:p>
    <w:bookmarkEnd w:id="20"/>
    <w:p w14:paraId="040AE0FF" w14:textId="615B48D1" w:rsidR="000F6800" w:rsidRDefault="00F6583F" w:rsidP="00AA478D">
      <w:pPr>
        <w:ind w:firstLine="720"/>
        <w:contextualSpacing w:val="0"/>
        <w:rPr>
          <w:rFonts w:eastAsia="Calibri" w:cs="Times New Roman"/>
        </w:rPr>
      </w:pPr>
      <w:r>
        <w:rPr>
          <w:rFonts w:eastAsia="Calibri" w:cs="Times New Roman"/>
        </w:rPr>
        <w:t xml:space="preserve">A court may initiate recall and resentencing proceedings pursuant to </w:t>
      </w:r>
      <w:r w:rsidR="00CF7B3F">
        <w:rPr>
          <w:rFonts w:eastAsia="Calibri" w:cs="Times New Roman"/>
        </w:rPr>
        <w:t xml:space="preserve">§ </w:t>
      </w:r>
      <w:r>
        <w:rPr>
          <w:rFonts w:eastAsia="Calibri" w:cs="Times New Roman"/>
        </w:rPr>
        <w:t>1172.1</w:t>
      </w:r>
      <w:r w:rsidR="00FC6E8A">
        <w:rPr>
          <w:rFonts w:eastAsia="Calibri" w:cs="Times New Roman"/>
        </w:rPr>
        <w:t>, subd. (a)</w:t>
      </w:r>
      <w:r>
        <w:rPr>
          <w:rFonts w:eastAsia="Calibri" w:cs="Times New Roman"/>
        </w:rPr>
        <w:t xml:space="preserve"> if there </w:t>
      </w:r>
      <w:r w:rsidR="00EC7BC1">
        <w:rPr>
          <w:rFonts w:eastAsia="Calibri" w:cs="Times New Roman"/>
        </w:rPr>
        <w:t>have been</w:t>
      </w:r>
      <w:r>
        <w:rPr>
          <w:rFonts w:eastAsia="Calibri" w:cs="Times New Roman"/>
        </w:rPr>
        <w:t xml:space="preserve"> </w:t>
      </w:r>
      <w:r w:rsidR="00EC7BC1">
        <w:rPr>
          <w:rFonts w:eastAsia="Calibri" w:cs="Times New Roman"/>
        </w:rPr>
        <w:t xml:space="preserve">postconviction </w:t>
      </w:r>
      <w:r>
        <w:rPr>
          <w:rFonts w:eastAsia="Calibri" w:cs="Times New Roman"/>
        </w:rPr>
        <w:t xml:space="preserve">changes in applicable </w:t>
      </w:r>
      <w:bookmarkEnd w:id="19"/>
      <w:r>
        <w:rPr>
          <w:rFonts w:eastAsia="Calibri" w:cs="Times New Roman"/>
        </w:rPr>
        <w:t xml:space="preserve">sentencing laws. </w:t>
      </w:r>
      <w:r w:rsidR="00FC6E8A">
        <w:rPr>
          <w:rFonts w:eastAsia="Calibri" w:cs="Times New Roman"/>
        </w:rPr>
        <w:t xml:space="preserve">Subsection (a)(5) articulates the factors which the court </w:t>
      </w:r>
      <w:r w:rsidR="00282738">
        <w:rPr>
          <w:rFonts w:eastAsia="Calibri" w:cs="Times New Roman"/>
        </w:rPr>
        <w:t>shall</w:t>
      </w:r>
      <w:r w:rsidR="00FC6E8A">
        <w:rPr>
          <w:rFonts w:eastAsia="Calibri" w:cs="Times New Roman"/>
        </w:rPr>
        <w:t xml:space="preserve"> </w:t>
      </w:r>
      <w:r w:rsidR="00FC6E8A">
        <w:rPr>
          <w:rFonts w:eastAsia="Calibri" w:cs="Times New Roman"/>
        </w:rPr>
        <w:lastRenderedPageBreak/>
        <w:t>consider “in recalling and resentencing pursuant to this provision.”</w:t>
      </w:r>
      <w:r w:rsidR="00FC6E8A" w:rsidRPr="00FC6E8A">
        <w:rPr>
          <w:rFonts w:eastAsia="Calibri" w:cs="Times New Roman"/>
          <w:vertAlign w:val="superscript"/>
        </w:rPr>
        <w:footnoteReference w:id="11"/>
      </w:r>
      <w:r w:rsidR="008E1D59">
        <w:rPr>
          <w:rFonts w:eastAsia="Calibri" w:cs="Times New Roman"/>
        </w:rPr>
        <w:t xml:space="preserve"> </w:t>
      </w:r>
      <w:r w:rsidR="00201BDD">
        <w:rPr>
          <w:rFonts w:eastAsia="Calibri" w:cs="Times New Roman"/>
        </w:rPr>
        <w:t>Section 1170.03 (now 1172.1) was enacted by</w:t>
      </w:r>
      <w:r w:rsidR="000F6800">
        <w:rPr>
          <w:rFonts w:eastAsia="Calibri" w:cs="Times New Roman"/>
        </w:rPr>
        <w:t xml:space="preserve"> </w:t>
      </w:r>
      <w:r w:rsidR="00201BDD">
        <w:rPr>
          <w:rFonts w:eastAsia="Calibri" w:cs="Times New Roman"/>
        </w:rPr>
        <w:t>2021 Assembly Bill 1540</w:t>
      </w:r>
      <w:r w:rsidR="00CF7B3F">
        <w:rPr>
          <w:rFonts w:eastAsia="Calibri" w:cs="Times New Roman"/>
        </w:rPr>
        <w:t xml:space="preserve">. In AB 1540 </w:t>
      </w:r>
      <w:r w:rsidR="00201BDD">
        <w:rPr>
          <w:rFonts w:eastAsia="Calibri" w:cs="Times New Roman"/>
        </w:rPr>
        <w:t>the Legislature</w:t>
      </w:r>
      <w:r w:rsidR="000F6800">
        <w:rPr>
          <w:rFonts w:eastAsia="Calibri" w:cs="Times New Roman"/>
        </w:rPr>
        <w:t xml:space="preserve"> pointed to, and</w:t>
      </w:r>
      <w:r w:rsidR="00201BDD">
        <w:rPr>
          <w:rFonts w:eastAsia="Calibri" w:cs="Times New Roman"/>
        </w:rPr>
        <w:t xml:space="preserve"> lamented</w:t>
      </w:r>
      <w:r w:rsidR="000F6800">
        <w:rPr>
          <w:rFonts w:eastAsia="Calibri" w:cs="Times New Roman"/>
        </w:rPr>
        <w:t>, lengthy</w:t>
      </w:r>
      <w:r w:rsidR="00201BDD">
        <w:rPr>
          <w:rFonts w:eastAsia="Calibri" w:cs="Times New Roman"/>
        </w:rPr>
        <w:t xml:space="preserve"> prison </w:t>
      </w:r>
      <w:r w:rsidR="000F6800">
        <w:rPr>
          <w:rFonts w:eastAsia="Calibri" w:cs="Times New Roman"/>
        </w:rPr>
        <w:t xml:space="preserve">sentences, particularly indeterminate life sentences. The legislative intent behind AB 1540 was to address </w:t>
      </w:r>
      <w:r w:rsidR="00CF7B3F">
        <w:rPr>
          <w:rFonts w:eastAsia="Calibri" w:cs="Times New Roman"/>
        </w:rPr>
        <w:t xml:space="preserve">and correct </w:t>
      </w:r>
      <w:r w:rsidR="000F6800">
        <w:rPr>
          <w:rFonts w:eastAsia="Calibri" w:cs="Times New Roman"/>
        </w:rPr>
        <w:t>this issue.</w:t>
      </w:r>
    </w:p>
    <w:p w14:paraId="0C5C3A41" w14:textId="657FCF2B" w:rsidR="00282738" w:rsidRDefault="001B215C" w:rsidP="001B215C">
      <w:pPr>
        <w:ind w:firstLine="720"/>
        <w:contextualSpacing w:val="0"/>
        <w:rPr>
          <w:rFonts w:eastAsia="Calibri" w:cs="Times New Roman"/>
        </w:rPr>
      </w:pPr>
      <w:r>
        <w:rPr>
          <w:rFonts w:eastAsia="Calibri" w:cs="Times New Roman"/>
        </w:rPr>
        <w:t xml:space="preserve">A judge has discretion to grant or deny recall of the commitment. </w:t>
      </w:r>
      <w:r w:rsidR="000F6800">
        <w:rPr>
          <w:rFonts w:eastAsia="Calibri" w:cs="Times New Roman"/>
        </w:rPr>
        <w:t>Yet discretion</w:t>
      </w:r>
      <w:r w:rsidR="00AF4647">
        <w:rPr>
          <w:rFonts w:eastAsia="Calibri" w:cs="Times New Roman"/>
        </w:rPr>
        <w:t xml:space="preserve"> is not without limits. </w:t>
      </w:r>
      <w:r>
        <w:rPr>
          <w:rFonts w:eastAsia="Calibri" w:cs="Times New Roman"/>
        </w:rPr>
        <w:t>“</w:t>
      </w:r>
      <w:r w:rsidRPr="001B215C">
        <w:rPr>
          <w:rFonts w:eastAsia="Calibri" w:cs="Times New Roman"/>
        </w:rPr>
        <w:t>The discretion of a trial judge is</w:t>
      </w:r>
      <w:r w:rsidR="00761DD7">
        <w:rPr>
          <w:rFonts w:eastAsia="Calibri" w:cs="Times New Roman"/>
        </w:rPr>
        <w:t xml:space="preserve"> not a whimsical, un</w:t>
      </w:r>
      <w:r w:rsidRPr="001B215C">
        <w:rPr>
          <w:rFonts w:eastAsia="Calibri" w:cs="Times New Roman"/>
        </w:rPr>
        <w:t>controlled power, but a legal discretion, which is subject to the limitations of legal principles governing the subject of its action</w:t>
      </w:r>
      <w:r>
        <w:rPr>
          <w:rFonts w:eastAsia="Calibri" w:cs="Times New Roman"/>
        </w:rPr>
        <w:t xml:space="preserve">….” </w:t>
      </w:r>
      <w:r w:rsidRPr="001B215C">
        <w:rPr>
          <w:rFonts w:eastAsia="Calibri" w:cs="Times New Roman"/>
        </w:rPr>
        <w:t>(</w:t>
      </w:r>
      <w:r w:rsidRPr="001B215C">
        <w:rPr>
          <w:rFonts w:eastAsia="Calibri" w:cs="Times New Roman"/>
          <w:i/>
          <w:iCs/>
        </w:rPr>
        <w:t>People v. Jacobs</w:t>
      </w:r>
      <w:r w:rsidRPr="001B215C">
        <w:rPr>
          <w:rFonts w:eastAsia="Calibri" w:cs="Times New Roman"/>
        </w:rPr>
        <w:t> (2007) 156 Cal.App.4th 728, 738.)</w:t>
      </w:r>
    </w:p>
    <w:p w14:paraId="6F85BD75" w14:textId="3304E603" w:rsidR="00AF4647" w:rsidRDefault="00DF4A2E" w:rsidP="001B215C">
      <w:pPr>
        <w:ind w:firstLine="720"/>
        <w:contextualSpacing w:val="0"/>
        <w:rPr>
          <w:rFonts w:eastAsia="Calibri" w:cs="Times New Roman"/>
        </w:rPr>
      </w:pPr>
      <w:r>
        <w:rPr>
          <w:rFonts w:eastAsia="Calibri" w:cs="Times New Roman"/>
        </w:rPr>
        <w:t xml:space="preserve">Section 1172.1 requires a court to consider various factors in deciding whether to grant or deny recall. </w:t>
      </w:r>
      <w:r w:rsidR="000F6800">
        <w:rPr>
          <w:rFonts w:eastAsia="Calibri" w:cs="Times New Roman"/>
        </w:rPr>
        <w:t>Counsel</w:t>
      </w:r>
      <w:r w:rsidR="00AF4647">
        <w:rPr>
          <w:rFonts w:eastAsia="Calibri" w:cs="Times New Roman"/>
        </w:rPr>
        <w:t xml:space="preserve"> has found no cases which </w:t>
      </w:r>
      <w:r>
        <w:rPr>
          <w:rFonts w:eastAsia="Calibri" w:cs="Times New Roman"/>
        </w:rPr>
        <w:t xml:space="preserve">define </w:t>
      </w:r>
      <w:r w:rsidR="00F364C2">
        <w:rPr>
          <w:rFonts w:eastAsia="Calibri" w:cs="Times New Roman"/>
        </w:rPr>
        <w:t xml:space="preserve">how a court should weigh those factors in the exercise of its discretion. Petitioner submits that where, as here, the court entertains a full hearing, the court should order resentencing unless resentencing </w:t>
      </w:r>
      <w:r w:rsidR="0081568A">
        <w:rPr>
          <w:rFonts w:eastAsia="Calibri" w:cs="Times New Roman"/>
        </w:rPr>
        <w:t>plainly thwarts</w:t>
      </w:r>
      <w:r w:rsidR="00F364C2">
        <w:rPr>
          <w:rFonts w:eastAsia="Calibri" w:cs="Times New Roman"/>
        </w:rPr>
        <w:t xml:space="preserve"> the interest of justice.</w:t>
      </w:r>
    </w:p>
    <w:p w14:paraId="574B2D97" w14:textId="77777777" w:rsidR="00F364C2" w:rsidRDefault="00AF4647" w:rsidP="00F364C2">
      <w:pPr>
        <w:spacing w:after="120" w:line="320" w:lineRule="exact"/>
        <w:ind w:left="864"/>
        <w:contextualSpacing w:val="0"/>
        <w:rPr>
          <w:rFonts w:eastAsia="Calibri" w:cs="Times New Roman"/>
        </w:rPr>
      </w:pPr>
      <w:r w:rsidRPr="00AF4647">
        <w:rPr>
          <w:rFonts w:eastAsia="Calibri" w:cs="Times New Roman"/>
        </w:rPr>
        <w:t>The recall order merely permits the hearing at which the sentencing court will ultimately decide whether defendant's sentence will change; it does not affect the exercise of the court's discretion. (Cf. </w:t>
      </w:r>
      <w:r w:rsidRPr="00AF4647">
        <w:rPr>
          <w:rFonts w:eastAsia="Calibri" w:cs="Times New Roman"/>
          <w:i/>
          <w:iCs/>
        </w:rPr>
        <w:t>People v. Laue</w:t>
      </w:r>
      <w:r w:rsidRPr="00AF4647">
        <w:rPr>
          <w:rFonts w:eastAsia="Calibri" w:cs="Times New Roman"/>
        </w:rPr>
        <w:t> (1982) 130 Cal.App.3d 1055, 1062 [“the resentencing of the defendant here rested upon evidence received at the resentencing hearing and the initiation of the procedure to recall the commitment constituted but an incidental, preliminary stage which did not directly and materially affect the prosecution's right”].)</w:t>
      </w:r>
    </w:p>
    <w:p w14:paraId="3FFCBCBE" w14:textId="30376F3C" w:rsidR="00AF4647" w:rsidRDefault="00AF4647" w:rsidP="007D6D58">
      <w:pPr>
        <w:spacing w:after="240" w:line="320" w:lineRule="exact"/>
        <w:contextualSpacing w:val="0"/>
        <w:rPr>
          <w:rFonts w:eastAsia="Calibri" w:cs="Times New Roman"/>
        </w:rPr>
      </w:pPr>
      <w:r w:rsidRPr="00AF4647">
        <w:rPr>
          <w:rFonts w:eastAsia="Calibri" w:cs="Times New Roman"/>
        </w:rPr>
        <w:t>(</w:t>
      </w:r>
      <w:r w:rsidRPr="00AF4647">
        <w:rPr>
          <w:rFonts w:eastAsia="Calibri" w:cs="Times New Roman"/>
          <w:i/>
          <w:iCs/>
        </w:rPr>
        <w:t>People v. Griggs</w:t>
      </w:r>
      <w:r w:rsidRPr="00AF4647">
        <w:rPr>
          <w:rFonts w:eastAsia="Calibri" w:cs="Times New Roman"/>
        </w:rPr>
        <w:t> (2025) 109 Cal.App.5th 1231, 1237</w:t>
      </w:r>
      <w:r w:rsidR="007D6D58">
        <w:rPr>
          <w:rFonts w:eastAsia="Calibri" w:cs="Times New Roman"/>
        </w:rPr>
        <w:t xml:space="preserve"> [</w:t>
      </w:r>
      <w:r w:rsidR="007D6D58" w:rsidRPr="007D6D58">
        <w:rPr>
          <w:rFonts w:eastAsia="Calibri" w:cs="Times New Roman"/>
          <w:i/>
          <w:iCs/>
        </w:rPr>
        <w:t>Griggs</w:t>
      </w:r>
      <w:r w:rsidR="007D6D58">
        <w:rPr>
          <w:rFonts w:eastAsia="Calibri" w:cs="Times New Roman"/>
        </w:rPr>
        <w:t>]</w:t>
      </w:r>
      <w:r w:rsidRPr="00AF4647">
        <w:rPr>
          <w:rFonts w:eastAsia="Calibri" w:cs="Times New Roman"/>
        </w:rPr>
        <w:t>.)</w:t>
      </w:r>
    </w:p>
    <w:p w14:paraId="3D4AB855" w14:textId="39DF0DE0" w:rsidR="0081568A" w:rsidRPr="00F364C2" w:rsidRDefault="0081568A" w:rsidP="0081568A">
      <w:pPr>
        <w:pStyle w:val="ListParagraph"/>
        <w:numPr>
          <w:ilvl w:val="0"/>
          <w:numId w:val="11"/>
        </w:numPr>
        <w:spacing w:after="240" w:line="240" w:lineRule="auto"/>
        <w:contextualSpacing w:val="0"/>
        <w:rPr>
          <w:rFonts w:eastAsia="Calibri" w:cs="Times New Roman"/>
        </w:rPr>
      </w:pPr>
      <w:r>
        <w:rPr>
          <w:rFonts w:eastAsia="Calibri" w:cs="Times New Roman"/>
          <w:i/>
          <w:iCs/>
        </w:rPr>
        <w:t>There is no Presumption in Favor of Final Judgments Here</w:t>
      </w:r>
      <w:r>
        <w:rPr>
          <w:rFonts w:eastAsia="Calibri" w:cs="Times New Roman"/>
        </w:rPr>
        <w:t>.</w:t>
      </w:r>
    </w:p>
    <w:p w14:paraId="233A5A12" w14:textId="24289ACB" w:rsidR="00763BE9" w:rsidRDefault="00CF7B3F" w:rsidP="00AA478D">
      <w:pPr>
        <w:ind w:firstLine="720"/>
        <w:contextualSpacing w:val="0"/>
        <w:rPr>
          <w:rFonts w:eastAsia="Calibri" w:cs="Times New Roman"/>
        </w:rPr>
      </w:pPr>
      <w:r>
        <w:rPr>
          <w:rFonts w:eastAsia="Calibri" w:cs="Times New Roman"/>
        </w:rPr>
        <w:t>The</w:t>
      </w:r>
      <w:r w:rsidR="00667199">
        <w:rPr>
          <w:rFonts w:eastAsia="Calibri" w:cs="Times New Roman"/>
        </w:rPr>
        <w:t xml:space="preserve"> People </w:t>
      </w:r>
      <w:r>
        <w:rPr>
          <w:rFonts w:eastAsia="Calibri" w:cs="Times New Roman"/>
        </w:rPr>
        <w:t>initially ask</w:t>
      </w:r>
      <w:r w:rsidR="00667199">
        <w:rPr>
          <w:rFonts w:eastAsia="Calibri" w:cs="Times New Roman"/>
        </w:rPr>
        <w:t xml:space="preserve"> this court</w:t>
      </w:r>
      <w:r>
        <w:rPr>
          <w:rFonts w:eastAsia="Calibri" w:cs="Times New Roman"/>
        </w:rPr>
        <w:t xml:space="preserve"> to</w:t>
      </w:r>
      <w:r w:rsidR="00667199">
        <w:rPr>
          <w:rFonts w:eastAsia="Calibri" w:cs="Times New Roman"/>
        </w:rPr>
        <w:t xml:space="preserve"> consider a factor which is neither found in the statute nor supported by case law. </w:t>
      </w:r>
      <w:r w:rsidR="00FC6E8A">
        <w:rPr>
          <w:rFonts w:eastAsia="Calibri" w:cs="Times New Roman"/>
        </w:rPr>
        <w:t>“</w:t>
      </w:r>
      <w:r w:rsidR="00FC6E8A" w:rsidRPr="00FC6E8A">
        <w:rPr>
          <w:rFonts w:eastAsia="Calibri" w:cs="Times New Roman"/>
        </w:rPr>
        <w:t xml:space="preserve">In weighing whether or not to </w:t>
      </w:r>
      <w:r w:rsidR="00FC6E8A" w:rsidRPr="00FC6E8A">
        <w:rPr>
          <w:rFonts w:eastAsia="Calibri" w:cs="Times New Roman"/>
        </w:rPr>
        <w:lastRenderedPageBreak/>
        <w:t>recall the defendant</w:t>
      </w:r>
      <w:r w:rsidR="00FC6E8A">
        <w:rPr>
          <w:rFonts w:eastAsia="Calibri" w:cs="Times New Roman"/>
        </w:rPr>
        <w:t>’</w:t>
      </w:r>
      <w:r w:rsidR="00FC6E8A" w:rsidRPr="00FC6E8A">
        <w:rPr>
          <w:rFonts w:eastAsia="Calibri" w:cs="Times New Roman"/>
        </w:rPr>
        <w:t>s sentence, the Court should be mindful of the normal presumptions in favor of final judgments.</w:t>
      </w:r>
      <w:r w:rsidR="00FC6E8A">
        <w:rPr>
          <w:rFonts w:eastAsia="Calibri" w:cs="Times New Roman"/>
        </w:rPr>
        <w:t xml:space="preserve">” (People’s </w:t>
      </w:r>
      <w:r w:rsidR="00866B8A">
        <w:rPr>
          <w:rFonts w:eastAsia="Calibri" w:cs="Times New Roman"/>
        </w:rPr>
        <w:t>O</w:t>
      </w:r>
      <w:r w:rsidR="00FC6E8A">
        <w:rPr>
          <w:rFonts w:eastAsia="Calibri" w:cs="Times New Roman"/>
        </w:rPr>
        <w:t>pposition, 2:16-18.)</w:t>
      </w:r>
      <w:r>
        <w:rPr>
          <w:rFonts w:eastAsia="Calibri" w:cs="Times New Roman"/>
        </w:rPr>
        <w:t xml:space="preserve"> Not so.</w:t>
      </w:r>
    </w:p>
    <w:p w14:paraId="599A95D0" w14:textId="11B4FA91" w:rsidR="00DC1AD7" w:rsidRDefault="00030C9B" w:rsidP="00DC1AD7">
      <w:pPr>
        <w:ind w:firstLine="720"/>
        <w:contextualSpacing w:val="0"/>
        <w:rPr>
          <w:rFonts w:eastAsia="Calibri" w:cs="Times New Roman"/>
        </w:rPr>
      </w:pPr>
      <w:r w:rsidRPr="00030C9B">
        <w:rPr>
          <w:rFonts w:eastAsia="Calibri" w:cs="Times New Roman"/>
          <w:i/>
          <w:iCs/>
        </w:rPr>
        <w:t>Collateral</w:t>
      </w:r>
      <w:r>
        <w:rPr>
          <w:rFonts w:eastAsia="Calibri" w:cs="Times New Roman"/>
        </w:rPr>
        <w:t xml:space="preserve"> attacks upon a judgment, such as by petitions for a writ of habeas corpus, run up against a presumption of finality.</w:t>
      </w:r>
      <w:r w:rsidR="00AC252C">
        <w:rPr>
          <w:rFonts w:eastAsia="Calibri" w:cs="Times New Roman"/>
        </w:rPr>
        <w:t xml:space="preserve"> (</w:t>
      </w:r>
      <w:r w:rsidR="00EB7A02" w:rsidRPr="00EB7A02">
        <w:rPr>
          <w:rFonts w:eastAsia="Calibri" w:cs="Times New Roman"/>
          <w:i/>
          <w:iCs/>
        </w:rPr>
        <w:t>In re Martinez</w:t>
      </w:r>
      <w:r w:rsidR="00EB7A02" w:rsidRPr="00EB7A02">
        <w:rPr>
          <w:rFonts w:eastAsia="Calibri" w:cs="Times New Roman"/>
        </w:rPr>
        <w:t> (2017) 3 Cal.5th 1216, 1222</w:t>
      </w:r>
      <w:r w:rsidR="00EB7A02">
        <w:rPr>
          <w:rFonts w:eastAsia="Calibri" w:cs="Times New Roman"/>
        </w:rPr>
        <w:t xml:space="preserve">; </w:t>
      </w:r>
      <w:r w:rsidR="00AC252C" w:rsidRPr="00AC252C">
        <w:rPr>
          <w:rFonts w:eastAsia="Calibri" w:cs="Times New Roman"/>
          <w:i/>
          <w:iCs/>
        </w:rPr>
        <w:t>In re Masters</w:t>
      </w:r>
      <w:r w:rsidR="00AC252C" w:rsidRPr="00AC252C">
        <w:rPr>
          <w:rFonts w:eastAsia="Calibri" w:cs="Times New Roman"/>
        </w:rPr>
        <w:t> (2019) 7 Cal.5th 1054, 1089</w:t>
      </w:r>
      <w:r w:rsidR="00AC252C">
        <w:rPr>
          <w:rFonts w:eastAsia="Calibri" w:cs="Times New Roman"/>
        </w:rPr>
        <w:t>, Justice Liu, concurring</w:t>
      </w:r>
      <w:r w:rsidR="00AC252C" w:rsidRPr="00AC252C">
        <w:rPr>
          <w:rFonts w:eastAsia="Calibri" w:cs="Times New Roman"/>
        </w:rPr>
        <w:t>.)</w:t>
      </w:r>
      <w:r w:rsidR="00EB7A02">
        <w:rPr>
          <w:rFonts w:eastAsia="Calibri" w:cs="Times New Roman"/>
        </w:rPr>
        <w:t xml:space="preserve"> </w:t>
      </w:r>
      <w:r w:rsidR="00F95629">
        <w:rPr>
          <w:rFonts w:eastAsia="Calibri" w:cs="Times New Roman"/>
        </w:rPr>
        <w:t>When a claim of error could, and should, have been reckoned at trial or on appeal, the People have a valid interest in finality.</w:t>
      </w:r>
    </w:p>
    <w:p w14:paraId="25946C58" w14:textId="5EDBAD89" w:rsidR="00782A66" w:rsidRPr="00782A66" w:rsidRDefault="00782A66" w:rsidP="00782A66">
      <w:pPr>
        <w:spacing w:after="120" w:line="320" w:lineRule="exact"/>
        <w:ind w:left="864"/>
        <w:contextualSpacing w:val="0"/>
        <w:rPr>
          <w:rFonts w:eastAsia="Calibri" w:cs="Times New Roman"/>
        </w:rPr>
      </w:pPr>
      <w:r w:rsidRPr="00782A66">
        <w:rPr>
          <w:rFonts w:eastAsia="Calibri" w:cs="Times New Roman"/>
        </w:rPr>
        <w:t>For purposes of collateral attack, all presumptions favor the truth, accuracy, and fairness of the conviction and sentence; </w:t>
      </w:r>
      <w:r w:rsidRPr="00782A66">
        <w:rPr>
          <w:rFonts w:eastAsia="Calibri" w:cs="Times New Roman"/>
          <w:i/>
          <w:iCs/>
        </w:rPr>
        <w:t>defendant</w:t>
      </w:r>
      <w:r w:rsidRPr="00782A66">
        <w:rPr>
          <w:rFonts w:eastAsia="Calibri" w:cs="Times New Roman"/>
        </w:rPr>
        <w:t> thus must undertake the burden of overturning them. Society</w:t>
      </w:r>
      <w:r w:rsidR="00030C9B">
        <w:rPr>
          <w:rFonts w:eastAsia="Calibri" w:cs="Times New Roman"/>
        </w:rPr>
        <w:t>’</w:t>
      </w:r>
      <w:r w:rsidRPr="00782A66">
        <w:rPr>
          <w:rFonts w:eastAsia="Calibri" w:cs="Times New Roman"/>
        </w:rPr>
        <w:t>s interest in the finality of criminal proceedings so demands, and due process is not thereby offended.</w:t>
      </w:r>
    </w:p>
    <w:p w14:paraId="47D9B8B9" w14:textId="473CD331" w:rsidR="00782A66" w:rsidRDefault="00782A66" w:rsidP="00782A66">
      <w:pPr>
        <w:spacing w:after="120" w:line="320" w:lineRule="exact"/>
        <w:contextualSpacing w:val="0"/>
        <w:rPr>
          <w:rFonts w:eastAsia="Calibri" w:cs="Times New Roman"/>
        </w:rPr>
      </w:pPr>
      <w:r w:rsidRPr="00782A66">
        <w:rPr>
          <w:rFonts w:eastAsia="Calibri" w:cs="Times New Roman"/>
        </w:rPr>
        <w:t>(</w:t>
      </w:r>
      <w:r w:rsidRPr="00782A66">
        <w:rPr>
          <w:rFonts w:eastAsia="Calibri" w:cs="Times New Roman"/>
          <w:i/>
          <w:iCs/>
        </w:rPr>
        <w:t>People v. Gonzalez</w:t>
      </w:r>
      <w:r w:rsidRPr="00782A66">
        <w:rPr>
          <w:rFonts w:eastAsia="Calibri" w:cs="Times New Roman"/>
        </w:rPr>
        <w:t> (1990) 51 Cal.3d 1179, 1260.)</w:t>
      </w:r>
    </w:p>
    <w:p w14:paraId="4FD93422" w14:textId="04D6253C" w:rsidR="00981425" w:rsidRPr="00981425" w:rsidRDefault="00782A66" w:rsidP="00981425">
      <w:pPr>
        <w:ind w:firstLine="720"/>
        <w:contextualSpacing w:val="0"/>
        <w:rPr>
          <w:rFonts w:eastAsia="Calibri" w:cs="Times New Roman"/>
        </w:rPr>
      </w:pPr>
      <w:r>
        <w:rPr>
          <w:rFonts w:eastAsia="Calibri" w:cs="Times New Roman"/>
        </w:rPr>
        <w:t xml:space="preserve">A </w:t>
      </w:r>
      <w:r w:rsidR="00CF7B3F">
        <w:rPr>
          <w:rFonts w:eastAsia="Calibri" w:cs="Times New Roman"/>
        </w:rPr>
        <w:t xml:space="preserve">§ </w:t>
      </w:r>
      <w:r>
        <w:rPr>
          <w:rFonts w:eastAsia="Calibri" w:cs="Times New Roman"/>
        </w:rPr>
        <w:t xml:space="preserve">1172.1 petition for recall and resentencing is not a collateral attack on the judgment. There is no presumption in favor of </w:t>
      </w:r>
      <w:r w:rsidR="00A6472C">
        <w:rPr>
          <w:rFonts w:eastAsia="Calibri" w:cs="Times New Roman"/>
        </w:rPr>
        <w:t xml:space="preserve">the </w:t>
      </w:r>
      <w:r>
        <w:rPr>
          <w:rFonts w:eastAsia="Calibri" w:cs="Times New Roman"/>
        </w:rPr>
        <w:t xml:space="preserve">finality. </w:t>
      </w:r>
      <w:r w:rsidR="00F95629" w:rsidRPr="00F95629">
        <w:rPr>
          <w:rFonts w:eastAsia="Calibri" w:cs="Times New Roman"/>
        </w:rPr>
        <w:t>(</w:t>
      </w:r>
      <w:r w:rsidR="00EC7BC1">
        <w:rPr>
          <w:rFonts w:eastAsia="Calibri" w:cs="Times New Roman"/>
        </w:rPr>
        <w:t>See</w:t>
      </w:r>
      <w:r w:rsidR="00030C9B">
        <w:rPr>
          <w:rFonts w:eastAsia="Calibri" w:cs="Times New Roman"/>
        </w:rPr>
        <w:t>, e.g.,</w:t>
      </w:r>
      <w:r w:rsidR="00EC7BC1">
        <w:rPr>
          <w:rFonts w:eastAsia="Calibri" w:cs="Times New Roman"/>
        </w:rPr>
        <w:t xml:space="preserve"> </w:t>
      </w:r>
      <w:r w:rsidR="00F95629" w:rsidRPr="00F95629">
        <w:rPr>
          <w:rFonts w:eastAsia="Calibri" w:cs="Times New Roman"/>
          <w:i/>
          <w:iCs/>
        </w:rPr>
        <w:t>People v. Padilla</w:t>
      </w:r>
      <w:r w:rsidR="00F95629" w:rsidRPr="00F95629">
        <w:rPr>
          <w:rFonts w:eastAsia="Calibri" w:cs="Times New Roman"/>
        </w:rPr>
        <w:t> (2022) 13 Cal.5th 152, 169.)</w:t>
      </w:r>
      <w:r w:rsidR="00981425" w:rsidRPr="00981425">
        <w:t xml:space="preserve"> </w:t>
      </w:r>
      <w:r w:rsidR="00981425" w:rsidRPr="00981425">
        <w:rPr>
          <w:rFonts w:eastAsia="Calibri" w:cs="Times New Roman"/>
        </w:rPr>
        <w:t>“When a defendant's sentence has been vacated, the parties’ interests in repose and finality are necessarily diminished; at that point, the countervailing interest in effectuating current legislative policy decisions may appropriately control.” (</w:t>
      </w:r>
      <w:r w:rsidR="00981425" w:rsidRPr="00981425">
        <w:rPr>
          <w:rFonts w:eastAsia="Calibri" w:cs="Times New Roman"/>
          <w:i/>
          <w:iCs/>
        </w:rPr>
        <w:t>Id</w:t>
      </w:r>
      <w:r w:rsidR="00981425">
        <w:rPr>
          <w:rFonts w:eastAsia="Calibri" w:cs="Times New Roman"/>
        </w:rPr>
        <w:t xml:space="preserve">., at </w:t>
      </w:r>
      <w:r w:rsidR="00981425" w:rsidRPr="00981425">
        <w:rPr>
          <w:rFonts w:eastAsia="Calibri" w:cs="Times New Roman"/>
        </w:rPr>
        <w:t>168.)</w:t>
      </w:r>
    </w:p>
    <w:p w14:paraId="6041AEFA" w14:textId="37ECF503" w:rsidR="002A497D" w:rsidRPr="002A497D" w:rsidRDefault="002A497D" w:rsidP="002A497D">
      <w:pPr>
        <w:pStyle w:val="ListParagraph"/>
        <w:numPr>
          <w:ilvl w:val="0"/>
          <w:numId w:val="11"/>
        </w:numPr>
        <w:contextualSpacing w:val="0"/>
        <w:rPr>
          <w:rFonts w:eastAsia="Calibri" w:cs="Times New Roman"/>
        </w:rPr>
      </w:pPr>
      <w:r>
        <w:rPr>
          <w:rFonts w:eastAsia="Calibri" w:cs="Times New Roman"/>
        </w:rPr>
        <w:t>The Peoples Other Objections to Recall are Not Well-Founded.</w:t>
      </w:r>
    </w:p>
    <w:p w14:paraId="1B8B65A7" w14:textId="7BBB6C96" w:rsidR="0081568A" w:rsidRPr="0081568A" w:rsidRDefault="0081568A" w:rsidP="0081568A">
      <w:pPr>
        <w:ind w:firstLine="720"/>
        <w:contextualSpacing w:val="0"/>
        <w:rPr>
          <w:rFonts w:eastAsia="Calibri" w:cs="Times New Roman"/>
        </w:rPr>
      </w:pPr>
      <w:r w:rsidRPr="0081568A">
        <w:rPr>
          <w:rFonts w:eastAsia="Calibri" w:cs="Times New Roman"/>
        </w:rPr>
        <w:t>As detailed in Part II, below, the articulated factors, including Rodriguez’ postconviction conduct and rehabilitation, his time served for the offenses, his low risk for future violence, and other evidence, such as petitioner’s abysmal and traumatic childhood and his youth at the time of the offenses which contributed to his commission of the offenses, compel the conclusion that his continued incarceration is no longer in the interest of justice. Indeed, these are the factors that were before Judge Penney which propelled him to exercise his “discretion to initiate resentencing proceedings.”</w:t>
      </w:r>
    </w:p>
    <w:p w14:paraId="638E5145" w14:textId="4246BDA2" w:rsidR="005977CC" w:rsidRDefault="0081568A" w:rsidP="002A497D">
      <w:pPr>
        <w:ind w:firstLine="720"/>
        <w:contextualSpacing w:val="0"/>
        <w:rPr>
          <w:rFonts w:eastAsia="Calibri" w:cs="Times New Roman"/>
        </w:rPr>
      </w:pPr>
      <w:r w:rsidRPr="0081568A">
        <w:rPr>
          <w:rFonts w:eastAsia="Calibri" w:cs="Times New Roman"/>
        </w:rPr>
        <w:lastRenderedPageBreak/>
        <w:t xml:space="preserve">The People </w:t>
      </w:r>
      <w:r w:rsidR="00981425">
        <w:rPr>
          <w:rFonts w:eastAsia="Calibri" w:cs="Times New Roman"/>
        </w:rPr>
        <w:t xml:space="preserve">nonetheless </w:t>
      </w:r>
      <w:r w:rsidRPr="0081568A">
        <w:rPr>
          <w:rFonts w:eastAsia="Calibri" w:cs="Times New Roman"/>
        </w:rPr>
        <w:t>urge this court to deny petitioner an opportunity to present this evidence to a resentencing court</w:t>
      </w:r>
      <w:r w:rsidR="00830A5D">
        <w:rPr>
          <w:rFonts w:eastAsia="Calibri" w:cs="Times New Roman"/>
        </w:rPr>
        <w:t>.</w:t>
      </w:r>
    </w:p>
    <w:p w14:paraId="6266ED56" w14:textId="7CA82427" w:rsidR="00830A5D" w:rsidRPr="00830A5D" w:rsidRDefault="00830A5D" w:rsidP="007D6D58">
      <w:pPr>
        <w:pStyle w:val="ListParagraph"/>
        <w:numPr>
          <w:ilvl w:val="2"/>
          <w:numId w:val="8"/>
        </w:numPr>
        <w:spacing w:after="240" w:line="240" w:lineRule="auto"/>
        <w:ind w:left="2174" w:hanging="187"/>
        <w:contextualSpacing w:val="0"/>
        <w:rPr>
          <w:rFonts w:eastAsia="Calibri" w:cs="Times New Roman"/>
        </w:rPr>
      </w:pPr>
      <w:r>
        <w:rPr>
          <w:rFonts w:eastAsia="Calibri" w:cs="Times New Roman"/>
        </w:rPr>
        <w:t>Classification Scores Based on the Commitment Offense and Decades Old Rule Violations have Minimal Value Here.</w:t>
      </w:r>
    </w:p>
    <w:p w14:paraId="74B7296F" w14:textId="2D1AF6B5" w:rsidR="00F95629" w:rsidRDefault="00030C9B" w:rsidP="00830A5D">
      <w:pPr>
        <w:contextualSpacing w:val="0"/>
        <w:rPr>
          <w:rFonts w:eastAsia="Calibri" w:cs="Times New Roman"/>
        </w:rPr>
      </w:pPr>
      <w:r>
        <w:rPr>
          <w:rFonts w:eastAsia="Calibri" w:cs="Times New Roman"/>
        </w:rPr>
        <w:t xml:space="preserve">The People </w:t>
      </w:r>
      <w:r w:rsidR="002A497D">
        <w:rPr>
          <w:rFonts w:eastAsia="Calibri" w:cs="Times New Roman"/>
        </w:rPr>
        <w:t xml:space="preserve">first </w:t>
      </w:r>
      <w:r>
        <w:rPr>
          <w:rFonts w:eastAsia="Calibri" w:cs="Times New Roman"/>
        </w:rPr>
        <w:t>argue</w:t>
      </w:r>
      <w:r w:rsidR="00866B8A">
        <w:rPr>
          <w:rFonts w:eastAsia="Calibri" w:cs="Times New Roman"/>
        </w:rPr>
        <w:t>, without detail or relevant exhibits, that petitioner’s service of his sentence has been fraught with rules violations and loss of credits, pointing to petitioner’s classification score of 246. “</w:t>
      </w:r>
      <w:r w:rsidR="00866B8A" w:rsidRPr="00866B8A">
        <w:rPr>
          <w:rFonts w:eastAsia="Calibri" w:cs="Times New Roman"/>
        </w:rPr>
        <w:t>A classification score of 19 is the lowest score possible for a life inmate, and 60 is the cut off for housing in the highest security facilities. (Cal. Code Regs. Title 15 § 3375.1).</w:t>
      </w:r>
      <w:r w:rsidR="00866B8A">
        <w:rPr>
          <w:rFonts w:eastAsia="Calibri" w:cs="Times New Roman"/>
        </w:rPr>
        <w:t xml:space="preserve">” (People’s Opposition, 2:30-32.) It is true that an inmate with a classification score above 60 may only be </w:t>
      </w:r>
      <w:r w:rsidR="002A497D">
        <w:rPr>
          <w:rFonts w:eastAsia="Calibri" w:cs="Times New Roman"/>
        </w:rPr>
        <w:t>celled</w:t>
      </w:r>
      <w:r w:rsidR="00866B8A">
        <w:rPr>
          <w:rFonts w:eastAsia="Calibri" w:cs="Times New Roman"/>
        </w:rPr>
        <w:t xml:space="preserve"> in maximum security housing. It is also true that for </w:t>
      </w:r>
      <w:r w:rsidR="004F0A3F">
        <w:rPr>
          <w:rFonts w:eastAsia="Calibri" w:cs="Times New Roman"/>
        </w:rPr>
        <w:t xml:space="preserve">the last </w:t>
      </w:r>
      <w:r w:rsidR="00CF7B3F">
        <w:rPr>
          <w:rFonts w:eastAsia="Calibri" w:cs="Times New Roman"/>
        </w:rPr>
        <w:t>five</w:t>
      </w:r>
      <w:r w:rsidR="00866B8A">
        <w:rPr>
          <w:rFonts w:eastAsia="Calibri" w:cs="Times New Roman"/>
        </w:rPr>
        <w:t xml:space="preserve"> years petitioner has been </w:t>
      </w:r>
      <w:r w:rsidR="004F0A3F">
        <w:rPr>
          <w:rFonts w:eastAsia="Calibri" w:cs="Times New Roman"/>
        </w:rPr>
        <w:t>housed in medium security housing, the lowest security housing for any inmate serving a life term</w:t>
      </w:r>
      <w:r w:rsidR="00B21898">
        <w:rPr>
          <w:rFonts w:eastAsia="Calibri" w:cs="Times New Roman"/>
        </w:rPr>
        <w:t xml:space="preserve"> (see exhibit A attached to this petition, incorporated herein)</w:t>
      </w:r>
      <w:r w:rsidR="002A497D">
        <w:rPr>
          <w:rFonts w:eastAsia="Calibri" w:cs="Times New Roman"/>
        </w:rPr>
        <w:t>. A</w:t>
      </w:r>
      <w:r w:rsidR="004F0A3F">
        <w:rPr>
          <w:rFonts w:eastAsia="Calibri" w:cs="Times New Roman"/>
        </w:rPr>
        <w:t>nd it is true that for at least five years petitioner has not violated any of the prison’s rules. (See Part II, below.) Petitioner’s turnaround is remarkable, and CDCR noticed</w:t>
      </w:r>
      <w:r w:rsidR="00830A5D">
        <w:rPr>
          <w:rFonts w:eastAsia="Calibri" w:cs="Times New Roman"/>
        </w:rPr>
        <w:t xml:space="preserve"> and reacted</w:t>
      </w:r>
      <w:r w:rsidR="004F0A3F">
        <w:rPr>
          <w:rFonts w:eastAsia="Calibri" w:cs="Times New Roman"/>
        </w:rPr>
        <w:t>.</w:t>
      </w:r>
    </w:p>
    <w:p w14:paraId="0B936A72" w14:textId="4A040063" w:rsidR="004C43CE" w:rsidRDefault="004C43CE" w:rsidP="00DC1AD7">
      <w:pPr>
        <w:ind w:firstLine="720"/>
        <w:contextualSpacing w:val="0"/>
        <w:rPr>
          <w:rFonts w:eastAsia="Calibri" w:cs="Times New Roman"/>
        </w:rPr>
      </w:pPr>
      <w:r>
        <w:rPr>
          <w:rFonts w:eastAsia="Calibri" w:cs="Times New Roman"/>
        </w:rPr>
        <w:t>Petitioner has matured over the years</w:t>
      </w:r>
      <w:r w:rsidR="00B47A85">
        <w:rPr>
          <w:rFonts w:eastAsia="Calibri" w:cs="Times New Roman"/>
        </w:rPr>
        <w:t xml:space="preserve">. He has engaged in rehabilitation and </w:t>
      </w:r>
      <w:r w:rsidR="00830A5D">
        <w:rPr>
          <w:rFonts w:eastAsia="Calibri" w:cs="Times New Roman"/>
        </w:rPr>
        <w:t xml:space="preserve">worked toward </w:t>
      </w:r>
      <w:r w:rsidR="00B47A85">
        <w:rPr>
          <w:rFonts w:eastAsia="Calibri" w:cs="Times New Roman"/>
        </w:rPr>
        <w:t xml:space="preserve">reintegration into society. He is a </w:t>
      </w:r>
      <w:r w:rsidR="00830A5D">
        <w:rPr>
          <w:rFonts w:eastAsia="Calibri" w:cs="Times New Roman"/>
        </w:rPr>
        <w:t>much-changed</w:t>
      </w:r>
      <w:r w:rsidR="00B47A85">
        <w:rPr>
          <w:rFonts w:eastAsia="Calibri" w:cs="Times New Roman"/>
        </w:rPr>
        <w:t xml:space="preserve"> man from the traumatized youth he was 23 years ago.</w:t>
      </w:r>
    </w:p>
    <w:p w14:paraId="1F447B6F" w14:textId="3A89201E" w:rsidR="00830A5D" w:rsidRPr="00830A5D" w:rsidRDefault="00830A5D" w:rsidP="007D6D58">
      <w:pPr>
        <w:pStyle w:val="ListParagraph"/>
        <w:numPr>
          <w:ilvl w:val="2"/>
          <w:numId w:val="8"/>
        </w:numPr>
        <w:spacing w:after="240" w:line="240" w:lineRule="auto"/>
        <w:ind w:left="2174" w:hanging="187"/>
        <w:contextualSpacing w:val="0"/>
        <w:rPr>
          <w:rFonts w:eastAsia="Calibri" w:cs="Times New Roman"/>
        </w:rPr>
      </w:pPr>
      <w:r>
        <w:rPr>
          <w:rFonts w:eastAsia="Calibri" w:cs="Times New Roman"/>
        </w:rPr>
        <w:t xml:space="preserve">Availability of Parole to Lifers </w:t>
      </w:r>
      <w:r w:rsidR="007D6D58">
        <w:rPr>
          <w:rFonts w:eastAsia="Calibri" w:cs="Times New Roman"/>
        </w:rPr>
        <w:t>is not a Factor in Section 1172.1 Litigation</w:t>
      </w:r>
    </w:p>
    <w:p w14:paraId="007C32F3" w14:textId="6C43BEB2" w:rsidR="00B52B37" w:rsidRDefault="00981425" w:rsidP="00DC1AD7">
      <w:pPr>
        <w:ind w:firstLine="720"/>
        <w:contextualSpacing w:val="0"/>
        <w:rPr>
          <w:rFonts w:eastAsia="Calibri" w:cs="Times New Roman"/>
        </w:rPr>
      </w:pPr>
      <w:r>
        <w:rPr>
          <w:rFonts w:eastAsia="Calibri" w:cs="Times New Roman"/>
        </w:rPr>
        <w:t xml:space="preserve">The </w:t>
      </w:r>
      <w:r w:rsidR="004F0A3F">
        <w:rPr>
          <w:rFonts w:eastAsia="Calibri" w:cs="Times New Roman"/>
        </w:rPr>
        <w:t xml:space="preserve">People argue that this court should </w:t>
      </w:r>
      <w:r w:rsidR="005911B9">
        <w:rPr>
          <w:rFonts w:eastAsia="Calibri" w:cs="Times New Roman"/>
        </w:rPr>
        <w:t>surrender</w:t>
      </w:r>
      <w:r w:rsidR="004F0A3F">
        <w:rPr>
          <w:rFonts w:eastAsia="Calibri" w:cs="Times New Roman"/>
        </w:rPr>
        <w:t xml:space="preserve"> its </w:t>
      </w:r>
      <w:r w:rsidR="005911B9">
        <w:rPr>
          <w:rFonts w:eastAsia="Calibri" w:cs="Times New Roman"/>
        </w:rPr>
        <w:t xml:space="preserve">judicial function to the Board of Parole Hearings. This too fails. </w:t>
      </w:r>
    </w:p>
    <w:p w14:paraId="7F438323" w14:textId="144DF17E" w:rsidR="00B47A85" w:rsidRDefault="00B47A85" w:rsidP="007D6D58">
      <w:pPr>
        <w:ind w:firstLine="720"/>
        <w:contextualSpacing w:val="0"/>
        <w:rPr>
          <w:rFonts w:eastAsia="Calibri" w:cs="Times New Roman"/>
        </w:rPr>
      </w:pPr>
      <w:r>
        <w:rPr>
          <w:rFonts w:eastAsia="Calibri" w:cs="Times New Roman"/>
        </w:rPr>
        <w:t xml:space="preserve">Section 1172.1 expresses the factors a court must consider in deciding whether to recall a commitment. Availability of parole is not an articulated factor, much less a favored factor. </w:t>
      </w:r>
      <w:r w:rsidR="00CF7B3F">
        <w:rPr>
          <w:rFonts w:eastAsia="Calibri" w:cs="Times New Roman"/>
        </w:rPr>
        <w:t>Section 1172.1 was expressly designed to benefit</w:t>
      </w:r>
      <w:r>
        <w:rPr>
          <w:rFonts w:eastAsia="Calibri" w:cs="Times New Roman"/>
        </w:rPr>
        <w:t xml:space="preserve"> deserving lifers</w:t>
      </w:r>
      <w:r w:rsidR="00CF7B3F">
        <w:rPr>
          <w:rFonts w:eastAsia="Calibri" w:cs="Times New Roman"/>
        </w:rPr>
        <w:t xml:space="preserve">. </w:t>
      </w:r>
      <w:r>
        <w:rPr>
          <w:rFonts w:eastAsia="Calibri" w:cs="Times New Roman"/>
        </w:rPr>
        <w:t>(</w:t>
      </w:r>
      <w:r w:rsidR="00CF7B3F">
        <w:rPr>
          <w:rFonts w:eastAsia="Calibri" w:cs="Times New Roman"/>
        </w:rPr>
        <w:t>S</w:t>
      </w:r>
      <w:r w:rsidR="00830A5D">
        <w:rPr>
          <w:rFonts w:eastAsia="Calibri" w:cs="Times New Roman"/>
        </w:rPr>
        <w:t xml:space="preserve">ee </w:t>
      </w:r>
      <w:r>
        <w:rPr>
          <w:rFonts w:eastAsia="Calibri" w:cs="Times New Roman"/>
        </w:rPr>
        <w:t>2021 AB 1540</w:t>
      </w:r>
      <w:r w:rsidR="00CF7B3F">
        <w:rPr>
          <w:rFonts w:eastAsia="Calibri" w:cs="Times New Roman"/>
        </w:rPr>
        <w:t>.</w:t>
      </w:r>
      <w:r w:rsidR="00830A5D">
        <w:rPr>
          <w:rFonts w:eastAsia="Calibri" w:cs="Times New Roman"/>
        </w:rPr>
        <w:t>)</w:t>
      </w:r>
      <w:r w:rsidR="00CF7B3F">
        <w:rPr>
          <w:rFonts w:eastAsia="Calibri" w:cs="Times New Roman"/>
        </w:rPr>
        <w:t xml:space="preserve"> D</w:t>
      </w:r>
      <w:r w:rsidR="00830A5D">
        <w:rPr>
          <w:rFonts w:eastAsia="Calibri" w:cs="Times New Roman"/>
        </w:rPr>
        <w:t xml:space="preserve">enying recall because of the availability of </w:t>
      </w:r>
      <w:r w:rsidR="00830A5D">
        <w:rPr>
          <w:rFonts w:eastAsia="Calibri" w:cs="Times New Roman"/>
        </w:rPr>
        <w:lastRenderedPageBreak/>
        <w:t>parole defeats the</w:t>
      </w:r>
      <w:r w:rsidR="007D6D58">
        <w:rPr>
          <w:rFonts w:eastAsia="Calibri" w:cs="Times New Roman"/>
        </w:rPr>
        <w:t xml:space="preserve"> statute’s</w:t>
      </w:r>
      <w:r w:rsidR="00830A5D">
        <w:rPr>
          <w:rFonts w:eastAsia="Calibri" w:cs="Times New Roman"/>
        </w:rPr>
        <w:t xml:space="preserve"> purpose and </w:t>
      </w:r>
      <w:r w:rsidR="007D6D58">
        <w:rPr>
          <w:rFonts w:eastAsia="Calibri" w:cs="Times New Roman"/>
        </w:rPr>
        <w:t xml:space="preserve">the Legislature’s </w:t>
      </w:r>
      <w:r w:rsidR="00830A5D">
        <w:rPr>
          <w:rFonts w:eastAsia="Calibri" w:cs="Times New Roman"/>
        </w:rPr>
        <w:t>intent</w:t>
      </w:r>
      <w:r w:rsidR="007D6D58">
        <w:rPr>
          <w:rFonts w:eastAsia="Calibri" w:cs="Times New Roman"/>
        </w:rPr>
        <w:t>.</w:t>
      </w:r>
      <w:r w:rsidR="00830A5D">
        <w:rPr>
          <w:rFonts w:eastAsia="Calibri" w:cs="Times New Roman"/>
        </w:rPr>
        <w:t xml:space="preserve"> </w:t>
      </w:r>
      <w:r w:rsidR="00CF7B3F">
        <w:rPr>
          <w:rFonts w:eastAsia="Calibri" w:cs="Times New Roman"/>
        </w:rPr>
        <w:t xml:space="preserve">The Sacramento Superior Court Presiding Judge, Hon. Bunmi O. Awoniy, agreed.. </w:t>
      </w:r>
    </w:p>
    <w:p w14:paraId="7BFD9B41" w14:textId="1CC943BB" w:rsidR="00206003" w:rsidRDefault="007D6D58" w:rsidP="00206003">
      <w:pPr>
        <w:ind w:firstLine="720"/>
        <w:contextualSpacing w:val="0"/>
        <w:rPr>
          <w:rFonts w:eastAsia="Calibri"/>
        </w:rPr>
      </w:pPr>
      <w:r>
        <w:rPr>
          <w:rFonts w:eastAsia="Calibri" w:cs="Times New Roman"/>
        </w:rPr>
        <w:t xml:space="preserve">In </w:t>
      </w:r>
      <w:r w:rsidRPr="00206003">
        <w:rPr>
          <w:rFonts w:eastAsia="Calibri" w:cs="Times New Roman"/>
          <w:i/>
          <w:iCs/>
        </w:rPr>
        <w:t>Griggs</w:t>
      </w:r>
      <w:r>
        <w:rPr>
          <w:rFonts w:eastAsia="Calibri" w:cs="Times New Roman"/>
        </w:rPr>
        <w:t>, the defendant sought § 1172.1 resentencing</w:t>
      </w:r>
      <w:r w:rsidR="00206003">
        <w:rPr>
          <w:rFonts w:eastAsia="Calibri" w:cs="Times New Roman"/>
        </w:rPr>
        <w:t xml:space="preserve"> based on a sentencing change for “nickel priors”</w:t>
      </w:r>
      <w:r>
        <w:rPr>
          <w:rFonts w:eastAsia="Calibri" w:cs="Times New Roman"/>
        </w:rPr>
        <w:t>.</w:t>
      </w:r>
      <w:r w:rsidR="00206003">
        <w:rPr>
          <w:rFonts w:eastAsia="Calibri" w:cs="Times New Roman"/>
        </w:rPr>
        <w:t xml:space="preserve"> (§ 667, subd. (a).) The </w:t>
      </w:r>
      <w:r w:rsidR="00CF7B3F">
        <w:rPr>
          <w:rFonts w:eastAsia="Calibri" w:cs="Times New Roman"/>
        </w:rPr>
        <w:t xml:space="preserve">Judge Awoniy </w:t>
      </w:r>
      <w:r w:rsidR="00206003">
        <w:rPr>
          <w:rFonts w:eastAsia="Calibri" w:cs="Times New Roman"/>
        </w:rPr>
        <w:t>recalled the sentence on her own motion, and “noted that she was aware “</w:t>
      </w:r>
      <w:r w:rsidR="00206003" w:rsidRPr="00206003">
        <w:rPr>
          <w:rFonts w:eastAsia="Calibri"/>
        </w:rPr>
        <w:t>that the Board of Parole Hearings recently found defendant unsuitable for release on parole.</w:t>
      </w:r>
      <w:r w:rsidR="00206003">
        <w:rPr>
          <w:rFonts w:eastAsia="Calibri"/>
        </w:rPr>
        <w:t xml:space="preserve">” </w:t>
      </w:r>
      <w:r w:rsidR="00206003" w:rsidRPr="00206003">
        <w:rPr>
          <w:rFonts w:eastAsia="Calibri"/>
        </w:rPr>
        <w:t>(</w:t>
      </w:r>
      <w:r w:rsidR="00206003" w:rsidRPr="00206003">
        <w:rPr>
          <w:rFonts w:eastAsia="Calibri"/>
          <w:i/>
          <w:iCs/>
        </w:rPr>
        <w:t>Griggs</w:t>
      </w:r>
      <w:r w:rsidR="00206003" w:rsidRPr="00206003">
        <w:rPr>
          <w:rFonts w:eastAsia="Calibri"/>
        </w:rPr>
        <w:t xml:space="preserve">, </w:t>
      </w:r>
      <w:r w:rsidR="00206003">
        <w:rPr>
          <w:rFonts w:eastAsia="Calibri"/>
        </w:rPr>
        <w:t xml:space="preserve">at </w:t>
      </w:r>
      <w:r w:rsidR="00206003" w:rsidRPr="00206003">
        <w:rPr>
          <w:rFonts w:eastAsia="Calibri"/>
        </w:rPr>
        <w:t>1234.)</w:t>
      </w:r>
      <w:r w:rsidR="00206003">
        <w:rPr>
          <w:rFonts w:eastAsia="Calibri"/>
        </w:rPr>
        <w:t xml:space="preserve"> She ordered the matter set for resentencing, and the People appealed.</w:t>
      </w:r>
    </w:p>
    <w:p w14:paraId="3CCD3748" w14:textId="1AB65065" w:rsidR="00206003" w:rsidRDefault="00206003" w:rsidP="00206003">
      <w:pPr>
        <w:ind w:firstLine="720"/>
        <w:contextualSpacing w:val="0"/>
        <w:rPr>
          <w:rFonts w:eastAsia="Calibri"/>
        </w:rPr>
      </w:pPr>
      <w:r>
        <w:rPr>
          <w:rFonts w:eastAsia="Calibri"/>
        </w:rPr>
        <w:t>The appellate court denied the appeal on procedural grounds, but went on to explain the minimal threshold for setting the case for resentencing. It, like the trial court, was not daunted by the recent unsuitability finding by the Board of Parole Hearings. “H</w:t>
      </w:r>
      <w:r w:rsidR="00567D4B">
        <w:rPr>
          <w:rFonts w:eastAsia="Calibri"/>
        </w:rPr>
        <w:t xml:space="preserve">ere, </w:t>
      </w:r>
      <w:r w:rsidR="00567D4B" w:rsidRPr="00567D4B">
        <w:rPr>
          <w:rFonts w:eastAsia="Calibri"/>
        </w:rPr>
        <w:t>the recall order did not determine whether defendant will receive a different sentence. That remains to be seen.</w:t>
      </w:r>
      <w:r w:rsidR="00567D4B">
        <w:rPr>
          <w:rFonts w:eastAsia="Calibri"/>
        </w:rPr>
        <w:t>” (</w:t>
      </w:r>
      <w:r w:rsidR="00567D4B" w:rsidRPr="00567D4B">
        <w:rPr>
          <w:rFonts w:eastAsia="Calibri"/>
          <w:i/>
          <w:iCs/>
        </w:rPr>
        <w:t>Id</w:t>
      </w:r>
      <w:r w:rsidR="00567D4B">
        <w:rPr>
          <w:rFonts w:eastAsia="Calibri"/>
        </w:rPr>
        <w:t>., at 1237.)</w:t>
      </w:r>
    </w:p>
    <w:p w14:paraId="603260DF" w14:textId="62E191B5" w:rsidR="004F0A3F" w:rsidRDefault="00B52B37" w:rsidP="00DC1AD7">
      <w:pPr>
        <w:ind w:firstLine="720"/>
        <w:contextualSpacing w:val="0"/>
        <w:rPr>
          <w:rFonts w:eastAsia="Calibri" w:cs="Times New Roman"/>
        </w:rPr>
      </w:pPr>
      <w:bookmarkStart w:id="21" w:name="_Hlk215920193"/>
      <w:r>
        <w:rPr>
          <w:rFonts w:eastAsia="Calibri" w:cs="Times New Roman"/>
        </w:rPr>
        <w:t xml:space="preserve">In </w:t>
      </w:r>
      <w:r w:rsidR="005911B9">
        <w:rPr>
          <w:rFonts w:eastAsia="Calibri" w:cs="Times New Roman"/>
        </w:rPr>
        <w:t xml:space="preserve">Section 1172.1 requires judicial consideration of articulated factors, including </w:t>
      </w:r>
      <w:r w:rsidR="00FA5F7A">
        <w:rPr>
          <w:rFonts w:eastAsia="Calibri" w:cs="Times New Roman"/>
        </w:rPr>
        <w:t>a judge’s</w:t>
      </w:r>
      <w:r w:rsidR="005911B9">
        <w:rPr>
          <w:rFonts w:eastAsia="Calibri" w:cs="Times New Roman"/>
        </w:rPr>
        <w:t xml:space="preserve"> exercise of discretion. </w:t>
      </w:r>
      <w:r w:rsidR="00CB5EAA">
        <w:rPr>
          <w:rFonts w:eastAsia="Calibri" w:cs="Times New Roman"/>
        </w:rPr>
        <w:t xml:space="preserve">The </w:t>
      </w:r>
      <w:r w:rsidR="00A80CBF">
        <w:rPr>
          <w:rFonts w:eastAsia="Calibri" w:cs="Times New Roman"/>
        </w:rPr>
        <w:t xml:space="preserve">administrative decisions by a parole board </w:t>
      </w:r>
      <w:r w:rsidR="00CB5EAA">
        <w:rPr>
          <w:rFonts w:eastAsia="Calibri" w:cs="Times New Roman"/>
        </w:rPr>
        <w:t xml:space="preserve">primarily </w:t>
      </w:r>
      <w:r w:rsidR="00A80CBF">
        <w:rPr>
          <w:rFonts w:eastAsia="Calibri" w:cs="Times New Roman"/>
        </w:rPr>
        <w:t xml:space="preserve">rely on </w:t>
      </w:r>
      <w:bookmarkEnd w:id="21"/>
      <w:r w:rsidR="00CB5EAA">
        <w:rPr>
          <w:rFonts w:eastAsia="Calibri" w:cs="Times New Roman"/>
        </w:rPr>
        <w:t xml:space="preserve">factors that are static. Circumstances which tend to show unsuitability for parole are first listed as the commitment offense, previous record of violent, unstable social history. (15 CCR 2281, subd. (c)(1-3.) Circumstances </w:t>
      </w:r>
      <w:r w:rsidR="00CB5EAA" w:rsidRPr="00CB5EAA">
        <w:rPr>
          <w:rFonts w:eastAsia="Calibri" w:cs="Times New Roman"/>
        </w:rPr>
        <w:t>which tend to show unsuitability for parole are first listed as</w:t>
      </w:r>
      <w:r w:rsidR="00CB5EAA">
        <w:rPr>
          <w:rFonts w:eastAsia="Calibri" w:cs="Times New Roman"/>
        </w:rPr>
        <w:t xml:space="preserve"> no juvenile record and stable social history. (</w:t>
      </w:r>
      <w:r w:rsidR="00CB5EAA" w:rsidRPr="00CB5EAA">
        <w:rPr>
          <w:rFonts w:eastAsia="Calibri" w:cs="Times New Roman"/>
          <w:i/>
          <w:iCs/>
        </w:rPr>
        <w:t>Id</w:t>
      </w:r>
      <w:r w:rsidR="00CB5EAA">
        <w:rPr>
          <w:rFonts w:eastAsia="Calibri" w:cs="Times New Roman"/>
        </w:rPr>
        <w:t xml:space="preserve">., at (d)(1-2).) Beyond this, “parole proceedings are administrative in nature. Consequently, due process takes on a different significance in </w:t>
      </w:r>
      <w:r w:rsidR="00F27991">
        <w:rPr>
          <w:rFonts w:eastAsia="Calibri" w:cs="Times New Roman"/>
        </w:rPr>
        <w:t xml:space="preserve">parole-granting that it had at trial.” </w:t>
      </w:r>
      <w:r w:rsidR="00F27991" w:rsidRPr="00F27991">
        <w:rPr>
          <w:rFonts w:eastAsia="Calibri" w:cs="Times New Roman"/>
        </w:rPr>
        <w:t>(</w:t>
      </w:r>
      <w:r w:rsidR="00F27991" w:rsidRPr="00F27991">
        <w:rPr>
          <w:rFonts w:eastAsia="Calibri" w:cs="Times New Roman"/>
          <w:i/>
          <w:iCs/>
        </w:rPr>
        <w:t>In re Kavanaugh</w:t>
      </w:r>
      <w:r w:rsidR="00F27991" w:rsidRPr="00F27991">
        <w:rPr>
          <w:rFonts w:eastAsia="Calibri" w:cs="Times New Roman"/>
        </w:rPr>
        <w:t> (2021) 61 Cal.App.5th 320, 354</w:t>
      </w:r>
      <w:r w:rsidR="00F27991">
        <w:rPr>
          <w:rFonts w:eastAsia="Calibri" w:cs="Times New Roman"/>
        </w:rPr>
        <w:t xml:space="preserve"> [internal citations ignored]</w:t>
      </w:r>
      <w:r w:rsidR="00F27991" w:rsidRPr="00F27991">
        <w:rPr>
          <w:rFonts w:eastAsia="Calibri" w:cs="Times New Roman"/>
        </w:rPr>
        <w:t>.)</w:t>
      </w:r>
    </w:p>
    <w:p w14:paraId="2E02C7F9" w14:textId="48360BA3" w:rsidR="00F27991" w:rsidRDefault="006873D5" w:rsidP="00DC1AD7">
      <w:pPr>
        <w:ind w:firstLine="720"/>
        <w:contextualSpacing w:val="0"/>
        <w:rPr>
          <w:rFonts w:eastAsia="Calibri" w:cs="Times New Roman"/>
        </w:rPr>
      </w:pPr>
      <w:r>
        <w:rPr>
          <w:rFonts w:eastAsia="Calibri" w:cs="Times New Roman"/>
        </w:rPr>
        <w:t xml:space="preserve">Additionally, such matters as “lack of insight” can sink a parole hearing, leaving an inmate without recourse. (See, e.g., </w:t>
      </w:r>
      <w:r w:rsidRPr="006873D5">
        <w:rPr>
          <w:rFonts w:eastAsia="Calibri" w:cs="Times New Roman"/>
          <w:i/>
          <w:iCs/>
        </w:rPr>
        <w:t>In re Shaputis</w:t>
      </w:r>
      <w:r w:rsidRPr="006873D5">
        <w:rPr>
          <w:rFonts w:eastAsia="Calibri" w:cs="Times New Roman"/>
        </w:rPr>
        <w:t> (2011) 53 Cal.4th 192</w:t>
      </w:r>
      <w:r w:rsidR="0062362A">
        <w:rPr>
          <w:rFonts w:eastAsia="Calibri" w:cs="Times New Roman"/>
        </w:rPr>
        <w:t xml:space="preserve"> (</w:t>
      </w:r>
      <w:r w:rsidR="0062362A" w:rsidRPr="0062362A">
        <w:rPr>
          <w:rFonts w:eastAsia="Calibri" w:cs="Times New Roman"/>
          <w:i/>
          <w:iCs/>
        </w:rPr>
        <w:t>Shaputis</w:t>
      </w:r>
      <w:r w:rsidR="0062362A">
        <w:rPr>
          <w:rFonts w:eastAsia="Calibri" w:cs="Times New Roman"/>
        </w:rPr>
        <w:t>)</w:t>
      </w:r>
      <w:r>
        <w:rPr>
          <w:rFonts w:eastAsia="Calibri" w:cs="Times New Roman"/>
        </w:rPr>
        <w:t xml:space="preserve">.) An inmate who considers his conviction unjust can easily see his parole denied, not to be considered again for five or more years. </w:t>
      </w:r>
    </w:p>
    <w:p w14:paraId="756A51AA" w14:textId="4673D03D" w:rsidR="00D01161" w:rsidRDefault="00D01161" w:rsidP="00DC1AD7">
      <w:pPr>
        <w:ind w:firstLine="720"/>
        <w:contextualSpacing w:val="0"/>
        <w:rPr>
          <w:rFonts w:eastAsia="Calibri" w:cs="Times New Roman"/>
        </w:rPr>
      </w:pPr>
      <w:r>
        <w:rPr>
          <w:rFonts w:eastAsia="Calibri" w:cs="Times New Roman"/>
        </w:rPr>
        <w:lastRenderedPageBreak/>
        <w:t>A scheduled parole hearing rarely leads to a grant of parole. Over the last five years only 1 out of 6 or 7 inmates in scheduled hearings were granted parole.</w:t>
      </w:r>
      <w:r>
        <w:rPr>
          <w:rStyle w:val="FootnoteReference"/>
          <w:rFonts w:eastAsia="Calibri" w:cs="Times New Roman"/>
        </w:rPr>
        <w:footnoteReference w:id="12"/>
      </w:r>
      <w:r>
        <w:rPr>
          <w:rFonts w:eastAsia="Calibri" w:cs="Times New Roman"/>
        </w:rPr>
        <w:t xml:space="preserve"> </w:t>
      </w:r>
    </w:p>
    <w:p w14:paraId="13EEE505" w14:textId="1B5E78C3" w:rsidR="0062362A" w:rsidRDefault="00F27991" w:rsidP="00CF7B3F">
      <w:pPr>
        <w:spacing w:after="240"/>
        <w:ind w:firstLine="720"/>
        <w:contextualSpacing w:val="0"/>
        <w:rPr>
          <w:rFonts w:eastAsia="Calibri" w:cs="Times New Roman"/>
        </w:rPr>
      </w:pPr>
      <w:r>
        <w:rPr>
          <w:rFonts w:eastAsia="Calibri" w:cs="Times New Roman"/>
        </w:rPr>
        <w:t>Section 1172.1 does not contemplate parole as a factor. Courts have recognized the difference between the administrative discretion and due process concerns of a parole board and the judicial due process rights implicated in section 1172.1. A court considering recall owes no deference to a parole board</w:t>
      </w:r>
      <w:r w:rsidR="00CD03AB">
        <w:rPr>
          <w:rFonts w:eastAsia="Calibri" w:cs="Times New Roman"/>
        </w:rPr>
        <w:t xml:space="preserve"> (</w:t>
      </w:r>
      <w:r w:rsidR="0062362A">
        <w:rPr>
          <w:rFonts w:eastAsia="Calibri" w:cs="Times New Roman"/>
        </w:rPr>
        <w:t xml:space="preserve">while a court owes wholesale deference to a Board’s decision to deny parole—see </w:t>
      </w:r>
      <w:r w:rsidR="0062362A" w:rsidRPr="0062362A">
        <w:rPr>
          <w:rFonts w:eastAsia="Calibri" w:cs="Times New Roman"/>
          <w:i/>
          <w:iCs/>
        </w:rPr>
        <w:t>Shaputis</w:t>
      </w:r>
      <w:r w:rsidR="0062362A">
        <w:rPr>
          <w:rFonts w:eastAsia="Calibri" w:cs="Times New Roman"/>
        </w:rPr>
        <w:t>, at 221.)</w:t>
      </w:r>
      <w:r>
        <w:rPr>
          <w:rFonts w:eastAsia="Calibri" w:cs="Times New Roman"/>
        </w:rPr>
        <w:t>.</w:t>
      </w:r>
      <w:r w:rsidR="00CD03AB">
        <w:rPr>
          <w:rFonts w:eastAsia="Calibri" w:cs="Times New Roman"/>
        </w:rPr>
        <w:t xml:space="preserve"> </w:t>
      </w:r>
    </w:p>
    <w:p w14:paraId="655C63F0" w14:textId="7E6E93B7" w:rsidR="00DC1AD7" w:rsidRPr="00A67A87" w:rsidRDefault="00B5348D" w:rsidP="00A67A87">
      <w:pPr>
        <w:pStyle w:val="ListParagraph"/>
        <w:numPr>
          <w:ilvl w:val="0"/>
          <w:numId w:val="8"/>
        </w:numPr>
        <w:contextualSpacing w:val="0"/>
        <w:rPr>
          <w:rFonts w:eastAsia="Calibri" w:cs="Times New Roman"/>
          <w:b/>
          <w:bCs/>
        </w:rPr>
      </w:pPr>
      <w:r w:rsidRPr="00A67A87">
        <w:rPr>
          <w:rFonts w:eastAsia="Calibri" w:cs="Times New Roman"/>
          <w:b/>
          <w:bCs/>
        </w:rPr>
        <w:t>MULTIPLE FACTORS FAVOR RECALL AND RESENTENCING</w:t>
      </w:r>
      <w:r w:rsidR="00DC1AD7" w:rsidRPr="00A67A87">
        <w:rPr>
          <w:rFonts w:eastAsia="Calibri" w:cs="Times New Roman"/>
          <w:b/>
          <w:bCs/>
        </w:rPr>
        <w:t>.</w:t>
      </w:r>
    </w:p>
    <w:p w14:paraId="54C05EF6" w14:textId="3BBBC1BF" w:rsidR="005123E7" w:rsidRPr="00DD7265" w:rsidRDefault="005123E7" w:rsidP="00F364C2">
      <w:pPr>
        <w:numPr>
          <w:ilvl w:val="0"/>
          <w:numId w:val="9"/>
        </w:numPr>
        <w:spacing w:after="240" w:line="240" w:lineRule="auto"/>
        <w:contextualSpacing w:val="0"/>
        <w:rPr>
          <w:rFonts w:eastAsia="Calibri" w:cs="Times New Roman"/>
          <w:i/>
          <w:iCs/>
        </w:rPr>
      </w:pPr>
      <w:bookmarkStart w:id="22" w:name="_Hlk215871140"/>
      <w:r w:rsidRPr="00DD7265">
        <w:rPr>
          <w:rFonts w:eastAsia="Calibri" w:cs="Times New Roman"/>
          <w:i/>
          <w:iCs/>
        </w:rPr>
        <w:t>Postconviction Factors Favor Recall</w:t>
      </w:r>
      <w:r w:rsidR="00DD7265">
        <w:rPr>
          <w:rFonts w:eastAsia="Calibri" w:cs="Times New Roman"/>
          <w:i/>
          <w:iCs/>
        </w:rPr>
        <w:t>.</w:t>
      </w:r>
    </w:p>
    <w:bookmarkEnd w:id="22"/>
    <w:p w14:paraId="17CEF4FD" w14:textId="44F44FCF" w:rsidR="00DD7265" w:rsidRDefault="00572333" w:rsidP="002266B1">
      <w:pPr>
        <w:ind w:firstLine="720"/>
        <w:contextualSpacing w:val="0"/>
        <w:rPr>
          <w:rFonts w:eastAsia="Calibri" w:cs="Times New Roman"/>
        </w:rPr>
      </w:pPr>
      <w:r>
        <w:rPr>
          <w:rFonts w:eastAsia="Calibri" w:cs="Times New Roman"/>
        </w:rPr>
        <w:t>“</w:t>
      </w:r>
      <w:r w:rsidR="002266B1">
        <w:rPr>
          <w:rFonts w:eastAsia="Calibri" w:cs="Times New Roman"/>
        </w:rPr>
        <w:t xml:space="preserve">The purpose of incarceration is rehabilitation and </w:t>
      </w:r>
      <w:r>
        <w:rPr>
          <w:rFonts w:eastAsia="Calibri" w:cs="Times New Roman"/>
        </w:rPr>
        <w:t>s</w:t>
      </w:r>
      <w:r w:rsidRPr="00572333">
        <w:rPr>
          <w:rFonts w:eastAsia="Calibri" w:cs="Times New Roman"/>
        </w:rPr>
        <w:t>uccessful community reintegration achieved through education, treatment, and active participation in rehabilitative and restorative justice programs.</w:t>
      </w:r>
      <w:r>
        <w:rPr>
          <w:rFonts w:eastAsia="Calibri" w:cs="Times New Roman"/>
        </w:rPr>
        <w:t xml:space="preserve">” (§ 1170, subd. (a)(1).) Petitioner has committed himself to exactly and all of that. Attached to his </w:t>
      </w:r>
      <w:r w:rsidRPr="00572333">
        <w:rPr>
          <w:rFonts w:eastAsia="Calibri" w:cs="Times New Roman"/>
        </w:rPr>
        <w:t>§ 1172.1 petition</w:t>
      </w:r>
      <w:r>
        <w:rPr>
          <w:rFonts w:eastAsia="Calibri" w:cs="Times New Roman"/>
        </w:rPr>
        <w:t xml:space="preserve"> are dozens upon dozens of certificates of completed programs, awards</w:t>
      </w:r>
      <w:r w:rsidR="00986BDB">
        <w:rPr>
          <w:rFonts w:eastAsia="Calibri" w:cs="Times New Roman"/>
        </w:rPr>
        <w:t xml:space="preserve">, </w:t>
      </w:r>
      <w:r w:rsidR="00CF7B3F">
        <w:rPr>
          <w:rFonts w:eastAsia="Calibri" w:cs="Times New Roman"/>
        </w:rPr>
        <w:t xml:space="preserve">and </w:t>
      </w:r>
      <w:r w:rsidR="00986BDB">
        <w:rPr>
          <w:rFonts w:eastAsia="Calibri" w:cs="Times New Roman"/>
        </w:rPr>
        <w:t xml:space="preserve">complimentary and informational chronos </w:t>
      </w:r>
      <w:r w:rsidR="00CF7B3F">
        <w:rPr>
          <w:rFonts w:eastAsia="Calibri" w:cs="Times New Roman"/>
        </w:rPr>
        <w:t>which</w:t>
      </w:r>
      <w:r w:rsidR="00986BDB">
        <w:rPr>
          <w:rFonts w:eastAsia="Calibri" w:cs="Times New Roman"/>
        </w:rPr>
        <w:t xml:space="preserve"> evidence his commitment to </w:t>
      </w:r>
      <w:r w:rsidR="00986BDB">
        <w:rPr>
          <w:rFonts w:eastAsia="Calibri" w:cs="Times New Roman"/>
        </w:rPr>
        <w:lastRenderedPageBreak/>
        <w:t xml:space="preserve">rehabilitation through education and active participation in rehabilitative and restorative justice programs. As explained by Dr. Howard in her recent psychological evaluation, </w:t>
      </w:r>
      <w:r w:rsidR="00CF7B3F">
        <w:rPr>
          <w:rFonts w:eastAsia="Calibri" w:cs="Times New Roman"/>
        </w:rPr>
        <w:t>“</w:t>
      </w:r>
      <w:r w:rsidR="00986BDB">
        <w:rPr>
          <w:rFonts w:eastAsia="Calibri" w:cs="Times New Roman"/>
        </w:rPr>
        <w:t xml:space="preserve">petitioner </w:t>
      </w:r>
      <w:r w:rsidR="00325636">
        <w:rPr>
          <w:rFonts w:eastAsia="Calibri" w:cs="Times New Roman"/>
        </w:rPr>
        <w:t xml:space="preserve">has been </w:t>
      </w:r>
      <w:r w:rsidR="00986BDB">
        <w:rPr>
          <w:rFonts w:eastAsia="Calibri" w:cs="Times New Roman"/>
        </w:rPr>
        <w:t>involved in treatment</w:t>
      </w:r>
      <w:r w:rsidR="00325636">
        <w:rPr>
          <w:rFonts w:eastAsia="Calibri" w:cs="Times New Roman"/>
        </w:rPr>
        <w:t xml:space="preserve">, and continues to educate himself on the best ways to maintain his emotional health and mental stability. The success </w:t>
      </w:r>
      <w:r w:rsidR="00986BDB">
        <w:rPr>
          <w:rFonts w:eastAsia="Calibri" w:cs="Times New Roman"/>
        </w:rPr>
        <w:t xml:space="preserve">of </w:t>
      </w:r>
      <w:r w:rsidR="00325636">
        <w:rPr>
          <w:rFonts w:eastAsia="Calibri" w:cs="Times New Roman"/>
        </w:rPr>
        <w:t xml:space="preserve">his </w:t>
      </w:r>
      <w:r w:rsidR="00986BDB">
        <w:rPr>
          <w:rFonts w:eastAsia="Calibri" w:cs="Times New Roman"/>
        </w:rPr>
        <w:t xml:space="preserve">treatment, from CDCR staff and from self-education, can be seen by the joint conclusions of Dr. Howard and of CDCR mental health care providers, that petitioner </w:t>
      </w:r>
      <w:r w:rsidR="007B42DD">
        <w:rPr>
          <w:rFonts w:eastAsia="Calibri" w:cs="Times New Roman"/>
        </w:rPr>
        <w:t xml:space="preserve">through treatment he </w:t>
      </w:r>
      <w:r w:rsidR="00986BDB">
        <w:rPr>
          <w:rFonts w:eastAsia="Calibri" w:cs="Times New Roman"/>
        </w:rPr>
        <w:t>no longer suffers from a personality disorder.</w:t>
      </w:r>
      <w:r w:rsidR="00CF7B3F">
        <w:rPr>
          <w:rFonts w:eastAsia="Calibri" w:cs="Times New Roman"/>
        </w:rPr>
        <w:t>”</w:t>
      </w:r>
      <w:r w:rsidR="00986BDB">
        <w:rPr>
          <w:rFonts w:eastAsia="Calibri" w:cs="Times New Roman"/>
        </w:rPr>
        <w:t xml:space="preserve"> (1172.1 petition, Exh. A.)</w:t>
      </w:r>
      <w:r w:rsidR="007B42DD">
        <w:rPr>
          <w:rFonts w:eastAsia="Calibri" w:cs="Times New Roman"/>
        </w:rPr>
        <w:t xml:space="preserve"> In an April 2022 evaluation, Dr. Peter Rosales of CDCR health services </w:t>
      </w:r>
      <w:r w:rsidR="00DD7265">
        <w:rPr>
          <w:rFonts w:eastAsia="Calibri" w:cs="Times New Roman"/>
        </w:rPr>
        <w:t xml:space="preserve">noted petitioner’s many efforts at </w:t>
      </w:r>
      <w:r w:rsidR="00902EC3">
        <w:rPr>
          <w:rFonts w:eastAsia="Calibri" w:cs="Times New Roman"/>
        </w:rPr>
        <w:t>suicide but</w:t>
      </w:r>
      <w:r w:rsidR="00DD7265">
        <w:rPr>
          <w:rFonts w:eastAsia="Calibri" w:cs="Times New Roman"/>
        </w:rPr>
        <w:t xml:space="preserve"> found that he was now stable and remarked that he has not been on psychotropic mediation in several years. He confirmed Rodriguez’ diagnosis is posttraumatic stress disorder</w:t>
      </w:r>
      <w:r w:rsidR="00CF7B3F">
        <w:rPr>
          <w:rFonts w:eastAsia="Calibri" w:cs="Times New Roman"/>
        </w:rPr>
        <w:t xml:space="preserve"> (See Exh. C, CDCR withdrew its antisocial personality disorder diagnosis in 2021)</w:t>
      </w:r>
      <w:r w:rsidR="00DD7265">
        <w:rPr>
          <w:rFonts w:eastAsia="Calibri" w:cs="Times New Roman"/>
        </w:rPr>
        <w:t>.</w:t>
      </w:r>
    </w:p>
    <w:p w14:paraId="508C9188" w14:textId="7AE443C0" w:rsidR="0009070D" w:rsidRDefault="0009070D" w:rsidP="0009070D">
      <w:pPr>
        <w:ind w:firstLine="720"/>
        <w:contextualSpacing w:val="0"/>
        <w:rPr>
          <w:rFonts w:eastAsia="Calibri" w:cs="Times New Roman"/>
        </w:rPr>
      </w:pPr>
      <w:r>
        <w:rPr>
          <w:rFonts w:eastAsia="Calibri" w:cs="Times New Roman"/>
        </w:rPr>
        <w:t>Petitioner has focused on rehabilitation. Certificates and chronos from CDCR and affiliated programs</w:t>
      </w:r>
      <w:r w:rsidR="002266B1">
        <w:rPr>
          <w:rFonts w:eastAsia="Calibri" w:cs="Times New Roman"/>
        </w:rPr>
        <w:t>, attached as exhibits to his § 1172.1 petition,</w:t>
      </w:r>
      <w:r>
        <w:rPr>
          <w:rFonts w:eastAsia="Calibri" w:cs="Times New Roman"/>
        </w:rPr>
        <w:t xml:space="preserve"> demonstrate his commitment to rehabilitation</w:t>
      </w:r>
      <w:r w:rsidR="0062362A">
        <w:rPr>
          <w:rFonts w:eastAsia="Calibri" w:cs="Times New Roman"/>
        </w:rPr>
        <w:t xml:space="preserve"> and restorative justice</w:t>
      </w:r>
      <w:r>
        <w:rPr>
          <w:rFonts w:eastAsia="Calibri" w:cs="Times New Roman"/>
        </w:rPr>
        <w:t xml:space="preserve">. The Legislature </w:t>
      </w:r>
      <w:r w:rsidR="0062362A">
        <w:rPr>
          <w:rFonts w:eastAsia="Calibri" w:cs="Times New Roman"/>
        </w:rPr>
        <w:t xml:space="preserve">has determined that </w:t>
      </w:r>
      <w:r>
        <w:rPr>
          <w:rFonts w:eastAsia="Calibri" w:cs="Times New Roman"/>
        </w:rPr>
        <w:t xml:space="preserve">rehabilitation and reintegration into civil society </w:t>
      </w:r>
      <w:r w:rsidR="0062362A">
        <w:rPr>
          <w:rFonts w:eastAsia="Calibri" w:cs="Times New Roman"/>
        </w:rPr>
        <w:t>is the essential purpose of incarceration. (§ 1170, subd. (a)(1).)</w:t>
      </w:r>
    </w:p>
    <w:p w14:paraId="780F214A" w14:textId="37C779A2" w:rsidR="00902EC3" w:rsidRDefault="00A658A7" w:rsidP="0009070D">
      <w:pPr>
        <w:ind w:firstLine="720"/>
        <w:contextualSpacing w:val="0"/>
        <w:rPr>
          <w:rFonts w:eastAsia="Calibri" w:cs="Times New Roman"/>
        </w:rPr>
      </w:pPr>
      <w:r>
        <w:rPr>
          <w:rFonts w:eastAsia="Calibri" w:cs="Times New Roman"/>
        </w:rPr>
        <w:t>Staff have seen petitioner gain maturity. Their comments are favorable and reliable.</w:t>
      </w:r>
      <w:r w:rsidR="00734CE8">
        <w:rPr>
          <w:rFonts w:eastAsia="Calibri" w:cs="Times New Roman"/>
        </w:rPr>
        <w:t xml:space="preserve"> (Dr. Howard September 17, 2025 evaluation, p. 12</w:t>
      </w:r>
      <w:r w:rsidR="00CF7B3F">
        <w:rPr>
          <w:rFonts w:eastAsia="Calibri" w:cs="Times New Roman"/>
        </w:rPr>
        <w:t>; also Exh. B</w:t>
      </w:r>
      <w:r w:rsidR="00734CE8">
        <w:rPr>
          <w:rFonts w:eastAsia="Calibri" w:cs="Times New Roman"/>
        </w:rPr>
        <w:t>.)</w:t>
      </w:r>
    </w:p>
    <w:p w14:paraId="222D8727" w14:textId="7CF9C7BF" w:rsidR="00946C67" w:rsidRPr="00946C67" w:rsidRDefault="00946C67" w:rsidP="00946C67">
      <w:pPr>
        <w:ind w:firstLine="720"/>
        <w:contextualSpacing w:val="0"/>
        <w:rPr>
          <w:rFonts w:eastAsia="Calibri" w:cs="Times New Roman"/>
        </w:rPr>
      </w:pPr>
      <w:r w:rsidRPr="00946C67">
        <w:rPr>
          <w:rFonts w:eastAsia="Calibri" w:cs="Times New Roman"/>
        </w:rPr>
        <w:t xml:space="preserve">As the People correctly point out, an inmate with a classification score greater than 60 </w:t>
      </w:r>
      <w:r w:rsidRPr="00946C67">
        <w:rPr>
          <w:rFonts w:eastAsia="Calibri" w:cs="Times New Roman"/>
          <w:i/>
          <w:iCs/>
        </w:rPr>
        <w:t>must</w:t>
      </w:r>
      <w:r w:rsidRPr="00946C67">
        <w:rPr>
          <w:rFonts w:eastAsia="Calibri" w:cs="Times New Roman"/>
        </w:rPr>
        <w:t xml:space="preserve"> be placed in maximum security housing. In contrast, an inmate serving a life term cannot be placed in minimum security housing, but can, if he earns it, be placed in medium security housing. As documented in Exhibit </w:t>
      </w:r>
      <w:r w:rsidR="00CF7B3F">
        <w:rPr>
          <w:rFonts w:eastAsia="Calibri" w:cs="Times New Roman"/>
        </w:rPr>
        <w:t>C,</w:t>
      </w:r>
      <w:r w:rsidRPr="00946C67">
        <w:rPr>
          <w:rFonts w:eastAsia="Calibri" w:cs="Times New Roman"/>
        </w:rPr>
        <w:t xml:space="preserve"> a page from defendant’s classification reviews through August 5, 2024, </w:t>
      </w:r>
      <w:r w:rsidRPr="00946C67">
        <w:rPr>
          <w:rFonts w:eastAsia="Calibri" w:cs="Times New Roman"/>
        </w:rPr>
        <w:lastRenderedPageBreak/>
        <w:t>petitioner has been continuously confined in medium security housing, the lowest level for which he is eligible.</w:t>
      </w:r>
      <w:r w:rsidRPr="00946C67">
        <w:rPr>
          <w:rFonts w:eastAsia="Calibri" w:cs="Times New Roman"/>
          <w:vertAlign w:val="superscript"/>
        </w:rPr>
        <w:footnoteReference w:id="13"/>
      </w:r>
    </w:p>
    <w:p w14:paraId="020B0178" w14:textId="0F02CFEF" w:rsidR="0009070D" w:rsidRDefault="00946C67" w:rsidP="0009070D">
      <w:pPr>
        <w:ind w:firstLine="720"/>
        <w:contextualSpacing w:val="0"/>
        <w:rPr>
          <w:rFonts w:eastAsia="Calibri" w:cs="Times New Roman"/>
        </w:rPr>
      </w:pPr>
      <w:r>
        <w:rPr>
          <w:rFonts w:eastAsia="Calibri" w:cs="Times New Roman"/>
        </w:rPr>
        <w:t>Although petitioner suffered a series of rules violations, and corresponding classification points, during his first years of incarceration, he has not suffered any rules violations for more than five years. His maturity has drawn praise from staff. His performance has earned him medium security housing, despite his elevated classification points imposed during his early years in CDCR.</w:t>
      </w:r>
    </w:p>
    <w:p w14:paraId="7DED3755" w14:textId="77777777" w:rsidR="00DD7265" w:rsidRPr="005123E7" w:rsidRDefault="00DD7265" w:rsidP="00DD7265">
      <w:pPr>
        <w:numPr>
          <w:ilvl w:val="0"/>
          <w:numId w:val="9"/>
        </w:numPr>
        <w:spacing w:after="240" w:line="240" w:lineRule="auto"/>
        <w:contextualSpacing w:val="0"/>
        <w:rPr>
          <w:rFonts w:eastAsia="Calibri" w:cs="Times New Roman"/>
        </w:rPr>
      </w:pPr>
      <w:r w:rsidRPr="00DD7265">
        <w:rPr>
          <w:rFonts w:eastAsia="Calibri" w:cs="Times New Roman"/>
          <w:i/>
          <w:iCs/>
        </w:rPr>
        <w:t>Age and Time Served Have Reduced Petitioner’s Risk for Future Violence</w:t>
      </w:r>
      <w:r>
        <w:rPr>
          <w:rFonts w:eastAsia="Calibri" w:cs="Times New Roman"/>
        </w:rPr>
        <w:t>.</w:t>
      </w:r>
    </w:p>
    <w:p w14:paraId="53E6D226" w14:textId="0DCA6A7A" w:rsidR="0009070D" w:rsidRDefault="004039B2" w:rsidP="0009070D">
      <w:pPr>
        <w:ind w:firstLine="720"/>
        <w:contextualSpacing w:val="0"/>
        <w:rPr>
          <w:rFonts w:eastAsia="Calibri" w:cs="Times New Roman"/>
        </w:rPr>
      </w:pPr>
      <w:r w:rsidRPr="004039B2">
        <w:rPr>
          <w:rFonts w:eastAsia="Calibri" w:cs="Times New Roman"/>
        </w:rPr>
        <w:t xml:space="preserve">Petitioner is 42 now, far removed from the traumatized 19-year-old who committed these offenses in 2003. </w:t>
      </w:r>
      <w:r w:rsidR="00684279">
        <w:rPr>
          <w:rFonts w:eastAsia="Calibri" w:cs="Times New Roman"/>
        </w:rPr>
        <w:t xml:space="preserve">Correctional officers and other staff have noted his growth and maturity in written chronos and the like. In its 2022 amendment to section 1170, the Legislature found and declared that </w:t>
      </w:r>
      <w:r w:rsidR="00260DDE">
        <w:rPr>
          <w:rFonts w:eastAsia="Calibri" w:cs="Times New Roman"/>
        </w:rPr>
        <w:t>“R</w:t>
      </w:r>
      <w:r w:rsidR="00684279">
        <w:rPr>
          <w:rFonts w:eastAsia="Calibri" w:cs="Times New Roman"/>
        </w:rPr>
        <w:t xml:space="preserve">esearch </w:t>
      </w:r>
      <w:r w:rsidR="00260DDE">
        <w:rPr>
          <w:rFonts w:eastAsia="Calibri" w:cs="Times New Roman"/>
        </w:rPr>
        <w:t>shows that criminal involvement diminishes dramatically after an individual reaches 40 years of age….” (2021 Assembly Bill 1540, Section 1(d)(4).)</w:t>
      </w:r>
      <w:r w:rsidR="00684279">
        <w:rPr>
          <w:rFonts w:eastAsia="Calibri" w:cs="Times New Roman"/>
        </w:rPr>
        <w:t xml:space="preserve">  </w:t>
      </w:r>
    </w:p>
    <w:p w14:paraId="4AB0721F" w14:textId="77777777" w:rsidR="00981425" w:rsidRDefault="00981425" w:rsidP="00981425">
      <w:pPr>
        <w:ind w:firstLine="720"/>
        <w:contextualSpacing w:val="0"/>
        <w:rPr>
          <w:rFonts w:eastAsia="Calibri" w:cs="Times New Roman"/>
        </w:rPr>
      </w:pPr>
      <w:r>
        <w:rPr>
          <w:rFonts w:eastAsia="Calibri" w:cs="Times New Roman"/>
        </w:rPr>
        <w:t>Time served has transformed petitioner. He has learned to put violence behind him. In contrast to his early years in prison, he has not violated any prison rules in over five years. He has engaged in and benefited from mental health treatment while is CDCR. As discussed earlier, he has engaged in and taken seriously rehabilitative and restorative justice programs.</w:t>
      </w:r>
    </w:p>
    <w:p w14:paraId="6E16F04B" w14:textId="77777777" w:rsidR="00981425" w:rsidRDefault="00981425" w:rsidP="00981425">
      <w:pPr>
        <w:ind w:firstLine="720"/>
        <w:contextualSpacing w:val="0"/>
        <w:rPr>
          <w:rFonts w:eastAsia="Calibri" w:cs="Times New Roman"/>
        </w:rPr>
      </w:pPr>
      <w:r>
        <w:rPr>
          <w:rFonts w:eastAsia="Calibri" w:cs="Times New Roman"/>
        </w:rPr>
        <w:t>Age and time served have reduced petitioner’s risk for future violence, a factor in favor of recall and resentencing.</w:t>
      </w:r>
    </w:p>
    <w:p w14:paraId="5E0EE0D6" w14:textId="212F3BEB" w:rsidR="0009070D" w:rsidRDefault="00260DDE" w:rsidP="00260DDE">
      <w:pPr>
        <w:pStyle w:val="ListParagraph"/>
        <w:numPr>
          <w:ilvl w:val="0"/>
          <w:numId w:val="9"/>
        </w:numPr>
        <w:contextualSpacing w:val="0"/>
        <w:rPr>
          <w:rFonts w:eastAsia="Calibri" w:cs="Times New Roman"/>
        </w:rPr>
      </w:pPr>
      <w:r w:rsidRPr="00260DDE">
        <w:rPr>
          <w:rFonts w:eastAsia="Calibri" w:cs="Times New Roman"/>
          <w:i/>
          <w:iCs/>
        </w:rPr>
        <w:t>Continued Incarceration is No Longer in the Interest of Justice</w:t>
      </w:r>
      <w:r>
        <w:rPr>
          <w:rFonts w:eastAsia="Calibri" w:cs="Times New Roman"/>
        </w:rPr>
        <w:t>.</w:t>
      </w:r>
    </w:p>
    <w:p w14:paraId="64D90537" w14:textId="7F7EA361" w:rsidR="00A658A7" w:rsidRDefault="00A658A7" w:rsidP="004F261D">
      <w:pPr>
        <w:spacing w:after="120" w:line="320" w:lineRule="exact"/>
        <w:ind w:left="864"/>
        <w:contextualSpacing w:val="0"/>
        <w:rPr>
          <w:rFonts w:eastAsia="Calibri" w:cs="Times New Roman"/>
        </w:rPr>
      </w:pPr>
      <w:r>
        <w:rPr>
          <w:rFonts w:eastAsia="Calibri" w:cs="Times New Roman"/>
        </w:rPr>
        <w:t>[T]</w:t>
      </w:r>
      <w:r w:rsidRPr="00A658A7">
        <w:rPr>
          <w:rFonts w:eastAsia="Calibri" w:cs="Times New Roman"/>
        </w:rPr>
        <w:t xml:space="preserve">he purpose of sentencing is public safety and to reduce recidivism achieved through punishment, rehabilitation, and restorative justice. </w:t>
      </w:r>
      <w:r w:rsidRPr="00A658A7">
        <w:rPr>
          <w:rFonts w:eastAsia="Calibri" w:cs="Times New Roman"/>
        </w:rPr>
        <w:lastRenderedPageBreak/>
        <w:t>When a sentence includes incarceration, the deprivation of liberty satisfies the punishment purpose of sentencing. </w:t>
      </w:r>
      <w:r w:rsidR="004F261D">
        <w:rPr>
          <w:rFonts w:eastAsia="Calibri" w:cs="Times New Roman"/>
        </w:rPr>
        <w:t xml:space="preserve">… </w:t>
      </w:r>
      <w:r w:rsidR="004F261D" w:rsidRPr="004F261D">
        <w:rPr>
          <w:rFonts w:eastAsia="Calibri" w:cs="Times New Roman"/>
        </w:rPr>
        <w:t>The essential purpose of incarceration is rehabilitation and successful community reintegration achieved through education, treatment, and active participation in rehabilitative and restorative justice programs. </w:t>
      </w:r>
    </w:p>
    <w:p w14:paraId="06051FF1" w14:textId="5198590C" w:rsidR="004F261D" w:rsidRDefault="004F261D" w:rsidP="004F261D">
      <w:pPr>
        <w:spacing w:after="120" w:line="320" w:lineRule="exact"/>
        <w:contextualSpacing w:val="0"/>
        <w:rPr>
          <w:rFonts w:eastAsia="Calibri" w:cs="Times New Roman"/>
        </w:rPr>
      </w:pPr>
      <w:r>
        <w:rPr>
          <w:rFonts w:eastAsia="Calibri" w:cs="Times New Roman"/>
        </w:rPr>
        <w:t>(§ 1170, subd. (a)(1).)</w:t>
      </w:r>
    </w:p>
    <w:p w14:paraId="1103DB2C" w14:textId="7D23CFA9" w:rsidR="004F261D" w:rsidRDefault="004F261D" w:rsidP="004F261D">
      <w:pPr>
        <w:ind w:firstLine="720"/>
        <w:contextualSpacing w:val="0"/>
        <w:rPr>
          <w:rFonts w:eastAsia="Calibri" w:cs="Times New Roman"/>
        </w:rPr>
      </w:pPr>
      <w:r>
        <w:rPr>
          <w:rFonts w:eastAsia="Calibri" w:cs="Times New Roman"/>
        </w:rPr>
        <w:t>The many certifications and Milestones demonstrate that petition</w:t>
      </w:r>
      <w:r w:rsidR="00734CE8">
        <w:rPr>
          <w:rFonts w:eastAsia="Calibri" w:cs="Times New Roman"/>
        </w:rPr>
        <w:t>er</w:t>
      </w:r>
      <w:r>
        <w:rPr>
          <w:rFonts w:eastAsia="Calibri" w:cs="Times New Roman"/>
        </w:rPr>
        <w:t xml:space="preserve"> has taken rehabilitation</w:t>
      </w:r>
      <w:r w:rsidR="00734CE8">
        <w:rPr>
          <w:rFonts w:eastAsia="Calibri" w:cs="Times New Roman"/>
        </w:rPr>
        <w:t xml:space="preserve"> and restorative justice</w:t>
      </w:r>
      <w:r>
        <w:rPr>
          <w:rFonts w:eastAsia="Calibri" w:cs="Times New Roman"/>
        </w:rPr>
        <w:t xml:space="preserve"> seriously. He has immersed himself in available educational programming, and he has</w:t>
      </w:r>
      <w:r w:rsidR="00734CE8">
        <w:rPr>
          <w:rFonts w:eastAsia="Calibri" w:cs="Times New Roman"/>
        </w:rPr>
        <w:t xml:space="preserve"> successfully received treatment by mental health staff and self-education. </w:t>
      </w:r>
    </w:p>
    <w:p w14:paraId="7F18EBBC" w14:textId="631BCDA6" w:rsidR="009C6633" w:rsidRPr="00260DDE" w:rsidRDefault="009C6633" w:rsidP="003D0219">
      <w:pPr>
        <w:pStyle w:val="ListParagraph"/>
        <w:numPr>
          <w:ilvl w:val="0"/>
          <w:numId w:val="9"/>
        </w:numPr>
        <w:spacing w:after="240" w:line="240" w:lineRule="auto"/>
        <w:contextualSpacing w:val="0"/>
        <w:rPr>
          <w:rFonts w:eastAsia="Calibri" w:cs="Times New Roman"/>
        </w:rPr>
      </w:pPr>
      <w:r w:rsidRPr="009C6633">
        <w:rPr>
          <w:rFonts w:eastAsia="Calibri" w:cs="Times New Roman"/>
          <w:i/>
          <w:iCs/>
        </w:rPr>
        <w:t>Petitioner Experienced Psychological, Physical, and Childhood Trauma</w:t>
      </w:r>
      <w:r>
        <w:rPr>
          <w:rFonts w:eastAsia="Calibri" w:cs="Times New Roman"/>
          <w:i/>
          <w:iCs/>
        </w:rPr>
        <w:t>.</w:t>
      </w:r>
    </w:p>
    <w:p w14:paraId="0E8A79C4" w14:textId="5F3EC243" w:rsidR="005123E7" w:rsidRDefault="003D0219" w:rsidP="0009070D">
      <w:pPr>
        <w:ind w:firstLine="720"/>
        <w:contextualSpacing w:val="0"/>
        <w:rPr>
          <w:rFonts w:eastAsia="Calibri" w:cs="Times New Roman"/>
        </w:rPr>
      </w:pPr>
      <w:r>
        <w:rPr>
          <w:rFonts w:eastAsia="Calibri" w:cs="Times New Roman"/>
        </w:rPr>
        <w:t xml:space="preserve">Petitioner suffered physical, mental and emotional trauma in childhood; Dr. Howard explores and relates these experiences in her report of July 10, 2025, at pages 4-7. She explains the connective tissue between his abysmal childhood and the commitment offenses at pages 17-18. </w:t>
      </w:r>
    </w:p>
    <w:p w14:paraId="2C72E816" w14:textId="08B3224E" w:rsidR="00260DDE" w:rsidRPr="00260DDE" w:rsidRDefault="00260DDE" w:rsidP="00260DDE">
      <w:pPr>
        <w:pStyle w:val="ListParagraph"/>
        <w:numPr>
          <w:ilvl w:val="0"/>
          <w:numId w:val="9"/>
        </w:numPr>
        <w:contextualSpacing w:val="0"/>
        <w:rPr>
          <w:rFonts w:eastAsia="Calibri" w:cs="Times New Roman"/>
        </w:rPr>
      </w:pPr>
      <w:r w:rsidRPr="009C6633">
        <w:rPr>
          <w:rFonts w:eastAsia="Calibri" w:cs="Times New Roman"/>
          <w:i/>
          <w:iCs/>
        </w:rPr>
        <w:t>Petitioner was a Youth at the Time of the Offense</w:t>
      </w:r>
      <w:r>
        <w:rPr>
          <w:rFonts w:eastAsia="Calibri" w:cs="Times New Roman"/>
        </w:rPr>
        <w:t>.</w:t>
      </w:r>
    </w:p>
    <w:p w14:paraId="07D17AD6" w14:textId="1E19AD65" w:rsidR="00260DDE" w:rsidRDefault="009C6633" w:rsidP="0009070D">
      <w:pPr>
        <w:ind w:firstLine="720"/>
        <w:contextualSpacing w:val="0"/>
        <w:rPr>
          <w:rFonts w:eastAsia="Calibri" w:cs="Times New Roman"/>
        </w:rPr>
      </w:pPr>
      <w:r>
        <w:rPr>
          <w:rFonts w:eastAsia="Calibri" w:cs="Times New Roman"/>
        </w:rPr>
        <w:t xml:space="preserve">A “youth” is defined in sections 1172.1 and 1016.7 as “any person </w:t>
      </w:r>
      <w:r w:rsidRPr="009C6633">
        <w:rPr>
          <w:rFonts w:eastAsia="Calibri" w:cs="Times New Roman"/>
        </w:rPr>
        <w:t>under 26 years of age on the date the offense was committed.</w:t>
      </w:r>
      <w:r>
        <w:rPr>
          <w:rFonts w:eastAsia="Calibri" w:cs="Times New Roman"/>
        </w:rPr>
        <w:t>” (§ 1016.7, subd. (b).)</w:t>
      </w:r>
      <w:r w:rsidR="003D0219">
        <w:rPr>
          <w:rFonts w:eastAsia="Calibri" w:cs="Times New Roman"/>
        </w:rPr>
        <w:t xml:space="preserve"> Petitioner was 19 at the time of his commitment offenses.</w:t>
      </w:r>
    </w:p>
    <w:p w14:paraId="439E8AB6" w14:textId="23ABAE41" w:rsidR="003D0219" w:rsidRDefault="003D0219" w:rsidP="0009070D">
      <w:pPr>
        <w:ind w:firstLine="720"/>
        <w:contextualSpacing w:val="0"/>
        <w:rPr>
          <w:rFonts w:eastAsia="Calibri" w:cs="Times New Roman"/>
        </w:rPr>
      </w:pPr>
      <w:r>
        <w:rPr>
          <w:rFonts w:eastAsia="Calibri" w:cs="Times New Roman"/>
        </w:rPr>
        <w:t>Dr. Howard explains how factors of youth</w:t>
      </w:r>
      <w:r w:rsidR="00541B7D">
        <w:rPr>
          <w:rFonts w:eastAsia="Calibri" w:cs="Times New Roman"/>
        </w:rPr>
        <w:t xml:space="preserve"> are tied to the commitment offenses at page 18-19 of her July 10, 2025 report. A young person’s brain, particularly their prefrontal cortex, has yet to mature. This leads to poor decision-making, heightened risk-taking, and inadequate consideration of consequences. Careless choice of companions and peer pressure play an outsized role in a young </w:t>
      </w:r>
      <w:r w:rsidR="00541B7D">
        <w:rPr>
          <w:rFonts w:eastAsia="Calibri" w:cs="Times New Roman"/>
        </w:rPr>
        <w:lastRenderedPageBreak/>
        <w:t>person's behavior. These elements were contributing factors in the commission of the offense.</w:t>
      </w:r>
      <w:r w:rsidR="004039B2">
        <w:rPr>
          <w:rStyle w:val="FootnoteReference"/>
          <w:rFonts w:eastAsia="Calibri" w:cs="Times New Roman"/>
        </w:rPr>
        <w:footnoteReference w:id="14"/>
      </w:r>
    </w:p>
    <w:p w14:paraId="05C45FFF" w14:textId="6B6F6454" w:rsidR="00E65C0A" w:rsidRDefault="00E65C0A" w:rsidP="00E65C0A">
      <w:pPr>
        <w:pStyle w:val="ListParagraph"/>
        <w:numPr>
          <w:ilvl w:val="0"/>
          <w:numId w:val="9"/>
        </w:numPr>
        <w:contextualSpacing w:val="0"/>
        <w:rPr>
          <w:rFonts w:eastAsia="Calibri" w:cs="Times New Roman"/>
        </w:rPr>
      </w:pPr>
      <w:r w:rsidRPr="00E65C0A">
        <w:rPr>
          <w:rFonts w:eastAsia="Calibri" w:cs="Times New Roman"/>
          <w:i/>
          <w:iCs/>
        </w:rPr>
        <w:t>Letters in Support of Shawn Rodriguez</w:t>
      </w:r>
    </w:p>
    <w:p w14:paraId="29422C8E" w14:textId="352793A0" w:rsidR="00E65C0A" w:rsidRDefault="00E65C0A" w:rsidP="0009070D">
      <w:pPr>
        <w:ind w:firstLine="720"/>
        <w:contextualSpacing w:val="0"/>
        <w:rPr>
          <w:rFonts w:eastAsia="Calibri" w:cs="Times New Roman"/>
        </w:rPr>
      </w:pPr>
      <w:r>
        <w:rPr>
          <w:rFonts w:eastAsia="Calibri" w:cs="Times New Roman"/>
        </w:rPr>
        <w:t>Petitioner submits multiple letters of support</w:t>
      </w:r>
      <w:r w:rsidR="00CF7B3F">
        <w:rPr>
          <w:rFonts w:eastAsia="Calibri" w:cs="Times New Roman"/>
        </w:rPr>
        <w:t>, attached as Exhibit A</w:t>
      </w:r>
      <w:r>
        <w:rPr>
          <w:rFonts w:eastAsia="Calibri" w:cs="Times New Roman"/>
        </w:rPr>
        <w:t>. The</w:t>
      </w:r>
      <w:r w:rsidR="00CF7B3F">
        <w:rPr>
          <w:rFonts w:eastAsia="Calibri" w:cs="Times New Roman"/>
        </w:rPr>
        <w:t xml:space="preserve"> authors’ </w:t>
      </w:r>
      <w:r>
        <w:rPr>
          <w:rFonts w:eastAsia="Calibri" w:cs="Times New Roman"/>
        </w:rPr>
        <w:t>lives have been positively influenced by Shawn. The</w:t>
      </w:r>
      <w:r w:rsidR="00CF7B3F">
        <w:rPr>
          <w:rFonts w:eastAsia="Calibri" w:cs="Times New Roman"/>
        </w:rPr>
        <w:t xml:space="preserve"> letters</w:t>
      </w:r>
      <w:r>
        <w:rPr>
          <w:rFonts w:eastAsia="Calibri" w:cs="Times New Roman"/>
        </w:rPr>
        <w:t xml:space="preserve"> speak to his character, his in-custody history, and his prospects.</w:t>
      </w:r>
    </w:p>
    <w:p w14:paraId="4E3F9DCE" w14:textId="15E3DB0B" w:rsidR="00E65C0A" w:rsidRDefault="00E65C0A" w:rsidP="0009070D">
      <w:pPr>
        <w:ind w:firstLine="720"/>
        <w:contextualSpacing w:val="0"/>
        <w:rPr>
          <w:rFonts w:eastAsia="Calibri" w:cs="Times New Roman"/>
        </w:rPr>
      </w:pPr>
      <w:r>
        <w:rPr>
          <w:rFonts w:eastAsia="Calibri" w:cs="Times New Roman"/>
        </w:rPr>
        <w:t xml:space="preserve">Dr. Angela Cotellessa is a polymath who devoted years working in the upper eschelons of the United States and California governments. She holds a doctorate in Human and Organizational Learning. Dr. Cotellessa met Shawn in 2020; they formed close </w:t>
      </w:r>
      <w:r w:rsidR="00CF7B3F">
        <w:rPr>
          <w:rFonts w:eastAsia="Calibri" w:cs="Times New Roman"/>
        </w:rPr>
        <w:t>bonds,</w:t>
      </w:r>
      <w:r>
        <w:rPr>
          <w:rFonts w:eastAsia="Calibri" w:cs="Times New Roman"/>
        </w:rPr>
        <w:t xml:space="preserve"> and she is a resource who will help Shawn upon his release. She speaks to Shawn’s character and, in her words, his transformation. Dr. Cotellessa’s eight year old daughter</w:t>
      </w:r>
      <w:r w:rsidR="00AE593C">
        <w:rPr>
          <w:rFonts w:eastAsia="Calibri" w:cs="Times New Roman"/>
        </w:rPr>
        <w:t>, Lily,</w:t>
      </w:r>
      <w:r>
        <w:rPr>
          <w:rFonts w:eastAsia="Calibri" w:cs="Times New Roman"/>
        </w:rPr>
        <w:t xml:space="preserve"> offers her support of Shawn as well.</w:t>
      </w:r>
    </w:p>
    <w:p w14:paraId="4B2927DE" w14:textId="58FF706C" w:rsidR="00E65C0A" w:rsidRDefault="00E65C0A" w:rsidP="0009070D">
      <w:pPr>
        <w:ind w:firstLine="720"/>
        <w:contextualSpacing w:val="0"/>
        <w:rPr>
          <w:rFonts w:eastAsia="Calibri" w:cs="Times New Roman"/>
        </w:rPr>
      </w:pPr>
      <w:r>
        <w:rPr>
          <w:rFonts w:eastAsia="Calibri" w:cs="Times New Roman"/>
        </w:rPr>
        <w:t xml:space="preserve">Billy Williams, David Venegas, Ezra Williams and Johnae Hoyt provide insight into prison politics, how prison politics have buffeted Shawn’s life, and the ways in which Shawn has helped their lives. John Crosthwaite, </w:t>
      </w:r>
      <w:r w:rsidRPr="00E65C0A">
        <w:rPr>
          <w:rFonts w:eastAsia="Calibri" w:cs="Times New Roman"/>
        </w:rPr>
        <w:t xml:space="preserve">a certified GOGI </w:t>
      </w:r>
      <w:r>
        <w:rPr>
          <w:rFonts w:eastAsia="Calibri" w:cs="Times New Roman"/>
        </w:rPr>
        <w:t xml:space="preserve">(Getting Out by Going In) </w:t>
      </w:r>
      <w:r w:rsidRPr="00E65C0A">
        <w:rPr>
          <w:rFonts w:eastAsia="Calibri" w:cs="Times New Roman"/>
        </w:rPr>
        <w:t>Community Coach</w:t>
      </w:r>
      <w:r w:rsidRPr="00E65C0A">
        <w:rPr>
          <w:rFonts w:eastAsia="Calibri" w:cs="Times New Roman"/>
        </w:rPr>
        <w:t xml:space="preserve"> </w:t>
      </w:r>
      <w:r>
        <w:rPr>
          <w:rFonts w:eastAsia="Calibri" w:cs="Times New Roman"/>
        </w:rPr>
        <w:t>and founder of Justice Reformatory</w:t>
      </w:r>
      <w:r>
        <w:rPr>
          <w:rStyle w:val="FootnoteReference"/>
          <w:rFonts w:eastAsia="Calibri" w:cs="Times New Roman"/>
        </w:rPr>
        <w:footnoteReference w:id="15"/>
      </w:r>
      <w:r>
        <w:rPr>
          <w:rFonts w:eastAsia="Calibri" w:cs="Times New Roman"/>
        </w:rPr>
        <w:t>, holds Shawn in high esteem and discusses his experiences and relationship with him (he also has much to say about prison politics).</w:t>
      </w:r>
    </w:p>
    <w:p w14:paraId="49D203D7" w14:textId="1CE42998" w:rsidR="00E65C0A" w:rsidRDefault="00E65C0A" w:rsidP="0009070D">
      <w:pPr>
        <w:ind w:firstLine="720"/>
        <w:contextualSpacing w:val="0"/>
        <w:rPr>
          <w:rFonts w:eastAsia="Calibri" w:cs="Times New Roman"/>
        </w:rPr>
      </w:pPr>
      <w:r>
        <w:rPr>
          <w:rFonts w:eastAsia="Calibri" w:cs="Times New Roman"/>
        </w:rPr>
        <w:t xml:space="preserve">Ana’ Al-Rad L. Guinn, also a prison inmate, reflects on Shawn’s reaching across the racial divide in prison to befriend him. Mr. Guinn also speaks to </w:t>
      </w:r>
      <w:r>
        <w:rPr>
          <w:rFonts w:eastAsia="Calibri" w:cs="Times New Roman"/>
        </w:rPr>
        <w:lastRenderedPageBreak/>
        <w:t>Shawn’s rejection of his former life, his remorse, his strong character and integrity. He has seen Shawn’s “depth of change.”</w:t>
      </w:r>
    </w:p>
    <w:p w14:paraId="61F6F81E" w14:textId="0BF112C9" w:rsidR="00E65C0A" w:rsidRDefault="00E65C0A" w:rsidP="0009070D">
      <w:pPr>
        <w:ind w:firstLine="720"/>
        <w:contextualSpacing w:val="0"/>
        <w:rPr>
          <w:rFonts w:eastAsia="Calibri" w:cs="Times New Roman"/>
        </w:rPr>
      </w:pPr>
      <w:r>
        <w:rPr>
          <w:rFonts w:eastAsia="Calibri" w:cs="Times New Roman"/>
        </w:rPr>
        <w:t xml:space="preserve">Mohammed Abdallah, a mental health advocate who has worked with CDCR inmates over the years, speaks </w:t>
      </w:r>
      <w:r w:rsidR="00CF7B3F">
        <w:rPr>
          <w:rFonts w:eastAsia="Calibri" w:cs="Times New Roman"/>
        </w:rPr>
        <w:t>of</w:t>
      </w:r>
      <w:r>
        <w:rPr>
          <w:rFonts w:eastAsia="Calibri" w:cs="Times New Roman"/>
        </w:rPr>
        <w:t xml:space="preserve"> Shawn’s remorse and sense of responsibility. He offers support for Shawn upon Shawn’s release.</w:t>
      </w:r>
    </w:p>
    <w:p w14:paraId="738D2176" w14:textId="2AAC1EF8" w:rsidR="00E65C0A" w:rsidRDefault="00E65C0A" w:rsidP="0009070D">
      <w:pPr>
        <w:ind w:firstLine="720"/>
        <w:contextualSpacing w:val="0"/>
        <w:rPr>
          <w:rFonts w:eastAsia="Calibri" w:cs="Times New Roman"/>
        </w:rPr>
      </w:pPr>
      <w:r>
        <w:rPr>
          <w:rFonts w:eastAsia="Calibri" w:cs="Times New Roman"/>
        </w:rPr>
        <w:t xml:space="preserve">In his 2015 letter to this court, Roy Frye, retired from the state of Alaska’s Child Protection Social Work and Juvenile Probation systems, explains how Shawn invested in available programming and is working to address his self-defeating thoughts and harmful behavior. He notes Shawn’s growth and his positive change in attitude over the </w:t>
      </w:r>
      <w:r w:rsidR="00CF7B3F">
        <w:rPr>
          <w:rFonts w:eastAsia="Calibri" w:cs="Times New Roman"/>
        </w:rPr>
        <w:t>previous</w:t>
      </w:r>
      <w:r>
        <w:rPr>
          <w:rFonts w:eastAsia="Calibri" w:cs="Times New Roman"/>
        </w:rPr>
        <w:t xml:space="preserve"> five years.</w:t>
      </w:r>
    </w:p>
    <w:p w14:paraId="0551C3E4" w14:textId="38C2C840" w:rsidR="00E65C0A" w:rsidRDefault="00E65C0A" w:rsidP="0009070D">
      <w:pPr>
        <w:ind w:firstLine="720"/>
        <w:contextualSpacing w:val="0"/>
        <w:rPr>
          <w:rFonts w:eastAsia="Calibri" w:cs="Times New Roman"/>
        </w:rPr>
      </w:pPr>
      <w:r>
        <w:rPr>
          <w:rFonts w:eastAsia="Calibri" w:cs="Times New Roman"/>
        </w:rPr>
        <w:t>Tracy Alan Stover, Shawn’s uncle, discusses how much he has been impressed by Shawn’s character. He offers support for Shawn upon his release. He even goes further: “I am gainfully employed and own a home which I intend for Shawn to one day inherit.”</w:t>
      </w:r>
    </w:p>
    <w:p w14:paraId="5A473F0C" w14:textId="0B039A17" w:rsidR="00E65C0A" w:rsidRPr="00E65C0A" w:rsidRDefault="00E65C0A" w:rsidP="00E65C0A">
      <w:pPr>
        <w:pStyle w:val="ListParagraph"/>
        <w:numPr>
          <w:ilvl w:val="0"/>
          <w:numId w:val="9"/>
        </w:numPr>
        <w:contextualSpacing w:val="0"/>
        <w:rPr>
          <w:rFonts w:eastAsia="Calibri" w:cs="Times New Roman"/>
        </w:rPr>
      </w:pPr>
      <w:r>
        <w:rPr>
          <w:rFonts w:eastAsia="Calibri" w:cs="Times New Roman"/>
        </w:rPr>
        <w:t>Exceptional Memorandums from Correctional Officers</w:t>
      </w:r>
    </w:p>
    <w:p w14:paraId="2B32DF2E" w14:textId="7F4230E9" w:rsidR="00E65C0A" w:rsidRDefault="00E65C0A" w:rsidP="0009070D">
      <w:pPr>
        <w:ind w:firstLine="720"/>
        <w:contextualSpacing w:val="0"/>
        <w:rPr>
          <w:rFonts w:eastAsia="Calibri" w:cs="Times New Roman"/>
        </w:rPr>
      </w:pPr>
      <w:r>
        <w:rPr>
          <w:rFonts w:eastAsia="Calibri" w:cs="Times New Roman"/>
        </w:rPr>
        <w:t>Correctional officers rarely write support letters for inmates. Attached are some of those exceptional chronos.</w:t>
      </w:r>
    </w:p>
    <w:p w14:paraId="6263D192" w14:textId="24FE90A4" w:rsidR="00E65C0A" w:rsidRDefault="00E65C0A" w:rsidP="0009070D">
      <w:pPr>
        <w:ind w:firstLine="720"/>
        <w:contextualSpacing w:val="0"/>
        <w:rPr>
          <w:rFonts w:eastAsia="Calibri" w:cs="Times New Roman"/>
        </w:rPr>
      </w:pPr>
      <w:r>
        <w:rPr>
          <w:rFonts w:eastAsia="Calibri" w:cs="Times New Roman"/>
        </w:rPr>
        <w:t>Sergeant H. Ng met Shawn in 2013. He relied on Shawn to do repairs and create and maintain a library for the mentally ill segregated population. He wrote in January 2021 that he noticed growth and increasing maturity in Rodriguez. He has “more empathy now than when we met in 2013. He is a team player I have come to rely on when he is needed. [He] is capable of being a great asset to any environment he is in.””</w:t>
      </w:r>
    </w:p>
    <w:p w14:paraId="31402294" w14:textId="4B9B0F48" w:rsidR="00E65C0A" w:rsidRDefault="00E65C0A" w:rsidP="0009070D">
      <w:pPr>
        <w:ind w:firstLine="720"/>
        <w:contextualSpacing w:val="0"/>
        <w:rPr>
          <w:rFonts w:eastAsia="Calibri" w:cs="Times New Roman"/>
        </w:rPr>
      </w:pPr>
      <w:r>
        <w:rPr>
          <w:rFonts w:eastAsia="Calibri" w:cs="Times New Roman"/>
        </w:rPr>
        <w:t>Officer J. Terry writes, in August 2023, that he has “observed in RODRIGUEZ for several years. In that time I have observed his conduct and work ethic.</w:t>
      </w:r>
      <w:r w:rsidR="00CF7B3F">
        <w:rPr>
          <w:rFonts w:eastAsia="Calibri" w:cs="Times New Roman"/>
        </w:rPr>
        <w:t>”</w:t>
      </w:r>
      <w:r>
        <w:rPr>
          <w:rFonts w:eastAsia="Calibri" w:cs="Times New Roman"/>
        </w:rPr>
        <w:t xml:space="preserve"> Officer Terry describes Shawn as “a hard worker and respectful at all times.</w:t>
      </w:r>
      <w:r w:rsidR="00CF7B3F">
        <w:rPr>
          <w:rFonts w:eastAsia="Calibri" w:cs="Times New Roman"/>
        </w:rPr>
        <w:t>”</w:t>
      </w:r>
    </w:p>
    <w:p w14:paraId="1E2E1131" w14:textId="4139CDC1" w:rsidR="00E65C0A" w:rsidRDefault="00E65C0A" w:rsidP="0009070D">
      <w:pPr>
        <w:ind w:firstLine="720"/>
        <w:contextualSpacing w:val="0"/>
        <w:rPr>
          <w:rFonts w:eastAsia="Calibri" w:cs="Times New Roman"/>
        </w:rPr>
      </w:pPr>
      <w:r>
        <w:rPr>
          <w:rFonts w:eastAsia="Calibri" w:cs="Times New Roman"/>
        </w:rPr>
        <w:lastRenderedPageBreak/>
        <w:t>Officer H. Dang, writing in January 2021, states: “I have known Shawn Rodriguez #V16387 for almost eight years. In that time I have seen a very substantial change in him. … In the last several years, I have noticed notable growth in Shawn; he is calmer and a better communicator and I have at times referred other prisoners tohim for advice and guidance when it seemed appropriate and productive to do so. I have come to respect his judgment as much as his work ethic.”</w:t>
      </w:r>
    </w:p>
    <w:p w14:paraId="02BE6F20" w14:textId="4D84B0AA" w:rsidR="00E65C0A" w:rsidRDefault="00E65C0A" w:rsidP="0009070D">
      <w:pPr>
        <w:ind w:firstLine="720"/>
        <w:contextualSpacing w:val="0"/>
        <w:rPr>
          <w:rFonts w:eastAsia="Calibri" w:cs="Times New Roman"/>
        </w:rPr>
      </w:pPr>
      <w:r>
        <w:rPr>
          <w:rFonts w:eastAsia="Calibri" w:cs="Times New Roman"/>
        </w:rPr>
        <w:t xml:space="preserve">Officer T. Guerra, in November 2021: “I have known in Rodriguez V16387 for several years. I know Rodriguez to be courteous, respectful and a problem solver socially.” In addition to solving complex mechanical problems in the yard, “I have consistently observed him resolve social conflict, personal and sometimes otherwise, appropriately and in the least damaging way that seemed practical.” Officer Guerra concludes that these skills and personality characteristics should serve him well upon his release from prison. </w:t>
      </w:r>
    </w:p>
    <w:p w14:paraId="2E7889B2" w14:textId="6FD6A052" w:rsidR="005123E7" w:rsidRDefault="005123E7" w:rsidP="005123E7">
      <w:pPr>
        <w:numPr>
          <w:ilvl w:val="0"/>
          <w:numId w:val="9"/>
        </w:numPr>
        <w:spacing w:after="240" w:line="240" w:lineRule="auto"/>
        <w:contextualSpacing w:val="0"/>
        <w:rPr>
          <w:rFonts w:eastAsia="Calibri" w:cs="Times New Roman"/>
        </w:rPr>
      </w:pPr>
      <w:r w:rsidRPr="005123E7">
        <w:rPr>
          <w:rFonts w:eastAsia="Calibri" w:cs="Times New Roman"/>
          <w:i/>
          <w:iCs/>
        </w:rPr>
        <w:t>Judge Penney has Considered the Petition and Chose to Exercise His Discretion to Initiate Resentencing Proceedings</w:t>
      </w:r>
      <w:r>
        <w:rPr>
          <w:rFonts w:eastAsia="Calibri" w:cs="Times New Roman"/>
        </w:rPr>
        <w:t>.</w:t>
      </w:r>
    </w:p>
    <w:p w14:paraId="743CBDCA" w14:textId="6E83D4CC" w:rsidR="00E55D3F" w:rsidRDefault="00E55D3F" w:rsidP="00E55D3F">
      <w:pPr>
        <w:ind w:firstLine="720"/>
        <w:contextualSpacing w:val="0"/>
        <w:rPr>
          <w:rFonts w:eastAsia="Calibri" w:cs="Times New Roman"/>
        </w:rPr>
      </w:pPr>
      <w:r>
        <w:rPr>
          <w:rFonts w:eastAsia="Calibri" w:cs="Times New Roman"/>
        </w:rPr>
        <w:t xml:space="preserve">Judge Penney chose to exercise his discretion to initiate resentencing proceedings. </w:t>
      </w:r>
      <w:r w:rsidR="008841EE">
        <w:rPr>
          <w:rFonts w:eastAsia="Calibri" w:cs="Times New Roman"/>
        </w:rPr>
        <w:t xml:space="preserve">The </w:t>
      </w:r>
      <w:r>
        <w:rPr>
          <w:rFonts w:eastAsia="Calibri" w:cs="Times New Roman"/>
        </w:rPr>
        <w:t>People point out</w:t>
      </w:r>
      <w:r w:rsidR="008841EE">
        <w:rPr>
          <w:rFonts w:eastAsia="Calibri" w:cs="Times New Roman"/>
        </w:rPr>
        <w:t xml:space="preserve"> that</w:t>
      </w:r>
      <w:r>
        <w:rPr>
          <w:rFonts w:eastAsia="Calibri" w:cs="Times New Roman"/>
        </w:rPr>
        <w:t xml:space="preserve"> </w:t>
      </w:r>
      <w:r w:rsidRPr="00E55D3F">
        <w:rPr>
          <w:rFonts w:eastAsia="Calibri" w:cs="Times New Roman"/>
        </w:rPr>
        <w:t xml:space="preserve">had Judge Penney chosen </w:t>
      </w:r>
      <w:r w:rsidR="0072363D">
        <w:rPr>
          <w:rFonts w:eastAsia="Calibri" w:cs="Times New Roman"/>
        </w:rPr>
        <w:t>to exercise his discretion</w:t>
      </w:r>
      <w:r w:rsidR="00860B2E">
        <w:rPr>
          <w:rFonts w:eastAsia="Calibri" w:cs="Times New Roman"/>
        </w:rPr>
        <w:t xml:space="preserve"> </w:t>
      </w:r>
      <w:r w:rsidRPr="00E55D3F">
        <w:rPr>
          <w:rFonts w:eastAsia="Calibri" w:cs="Times New Roman"/>
        </w:rPr>
        <w:t xml:space="preserve">to </w:t>
      </w:r>
      <w:r w:rsidRPr="003F34F5">
        <w:rPr>
          <w:rFonts w:eastAsia="Calibri" w:cs="Times New Roman"/>
          <w:i/>
          <w:iCs/>
        </w:rPr>
        <w:t>deny</w:t>
      </w:r>
      <w:r w:rsidRPr="00E55D3F">
        <w:rPr>
          <w:rFonts w:eastAsia="Calibri" w:cs="Times New Roman"/>
        </w:rPr>
        <w:t xml:space="preserve"> the petition pursuant to </w:t>
      </w:r>
      <w:r>
        <w:rPr>
          <w:rFonts w:eastAsia="Calibri" w:cs="Times New Roman"/>
        </w:rPr>
        <w:t xml:space="preserve">§ 1172.1, subd. (c), </w:t>
      </w:r>
      <w:r w:rsidR="00860B2E">
        <w:rPr>
          <w:rFonts w:eastAsia="Calibri" w:cs="Times New Roman"/>
        </w:rPr>
        <w:t>that</w:t>
      </w:r>
      <w:r>
        <w:rPr>
          <w:rFonts w:eastAsia="Calibri" w:cs="Times New Roman"/>
        </w:rPr>
        <w:t xml:space="preserve"> </w:t>
      </w:r>
      <w:r w:rsidR="00860B2E">
        <w:rPr>
          <w:rFonts w:eastAsia="Calibri" w:cs="Times New Roman"/>
        </w:rPr>
        <w:t>“</w:t>
      </w:r>
      <w:r>
        <w:rPr>
          <w:rFonts w:eastAsia="Calibri" w:cs="Times New Roman"/>
        </w:rPr>
        <w:t xml:space="preserve">decision </w:t>
      </w:r>
      <w:r w:rsidR="00860B2E">
        <w:rPr>
          <w:rFonts w:eastAsia="Calibri" w:cs="Times New Roman"/>
        </w:rPr>
        <w:t xml:space="preserve">to not recall a sentence is either wholly unappealable [citing </w:t>
      </w:r>
      <w:r w:rsidR="00860B2E" w:rsidRPr="00860B2E">
        <w:rPr>
          <w:rFonts w:eastAsia="Calibri" w:cs="Times New Roman"/>
          <w:i/>
          <w:iCs/>
        </w:rPr>
        <w:t>People v. Roy</w:t>
      </w:r>
      <w:r w:rsidR="00860B2E" w:rsidRPr="00860B2E">
        <w:rPr>
          <w:rFonts w:eastAsia="Calibri" w:cs="Times New Roman"/>
        </w:rPr>
        <w:t xml:space="preserve"> (2025) 110 Cal.App.5th 991</w:t>
      </w:r>
      <w:r w:rsidR="00860B2E">
        <w:rPr>
          <w:rFonts w:eastAsia="Calibri" w:cs="Times New Roman"/>
        </w:rPr>
        <w:t xml:space="preserve">], or, at worst [??], evaluated under an </w:t>
      </w:r>
      <w:r w:rsidR="008841EE" w:rsidRPr="008841EE">
        <w:rPr>
          <w:rFonts w:eastAsia="Calibri" w:cs="Times New Roman"/>
        </w:rPr>
        <w:t xml:space="preserve">abuse of discretion standard </w:t>
      </w:r>
      <w:r w:rsidR="00860B2E">
        <w:rPr>
          <w:rFonts w:eastAsia="Calibri" w:cs="Times New Roman"/>
        </w:rPr>
        <w:t>[</w:t>
      </w:r>
      <w:r w:rsidR="008841EE" w:rsidRPr="008841EE">
        <w:rPr>
          <w:rFonts w:eastAsia="Calibri" w:cs="Times New Roman"/>
        </w:rPr>
        <w:t xml:space="preserve">citing </w:t>
      </w:r>
      <w:r w:rsidR="008841EE" w:rsidRPr="008841EE">
        <w:rPr>
          <w:rFonts w:eastAsia="Calibri" w:cs="Times New Roman"/>
          <w:i/>
          <w:iCs/>
        </w:rPr>
        <w:t>People v. Olea</w:t>
      </w:r>
      <w:r w:rsidR="008841EE" w:rsidRPr="008841EE">
        <w:rPr>
          <w:rFonts w:eastAsia="Calibri" w:cs="Times New Roman"/>
        </w:rPr>
        <w:t xml:space="preserve"> (2025) 115 Cal.App.5th 889]</w:t>
      </w:r>
      <w:r w:rsidR="00860B2E">
        <w:rPr>
          <w:rFonts w:eastAsia="Calibri" w:cs="Times New Roman"/>
        </w:rPr>
        <w:t>.</w:t>
      </w:r>
      <w:r w:rsidR="004039B2">
        <w:rPr>
          <w:rFonts w:eastAsia="Calibri" w:cs="Times New Roman"/>
        </w:rPr>
        <w:t xml:space="preserve"> (People’s Opposition, 2:9-10.)</w:t>
      </w:r>
    </w:p>
    <w:p w14:paraId="5DFF1456" w14:textId="47957F0D" w:rsidR="003F34F5" w:rsidRDefault="003F34F5" w:rsidP="00E55D3F">
      <w:pPr>
        <w:ind w:firstLine="720"/>
        <w:contextualSpacing w:val="0"/>
        <w:rPr>
          <w:rFonts w:eastAsia="Calibri" w:cs="Times New Roman"/>
        </w:rPr>
      </w:pPr>
      <w:r>
        <w:rPr>
          <w:rFonts w:eastAsia="Calibri" w:cs="Times New Roman"/>
        </w:rPr>
        <w:t xml:space="preserve">A superior court judge reviewing a § 1172.1 petition may move the case forward or to deny the petition outright pursuant to </w:t>
      </w:r>
      <w:r w:rsidRPr="003F34F5">
        <w:rPr>
          <w:rFonts w:eastAsia="Calibri" w:cs="Times New Roman"/>
        </w:rPr>
        <w:t>§ 1172.1</w:t>
      </w:r>
      <w:r>
        <w:rPr>
          <w:rFonts w:eastAsia="Calibri" w:cs="Times New Roman"/>
        </w:rPr>
        <w:t xml:space="preserve">, subd. (c) (possibly subject to an abuse of discretion standard). Judge Penney, who was familiar with </w:t>
      </w:r>
      <w:r>
        <w:rPr>
          <w:rFonts w:eastAsia="Calibri" w:cs="Times New Roman"/>
        </w:rPr>
        <w:lastRenderedPageBreak/>
        <w:t>the case and had multiple relevant exhibits before him, exercised his discretion in petitioner’s favor.</w:t>
      </w:r>
      <w:r w:rsidR="004039B2">
        <w:rPr>
          <w:rFonts w:eastAsia="Calibri" w:cs="Times New Roman"/>
        </w:rPr>
        <w:t xml:space="preserve"> Judge Penney’s decision is </w:t>
      </w:r>
      <w:r w:rsidR="00A86228">
        <w:rPr>
          <w:rFonts w:eastAsia="Calibri" w:cs="Times New Roman"/>
        </w:rPr>
        <w:t>entitled to</w:t>
      </w:r>
      <w:r w:rsidR="004039B2">
        <w:rPr>
          <w:rFonts w:eastAsia="Calibri" w:cs="Times New Roman"/>
        </w:rPr>
        <w:t xml:space="preserve"> deference.</w:t>
      </w:r>
    </w:p>
    <w:p w14:paraId="0A47FB79" w14:textId="3AF49E5A" w:rsidR="000B62F1" w:rsidRDefault="000B62F1" w:rsidP="000B62F1">
      <w:pPr>
        <w:pStyle w:val="Heading1"/>
      </w:pPr>
      <w:r>
        <w:t>Conclusion</w:t>
      </w:r>
    </w:p>
    <w:p w14:paraId="06798596" w14:textId="34865706" w:rsidR="005977CC" w:rsidRDefault="000B62F1" w:rsidP="00E55D3F">
      <w:pPr>
        <w:ind w:firstLine="720"/>
        <w:contextualSpacing w:val="0"/>
        <w:rPr>
          <w:rFonts w:eastAsia="Calibri" w:cs="Times New Roman"/>
        </w:rPr>
      </w:pPr>
      <w:r>
        <w:rPr>
          <w:rFonts w:eastAsia="Calibri" w:cs="Times New Roman"/>
        </w:rPr>
        <w:t>In 2003 petitioner was convicted of conspiracy to commit murder and kidnapping. The jury did not convict the charged attempted murder. The victim did not suffer physical injury. For these crimes petitioner has served more than 22 years of actual custody.</w:t>
      </w:r>
    </w:p>
    <w:p w14:paraId="4E727E4A" w14:textId="3D2215DC" w:rsidR="000B62F1" w:rsidRDefault="000B62F1" w:rsidP="00E55D3F">
      <w:pPr>
        <w:ind w:firstLine="720"/>
        <w:contextualSpacing w:val="0"/>
        <w:rPr>
          <w:rFonts w:eastAsia="Calibri" w:cs="Times New Roman"/>
        </w:rPr>
      </w:pPr>
      <w:r>
        <w:rPr>
          <w:rFonts w:eastAsia="Calibri" w:cs="Times New Roman"/>
        </w:rPr>
        <w:t>Family, friends, fellow inmates, correctional officers and others attest to the changes they have seen in Shawn. They vouch for the changes in his character and attitude.</w:t>
      </w:r>
    </w:p>
    <w:p w14:paraId="191EB6C9" w14:textId="2BC9AB2B" w:rsidR="000B62F1" w:rsidRDefault="000B62F1" w:rsidP="00E55D3F">
      <w:pPr>
        <w:ind w:firstLine="720"/>
        <w:contextualSpacing w:val="0"/>
        <w:rPr>
          <w:rFonts w:eastAsia="Calibri" w:cs="Times New Roman"/>
        </w:rPr>
      </w:pPr>
      <w:r>
        <w:rPr>
          <w:rFonts w:eastAsia="Calibri" w:cs="Times New Roman"/>
        </w:rPr>
        <w:t>He has done what the Legislature contemplated when they amended sections 1170 and 1172.1. He has committed himself to rehabilitation and restorative justice. He has taken and completed dozens upon dozens of programs, projects and classes.</w:t>
      </w:r>
    </w:p>
    <w:p w14:paraId="27D9028A" w14:textId="789A8A7A" w:rsidR="000B62F1" w:rsidRDefault="000B62F1" w:rsidP="00E55D3F">
      <w:pPr>
        <w:ind w:firstLine="720"/>
        <w:contextualSpacing w:val="0"/>
        <w:rPr>
          <w:rFonts w:eastAsia="Calibri" w:cs="Times New Roman"/>
        </w:rPr>
      </w:pPr>
      <w:r>
        <w:rPr>
          <w:rFonts w:eastAsia="Calibri" w:cs="Times New Roman"/>
        </w:rPr>
        <w:t>Shawn has contributed to others, in and outside the institution. He has volunteered for duties, he has contributed time and money to charitable causes, he has assisted officers in conflict resolution.</w:t>
      </w:r>
    </w:p>
    <w:p w14:paraId="3951CF65" w14:textId="3C2C3900" w:rsidR="000B62F1" w:rsidRDefault="000B62F1" w:rsidP="00E55D3F">
      <w:pPr>
        <w:ind w:firstLine="720"/>
        <w:contextualSpacing w:val="0"/>
        <w:rPr>
          <w:rFonts w:eastAsia="Calibri" w:cs="Times New Roman"/>
        </w:rPr>
      </w:pPr>
      <w:r>
        <w:rPr>
          <w:rFonts w:eastAsia="Calibri" w:cs="Times New Roman"/>
        </w:rPr>
        <w:t>Judge Penney, who considered Rodriguez’ petition for recall and resentencing, chose to exercise his discretion to move the petition forward.</w:t>
      </w:r>
    </w:p>
    <w:p w14:paraId="434BBABC" w14:textId="7FE6D8FC" w:rsidR="000B62F1" w:rsidRDefault="000B62F1" w:rsidP="00E55D3F">
      <w:pPr>
        <w:ind w:firstLine="720"/>
        <w:contextualSpacing w:val="0"/>
        <w:rPr>
          <w:rFonts w:eastAsia="Calibri" w:cs="Times New Roman"/>
        </w:rPr>
      </w:pPr>
      <w:r>
        <w:rPr>
          <w:rFonts w:eastAsia="Calibri" w:cs="Times New Roman"/>
        </w:rPr>
        <w:t xml:space="preserve">There is no guarantee what a judge will do at resentencing. A judge may leave the original judgment in </w:t>
      </w:r>
      <w:r w:rsidR="00CF7B3F">
        <w:rPr>
          <w:rFonts w:eastAsia="Calibri" w:cs="Times New Roman"/>
        </w:rPr>
        <w:t>place or</w:t>
      </w:r>
      <w:r>
        <w:rPr>
          <w:rFonts w:eastAsia="Calibri" w:cs="Times New Roman"/>
        </w:rPr>
        <w:t xml:space="preserve"> may find cause to restructure the sentence wholesale. That is a matter for another day. For </w:t>
      </w:r>
      <w:r w:rsidR="009F19E4">
        <w:rPr>
          <w:rFonts w:eastAsia="Calibri" w:cs="Times New Roman"/>
        </w:rPr>
        <w:t>today</w:t>
      </w:r>
      <w:r>
        <w:rPr>
          <w:rFonts w:eastAsia="Calibri" w:cs="Times New Roman"/>
        </w:rPr>
        <w:t xml:space="preserve">, petitioner asks this court to recall his commitment </w:t>
      </w:r>
      <w:r w:rsidR="00CF7B3F">
        <w:rPr>
          <w:rFonts w:eastAsia="Calibri" w:cs="Times New Roman"/>
        </w:rPr>
        <w:t>and</w:t>
      </w:r>
      <w:r>
        <w:rPr>
          <w:rFonts w:eastAsia="Calibri" w:cs="Times New Roman"/>
        </w:rPr>
        <w:t xml:space="preserve"> set </w:t>
      </w:r>
      <w:r w:rsidR="00CF7B3F">
        <w:rPr>
          <w:rFonts w:eastAsia="Calibri" w:cs="Times New Roman"/>
        </w:rPr>
        <w:t xml:space="preserve">the matter </w:t>
      </w:r>
      <w:r>
        <w:rPr>
          <w:rFonts w:eastAsia="Calibri" w:cs="Times New Roman"/>
        </w:rPr>
        <w:t>for resentencing.</w:t>
      </w:r>
    </w:p>
    <w:p w14:paraId="05D10CEF" w14:textId="3E9E64F8" w:rsidR="000B62F1" w:rsidRPr="00691FC4" w:rsidRDefault="000B62F1" w:rsidP="000B62F1">
      <w:pPr>
        <w:spacing w:before="120" w:line="480" w:lineRule="auto"/>
        <w:contextualSpacing w:val="0"/>
        <w:jc w:val="both"/>
        <w:rPr>
          <w:rFonts w:eastAsia="Times New Roman" w:cs="Times New Roman"/>
          <w:snapToGrid w:val="0"/>
          <w:szCs w:val="26"/>
        </w:rPr>
      </w:pPr>
      <w:r w:rsidRPr="00691FC4">
        <w:rPr>
          <w:rFonts w:eastAsia="Times New Roman" w:cs="Times New Roman"/>
          <w:snapToGrid w:val="0"/>
          <w:szCs w:val="26"/>
        </w:rPr>
        <w:t>DATED:</w:t>
      </w:r>
      <w:r>
        <w:rPr>
          <w:rFonts w:eastAsia="Times New Roman" w:cs="Times New Roman"/>
          <w:snapToGrid w:val="0"/>
          <w:szCs w:val="26"/>
        </w:rPr>
        <w:t xml:space="preserve"> --------------</w:t>
      </w:r>
      <w:r w:rsidRPr="00691FC4">
        <w:rPr>
          <w:rFonts w:eastAsia="Times New Roman" w:cs="Times New Roman"/>
          <w:snapToGrid w:val="0"/>
          <w:szCs w:val="26"/>
        </w:rPr>
        <w:t xml:space="preserve"> 2025</w:t>
      </w:r>
      <w:r w:rsidRPr="00691FC4">
        <w:rPr>
          <w:rFonts w:eastAsia="Times New Roman" w:cs="Times New Roman"/>
          <w:snapToGrid w:val="0"/>
          <w:szCs w:val="26"/>
        </w:rPr>
        <w:tab/>
      </w:r>
      <w:r w:rsidRPr="00691FC4">
        <w:rPr>
          <w:rFonts w:eastAsia="Times New Roman" w:cs="Times New Roman"/>
          <w:snapToGrid w:val="0"/>
          <w:szCs w:val="26"/>
        </w:rPr>
        <w:tab/>
        <w:t>Respectfully submitted,</w:t>
      </w:r>
    </w:p>
    <w:p w14:paraId="3FE9D31D" w14:textId="77777777" w:rsidR="000B62F1" w:rsidRPr="00691FC4" w:rsidRDefault="000B62F1" w:rsidP="000B62F1">
      <w:pPr>
        <w:spacing w:line="240" w:lineRule="auto"/>
        <w:ind w:left="4320"/>
        <w:contextualSpacing w:val="0"/>
        <w:rPr>
          <w:rFonts w:eastAsia="Times New Roman" w:cs="Times New Roman"/>
          <w:szCs w:val="26"/>
        </w:rPr>
      </w:pPr>
    </w:p>
    <w:p w14:paraId="3918B593" w14:textId="77777777" w:rsidR="000B62F1" w:rsidRPr="00691FC4" w:rsidRDefault="000B62F1" w:rsidP="000B62F1">
      <w:pPr>
        <w:spacing w:line="240" w:lineRule="auto"/>
        <w:ind w:left="4320"/>
        <w:contextualSpacing w:val="0"/>
        <w:rPr>
          <w:rFonts w:eastAsia="Times New Roman" w:cs="Times New Roman"/>
          <w:szCs w:val="26"/>
        </w:rPr>
      </w:pPr>
      <w:r w:rsidRPr="00691FC4">
        <w:rPr>
          <w:rFonts w:eastAsia="Times New Roman" w:cs="Times New Roman"/>
          <w:szCs w:val="26"/>
        </w:rPr>
        <w:t>__________________________</w:t>
      </w:r>
    </w:p>
    <w:p w14:paraId="03FAA16C" w14:textId="77777777" w:rsidR="000B62F1" w:rsidRPr="00691FC4" w:rsidRDefault="000B62F1" w:rsidP="000B62F1">
      <w:pPr>
        <w:spacing w:line="240" w:lineRule="auto"/>
        <w:ind w:left="4320"/>
        <w:contextualSpacing w:val="0"/>
        <w:rPr>
          <w:rFonts w:eastAsia="Times New Roman" w:cs="Times New Roman"/>
          <w:szCs w:val="26"/>
        </w:rPr>
      </w:pPr>
      <w:r w:rsidRPr="00691FC4">
        <w:rPr>
          <w:rFonts w:eastAsia="Times New Roman" w:cs="Times New Roman"/>
          <w:szCs w:val="26"/>
        </w:rPr>
        <w:t>Leonard Tauman</w:t>
      </w:r>
    </w:p>
    <w:p w14:paraId="410F579E" w14:textId="248D993F" w:rsidR="000B62F1" w:rsidRDefault="000B62F1" w:rsidP="000B62F1">
      <w:pPr>
        <w:spacing w:line="240" w:lineRule="auto"/>
        <w:ind w:left="4320"/>
        <w:contextualSpacing w:val="0"/>
        <w:rPr>
          <w:rFonts w:eastAsia="Times New Roman" w:cs="Times New Roman"/>
          <w:szCs w:val="26"/>
        </w:rPr>
      </w:pPr>
      <w:r w:rsidRPr="00691FC4">
        <w:rPr>
          <w:rFonts w:eastAsia="Times New Roman" w:cs="Times New Roman"/>
          <w:szCs w:val="26"/>
        </w:rPr>
        <w:t>Assistant Public Defender</w:t>
      </w:r>
    </w:p>
    <w:p w14:paraId="7F8FA1D0" w14:textId="236E4D00" w:rsidR="002B451A" w:rsidRDefault="000B62F1" w:rsidP="002B451A">
      <w:pPr>
        <w:spacing w:line="240" w:lineRule="auto"/>
        <w:jc w:val="center"/>
        <w:rPr>
          <w:rFonts w:eastAsia="Times New Roman" w:cs="Times New Roman"/>
          <w:szCs w:val="20"/>
        </w:rPr>
      </w:pPr>
      <w:bookmarkStart w:id="23" w:name="_Hlk211159253"/>
      <w:r>
        <w:rPr>
          <w:rFonts w:eastAsia="Times New Roman" w:cs="Times New Roman"/>
          <w:szCs w:val="20"/>
        </w:rPr>
        <w:lastRenderedPageBreak/>
        <w:t>E</w:t>
      </w:r>
      <w:r w:rsidR="002B451A">
        <w:rPr>
          <w:rFonts w:eastAsia="Times New Roman" w:cs="Times New Roman"/>
          <w:szCs w:val="20"/>
        </w:rPr>
        <w:t>XHIBIT LIST</w:t>
      </w:r>
    </w:p>
    <w:p w14:paraId="5B3FA1AB" w14:textId="77777777" w:rsidR="002B451A" w:rsidRDefault="002B451A" w:rsidP="002B451A">
      <w:pPr>
        <w:spacing w:line="240" w:lineRule="auto"/>
        <w:rPr>
          <w:rFonts w:eastAsia="Times New Roman" w:cs="Times New Roman"/>
          <w:szCs w:val="20"/>
        </w:rPr>
      </w:pPr>
    </w:p>
    <w:p w14:paraId="70BF75D0" w14:textId="499F2808" w:rsidR="002B451A" w:rsidRDefault="00B5348D" w:rsidP="002B451A">
      <w:pPr>
        <w:spacing w:line="240" w:lineRule="auto"/>
        <w:rPr>
          <w:rFonts w:eastAsia="Times New Roman" w:cs="Times New Roman"/>
          <w:szCs w:val="20"/>
        </w:rPr>
      </w:pPr>
      <w:r>
        <w:rPr>
          <w:rFonts w:eastAsia="Times New Roman" w:cs="Times New Roman"/>
          <w:szCs w:val="20"/>
        </w:rPr>
        <w:t>EXHIBIT A</w:t>
      </w:r>
    </w:p>
    <w:p w14:paraId="2A090664" w14:textId="77777777" w:rsidR="00B5348D" w:rsidRDefault="00B5348D" w:rsidP="002B451A">
      <w:pPr>
        <w:spacing w:line="240" w:lineRule="auto"/>
        <w:rPr>
          <w:rFonts w:eastAsia="Times New Roman" w:cs="Times New Roman"/>
          <w:szCs w:val="20"/>
        </w:rPr>
      </w:pPr>
    </w:p>
    <w:p w14:paraId="36EB6029" w14:textId="78549514" w:rsidR="00B5348D" w:rsidRDefault="00B5348D" w:rsidP="002B451A">
      <w:pPr>
        <w:spacing w:line="240" w:lineRule="auto"/>
        <w:rPr>
          <w:rFonts w:eastAsia="Times New Roman" w:cs="Times New Roman"/>
          <w:szCs w:val="20"/>
        </w:rPr>
      </w:pPr>
      <w:r>
        <w:rPr>
          <w:rFonts w:eastAsia="Times New Roman" w:cs="Times New Roman"/>
          <w:szCs w:val="20"/>
        </w:rPr>
        <w:tab/>
        <w:t>Letters of support.</w:t>
      </w:r>
    </w:p>
    <w:p w14:paraId="214C5DF1" w14:textId="77777777" w:rsidR="00B5348D" w:rsidRDefault="00B5348D" w:rsidP="002B451A">
      <w:pPr>
        <w:spacing w:line="240" w:lineRule="auto"/>
        <w:rPr>
          <w:rFonts w:eastAsia="Times New Roman" w:cs="Times New Roman"/>
          <w:szCs w:val="20"/>
        </w:rPr>
      </w:pPr>
    </w:p>
    <w:p w14:paraId="470FE85E" w14:textId="6030279B" w:rsidR="00B5348D" w:rsidRDefault="00B5348D" w:rsidP="002B451A">
      <w:pPr>
        <w:spacing w:line="240" w:lineRule="auto"/>
        <w:rPr>
          <w:rFonts w:eastAsia="Times New Roman" w:cs="Times New Roman"/>
          <w:szCs w:val="20"/>
        </w:rPr>
      </w:pPr>
      <w:r>
        <w:rPr>
          <w:rFonts w:eastAsia="Times New Roman" w:cs="Times New Roman"/>
          <w:szCs w:val="20"/>
        </w:rPr>
        <w:t>EXHIBIT B</w:t>
      </w:r>
    </w:p>
    <w:p w14:paraId="011DBFAF" w14:textId="77777777" w:rsidR="00B5348D" w:rsidRDefault="00B5348D" w:rsidP="002B451A">
      <w:pPr>
        <w:spacing w:line="240" w:lineRule="auto"/>
        <w:rPr>
          <w:rFonts w:eastAsia="Times New Roman" w:cs="Times New Roman"/>
          <w:szCs w:val="20"/>
        </w:rPr>
      </w:pPr>
    </w:p>
    <w:p w14:paraId="1560242D" w14:textId="29813FDC" w:rsidR="00B5348D" w:rsidRDefault="00B5348D" w:rsidP="002B451A">
      <w:pPr>
        <w:spacing w:line="240" w:lineRule="auto"/>
        <w:rPr>
          <w:rFonts w:eastAsia="Times New Roman" w:cs="Times New Roman"/>
          <w:szCs w:val="20"/>
        </w:rPr>
      </w:pPr>
      <w:r>
        <w:rPr>
          <w:rFonts w:eastAsia="Times New Roman" w:cs="Times New Roman"/>
          <w:szCs w:val="20"/>
        </w:rPr>
        <w:tab/>
      </w:r>
      <w:bookmarkStart w:id="24" w:name="_Hlk216000878"/>
      <w:r w:rsidR="000B62F1">
        <w:rPr>
          <w:rFonts w:eastAsia="Times New Roman" w:cs="Times New Roman"/>
          <w:szCs w:val="20"/>
        </w:rPr>
        <w:t>Exemplary chronos from officers</w:t>
      </w:r>
      <w:bookmarkEnd w:id="24"/>
      <w:r>
        <w:rPr>
          <w:rFonts w:eastAsia="Times New Roman" w:cs="Times New Roman"/>
          <w:szCs w:val="20"/>
        </w:rPr>
        <w:t>.</w:t>
      </w:r>
    </w:p>
    <w:p w14:paraId="7B0F5E9D" w14:textId="77777777" w:rsidR="00B5348D" w:rsidRDefault="00B5348D" w:rsidP="002B451A">
      <w:pPr>
        <w:spacing w:line="240" w:lineRule="auto"/>
        <w:rPr>
          <w:rFonts w:eastAsia="Times New Roman" w:cs="Times New Roman"/>
          <w:szCs w:val="20"/>
        </w:rPr>
      </w:pPr>
    </w:p>
    <w:p w14:paraId="7C071879" w14:textId="77777777" w:rsidR="00B5348D" w:rsidRDefault="00B5348D" w:rsidP="002B451A">
      <w:pPr>
        <w:spacing w:line="240" w:lineRule="auto"/>
        <w:rPr>
          <w:rFonts w:eastAsia="Times New Roman" w:cs="Times New Roman"/>
          <w:szCs w:val="20"/>
        </w:rPr>
      </w:pPr>
    </w:p>
    <w:p w14:paraId="64E5191F" w14:textId="4A6AF32B" w:rsidR="00EC26C7" w:rsidRDefault="002B451A" w:rsidP="002B451A">
      <w:pPr>
        <w:spacing w:line="240" w:lineRule="auto"/>
        <w:rPr>
          <w:rFonts w:eastAsia="Times New Roman" w:cs="Times New Roman"/>
          <w:szCs w:val="20"/>
        </w:rPr>
      </w:pPr>
      <w:r>
        <w:rPr>
          <w:rFonts w:eastAsia="Times New Roman" w:cs="Times New Roman"/>
          <w:szCs w:val="20"/>
        </w:rPr>
        <w:t xml:space="preserve">EXHIBIT </w:t>
      </w:r>
      <w:r w:rsidR="000B62F1">
        <w:rPr>
          <w:rFonts w:eastAsia="Times New Roman" w:cs="Times New Roman"/>
          <w:szCs w:val="20"/>
        </w:rPr>
        <w:t>C</w:t>
      </w:r>
    </w:p>
    <w:p w14:paraId="7DCDD41B" w14:textId="77777777" w:rsidR="000B62F1" w:rsidRDefault="000B62F1" w:rsidP="002B451A">
      <w:pPr>
        <w:spacing w:line="240" w:lineRule="auto"/>
        <w:rPr>
          <w:rFonts w:eastAsia="Times New Roman" w:cs="Times New Roman"/>
          <w:szCs w:val="20"/>
        </w:rPr>
      </w:pPr>
    </w:p>
    <w:p w14:paraId="798CF2ED" w14:textId="1ACA1B58" w:rsidR="002B451A" w:rsidRDefault="000B62F1" w:rsidP="002B451A">
      <w:pPr>
        <w:spacing w:line="240" w:lineRule="auto"/>
        <w:rPr>
          <w:rFonts w:eastAsia="Times New Roman" w:cs="Times New Roman"/>
          <w:szCs w:val="20"/>
        </w:rPr>
      </w:pPr>
      <w:r>
        <w:rPr>
          <w:rFonts w:eastAsia="Times New Roman" w:cs="Times New Roman"/>
          <w:szCs w:val="20"/>
        </w:rPr>
        <w:tab/>
        <w:t>Pe</w:t>
      </w:r>
      <w:r w:rsidR="00226080">
        <w:rPr>
          <w:rFonts w:eastAsia="Times New Roman" w:cs="Times New Roman"/>
          <w:szCs w:val="20"/>
        </w:rPr>
        <w:t>ti</w:t>
      </w:r>
      <w:r>
        <w:rPr>
          <w:rFonts w:eastAsia="Times New Roman" w:cs="Times New Roman"/>
          <w:szCs w:val="20"/>
        </w:rPr>
        <w:t>tioner’s housing since 2021</w:t>
      </w:r>
    </w:p>
    <w:p w14:paraId="6B302747" w14:textId="584CBD66" w:rsidR="002B451A" w:rsidRDefault="002B451A" w:rsidP="002B451A">
      <w:pPr>
        <w:spacing w:line="240" w:lineRule="auto"/>
        <w:rPr>
          <w:rFonts w:eastAsia="Times New Roman" w:cs="Times New Roman"/>
          <w:szCs w:val="20"/>
        </w:rPr>
      </w:pPr>
      <w:r>
        <w:rPr>
          <w:rFonts w:eastAsia="Times New Roman" w:cs="Times New Roman"/>
          <w:szCs w:val="20"/>
        </w:rPr>
        <w:tab/>
      </w:r>
    </w:p>
    <w:p w14:paraId="3682DE10" w14:textId="77777777" w:rsidR="002B451A" w:rsidRDefault="002B451A" w:rsidP="002B451A">
      <w:pPr>
        <w:spacing w:line="240" w:lineRule="auto"/>
        <w:rPr>
          <w:rFonts w:eastAsia="Times New Roman" w:cs="Times New Roman"/>
          <w:szCs w:val="20"/>
        </w:rPr>
      </w:pPr>
    </w:p>
    <w:p w14:paraId="2F9C4395" w14:textId="28A9BD11" w:rsidR="002B451A" w:rsidRDefault="002B451A" w:rsidP="002B451A">
      <w:pPr>
        <w:spacing w:line="240" w:lineRule="auto"/>
        <w:rPr>
          <w:rFonts w:eastAsia="Times New Roman" w:cs="Times New Roman"/>
          <w:szCs w:val="20"/>
        </w:rPr>
      </w:pPr>
      <w:bookmarkStart w:id="25" w:name="_Hlk212701243"/>
      <w:r>
        <w:rPr>
          <w:rFonts w:eastAsia="Times New Roman" w:cs="Times New Roman"/>
          <w:szCs w:val="20"/>
        </w:rPr>
        <w:t xml:space="preserve">EXHIBIT </w:t>
      </w:r>
      <w:r w:rsidR="00226080">
        <w:rPr>
          <w:rFonts w:eastAsia="Times New Roman" w:cs="Times New Roman"/>
          <w:szCs w:val="20"/>
        </w:rPr>
        <w:t>D</w:t>
      </w:r>
    </w:p>
    <w:bookmarkEnd w:id="25"/>
    <w:p w14:paraId="2744D843" w14:textId="77777777" w:rsidR="002B451A" w:rsidRDefault="002B451A" w:rsidP="002B451A">
      <w:pPr>
        <w:spacing w:line="240" w:lineRule="auto"/>
        <w:rPr>
          <w:rFonts w:eastAsia="Times New Roman" w:cs="Times New Roman"/>
          <w:szCs w:val="20"/>
        </w:rPr>
      </w:pPr>
    </w:p>
    <w:p w14:paraId="3B6D1360" w14:textId="098F0095" w:rsidR="002B451A" w:rsidRDefault="002B451A" w:rsidP="002B451A">
      <w:pPr>
        <w:spacing w:line="240" w:lineRule="auto"/>
        <w:rPr>
          <w:rFonts w:eastAsia="Times New Roman" w:cs="Times New Roman"/>
          <w:szCs w:val="20"/>
        </w:rPr>
      </w:pPr>
      <w:r>
        <w:rPr>
          <w:rFonts w:eastAsia="Times New Roman" w:cs="Times New Roman"/>
          <w:szCs w:val="20"/>
        </w:rPr>
        <w:tab/>
      </w:r>
      <w:r w:rsidR="007C4768">
        <w:rPr>
          <w:rFonts w:eastAsia="Times New Roman" w:cs="Times New Roman"/>
          <w:szCs w:val="20"/>
        </w:rPr>
        <w:t xml:space="preserve">CDCR evaluation: ASPD diagnosis no longer </w:t>
      </w:r>
      <w:r w:rsidR="008B203A">
        <w:rPr>
          <w:rFonts w:eastAsia="Times New Roman" w:cs="Times New Roman"/>
          <w:szCs w:val="20"/>
        </w:rPr>
        <w:t>appropriate</w:t>
      </w:r>
      <w:r>
        <w:rPr>
          <w:rFonts w:eastAsia="Times New Roman" w:cs="Times New Roman"/>
          <w:szCs w:val="20"/>
        </w:rPr>
        <w:t>.</w:t>
      </w:r>
    </w:p>
    <w:p w14:paraId="36649C27" w14:textId="77777777" w:rsidR="00957972" w:rsidRDefault="00957972" w:rsidP="002B451A">
      <w:pPr>
        <w:spacing w:line="240" w:lineRule="auto"/>
        <w:rPr>
          <w:rFonts w:eastAsia="Times New Roman" w:cs="Times New Roman"/>
          <w:szCs w:val="20"/>
        </w:rPr>
      </w:pPr>
    </w:p>
    <w:p w14:paraId="167E7A31" w14:textId="77777777" w:rsidR="00957972" w:rsidRDefault="00957972" w:rsidP="00957972">
      <w:pPr>
        <w:spacing w:after="160" w:line="259" w:lineRule="auto"/>
        <w:contextualSpacing w:val="0"/>
        <w:rPr>
          <w:rFonts w:ascii="Calibri" w:eastAsia="Calibri" w:hAnsi="Calibri" w:cs="Times New Roman"/>
          <w:sz w:val="22"/>
        </w:rPr>
      </w:pPr>
      <w:bookmarkStart w:id="26" w:name="_Hlk130302247"/>
      <w:bookmarkEnd w:id="9"/>
      <w:bookmarkEnd w:id="23"/>
    </w:p>
    <w:p w14:paraId="4EDCCB75" w14:textId="7DD9D83A" w:rsidR="00226080" w:rsidRDefault="00226080">
      <w:pPr>
        <w:spacing w:after="160" w:line="259" w:lineRule="auto"/>
        <w:contextualSpacing w:val="0"/>
        <w:rPr>
          <w:rFonts w:ascii="Calibri" w:eastAsia="Calibri" w:hAnsi="Calibri" w:cs="Times New Roman"/>
          <w:sz w:val="22"/>
        </w:rPr>
      </w:pPr>
      <w:r>
        <w:rPr>
          <w:rFonts w:ascii="Calibri" w:eastAsia="Calibri" w:hAnsi="Calibri" w:cs="Times New Roman"/>
          <w:sz w:val="22"/>
        </w:rPr>
        <w:br w:type="page"/>
      </w:r>
    </w:p>
    <w:p w14:paraId="29492B5F" w14:textId="77777777" w:rsidR="00226080" w:rsidRDefault="00226080" w:rsidP="00957972">
      <w:pPr>
        <w:spacing w:after="160" w:line="259" w:lineRule="auto"/>
        <w:contextualSpacing w:val="0"/>
        <w:rPr>
          <w:rFonts w:ascii="Calibri" w:eastAsia="Calibri" w:hAnsi="Calibri" w:cs="Times New Roman"/>
          <w:sz w:val="22"/>
        </w:rPr>
      </w:pPr>
    </w:p>
    <w:p w14:paraId="5A082D3E" w14:textId="77777777" w:rsidR="00226080" w:rsidRPr="002B451A" w:rsidRDefault="00226080" w:rsidP="00957972">
      <w:pPr>
        <w:spacing w:after="160" w:line="259" w:lineRule="auto"/>
        <w:contextualSpacing w:val="0"/>
        <w:rPr>
          <w:rFonts w:ascii="Calibri" w:eastAsia="Calibri" w:hAnsi="Calibri" w:cs="Times New Roman"/>
          <w:sz w:val="22"/>
        </w:rPr>
      </w:pPr>
    </w:p>
    <w:p w14:paraId="139A01EF" w14:textId="77777777" w:rsidR="002B451A" w:rsidRPr="002B451A" w:rsidRDefault="002B451A" w:rsidP="002B451A">
      <w:pPr>
        <w:spacing w:after="160" w:line="259" w:lineRule="auto"/>
        <w:contextualSpacing w:val="0"/>
        <w:rPr>
          <w:rFonts w:ascii="Calibri" w:eastAsia="Calibri" w:hAnsi="Calibri" w:cs="Times New Roman"/>
          <w:sz w:val="22"/>
        </w:rPr>
      </w:pPr>
    </w:p>
    <w:p w14:paraId="1648DF94" w14:textId="77777777" w:rsidR="002B451A" w:rsidRPr="002B451A" w:rsidRDefault="002B451A" w:rsidP="002B451A">
      <w:pPr>
        <w:spacing w:after="160" w:line="259" w:lineRule="auto"/>
        <w:contextualSpacing w:val="0"/>
        <w:rPr>
          <w:rFonts w:ascii="Calibri" w:eastAsia="Calibri" w:hAnsi="Calibri" w:cs="Times New Roman"/>
          <w:sz w:val="22"/>
        </w:rPr>
      </w:pPr>
    </w:p>
    <w:p w14:paraId="04B5FB9F" w14:textId="77777777" w:rsidR="002B451A" w:rsidRPr="002B451A" w:rsidRDefault="002B451A" w:rsidP="002B451A">
      <w:pPr>
        <w:spacing w:after="160" w:line="259" w:lineRule="auto"/>
        <w:contextualSpacing w:val="0"/>
        <w:rPr>
          <w:rFonts w:ascii="Calibri" w:eastAsia="Calibri" w:hAnsi="Calibri" w:cs="Times New Roman"/>
          <w:sz w:val="22"/>
        </w:rPr>
      </w:pPr>
    </w:p>
    <w:p w14:paraId="5482C7D8" w14:textId="77777777" w:rsidR="002B451A" w:rsidRPr="002B451A" w:rsidRDefault="002B451A" w:rsidP="002B451A">
      <w:pPr>
        <w:spacing w:after="160" w:line="259" w:lineRule="auto"/>
        <w:contextualSpacing w:val="0"/>
        <w:rPr>
          <w:rFonts w:ascii="Calibri" w:eastAsia="Calibri" w:hAnsi="Calibri" w:cs="Times New Roman"/>
          <w:sz w:val="22"/>
        </w:rPr>
      </w:pPr>
    </w:p>
    <w:p w14:paraId="38399571" w14:textId="77777777" w:rsidR="002B451A" w:rsidRPr="002B451A" w:rsidRDefault="002B451A" w:rsidP="002B451A">
      <w:pPr>
        <w:spacing w:after="160" w:line="259" w:lineRule="auto"/>
        <w:contextualSpacing w:val="0"/>
        <w:rPr>
          <w:rFonts w:ascii="Calibri" w:eastAsia="Calibri" w:hAnsi="Calibri" w:cs="Times New Roman"/>
          <w:sz w:val="22"/>
        </w:rPr>
      </w:pPr>
    </w:p>
    <w:bookmarkEnd w:id="26"/>
    <w:p w14:paraId="03595F20" w14:textId="32E58027" w:rsidR="007F31A3" w:rsidRDefault="007F31A3" w:rsidP="007F31A3">
      <w:pPr>
        <w:spacing w:after="160" w:line="259" w:lineRule="auto"/>
        <w:contextualSpacing w:val="0"/>
        <w:jc w:val="center"/>
        <w:rPr>
          <w:rFonts w:ascii="Times New Roman" w:eastAsia="Calibri" w:hAnsi="Times New Roman" w:cs="Times New Roman"/>
          <w:sz w:val="144"/>
          <w:szCs w:val="144"/>
        </w:rPr>
      </w:pPr>
      <w:r w:rsidRPr="002B451A">
        <w:rPr>
          <w:rFonts w:ascii="Times New Roman" w:eastAsia="Calibri" w:hAnsi="Times New Roman" w:cs="Times New Roman"/>
          <w:sz w:val="144"/>
          <w:szCs w:val="144"/>
        </w:rPr>
        <w:t xml:space="preserve">EXHIBIT </w:t>
      </w:r>
      <w:r>
        <w:rPr>
          <w:rFonts w:ascii="Times New Roman" w:eastAsia="Calibri" w:hAnsi="Times New Roman" w:cs="Times New Roman"/>
          <w:sz w:val="144"/>
          <w:szCs w:val="144"/>
        </w:rPr>
        <w:t>A</w:t>
      </w:r>
    </w:p>
    <w:p w14:paraId="2AA675F2" w14:textId="35C66310" w:rsidR="00162CB6" w:rsidRDefault="00226080" w:rsidP="00AE593C">
      <w:pPr>
        <w:spacing w:after="240" w:line="240" w:lineRule="auto"/>
        <w:ind w:left="1296" w:right="720"/>
        <w:contextualSpacing w:val="0"/>
        <w:rPr>
          <w:rFonts w:eastAsia="Times New Roman" w:cs="Times New Roman"/>
          <w:sz w:val="36"/>
          <w:szCs w:val="36"/>
        </w:rPr>
      </w:pPr>
      <w:r>
        <w:rPr>
          <w:rFonts w:eastAsia="Times New Roman" w:cs="Times New Roman"/>
          <w:sz w:val="36"/>
          <w:szCs w:val="36"/>
        </w:rPr>
        <w:t>Letters of Support</w:t>
      </w:r>
    </w:p>
    <w:p w14:paraId="6F20AB76" w14:textId="29050F7F" w:rsidR="00AE593C" w:rsidRDefault="00AE593C" w:rsidP="00AE593C">
      <w:pPr>
        <w:ind w:left="1296" w:right="720"/>
        <w:rPr>
          <w:rFonts w:eastAsia="Times New Roman" w:cs="Times New Roman"/>
          <w:sz w:val="36"/>
          <w:szCs w:val="36"/>
        </w:rPr>
      </w:pPr>
      <w:r>
        <w:rPr>
          <w:rFonts w:eastAsia="Times New Roman" w:cs="Times New Roman"/>
          <w:sz w:val="36"/>
          <w:szCs w:val="36"/>
        </w:rPr>
        <w:tab/>
      </w:r>
      <w:r>
        <w:rPr>
          <w:rFonts w:eastAsia="Times New Roman" w:cs="Times New Roman"/>
          <w:sz w:val="36"/>
          <w:szCs w:val="36"/>
        </w:rPr>
        <w:tab/>
        <w:t>Dr. Angela Cotellessa</w:t>
      </w:r>
    </w:p>
    <w:p w14:paraId="52BA522F" w14:textId="0C93CDAB" w:rsidR="00AE593C" w:rsidRDefault="00AE593C" w:rsidP="00AE593C">
      <w:pPr>
        <w:ind w:left="1296" w:right="720"/>
        <w:rPr>
          <w:rFonts w:eastAsia="Times New Roman" w:cs="Times New Roman"/>
          <w:sz w:val="36"/>
          <w:szCs w:val="36"/>
        </w:rPr>
      </w:pPr>
      <w:r>
        <w:rPr>
          <w:rFonts w:eastAsia="Times New Roman" w:cs="Times New Roman"/>
          <w:sz w:val="36"/>
          <w:szCs w:val="36"/>
        </w:rPr>
        <w:tab/>
      </w:r>
      <w:r>
        <w:rPr>
          <w:rFonts w:eastAsia="Times New Roman" w:cs="Times New Roman"/>
          <w:sz w:val="36"/>
          <w:szCs w:val="36"/>
        </w:rPr>
        <w:tab/>
        <w:t>Lily Georgia Cotellessa</w:t>
      </w:r>
    </w:p>
    <w:p w14:paraId="7A162394" w14:textId="77777777" w:rsidR="00AE593C" w:rsidRDefault="00AE593C" w:rsidP="00AE593C">
      <w:pPr>
        <w:ind w:left="1440" w:right="720" w:firstLine="720"/>
        <w:rPr>
          <w:rFonts w:eastAsia="Times New Roman" w:cs="Times New Roman"/>
          <w:sz w:val="36"/>
          <w:szCs w:val="36"/>
        </w:rPr>
      </w:pPr>
      <w:r w:rsidRPr="00AE593C">
        <w:rPr>
          <w:rFonts w:eastAsia="Times New Roman" w:cs="Times New Roman"/>
          <w:sz w:val="36"/>
          <w:szCs w:val="36"/>
        </w:rPr>
        <w:t>Billy Williams</w:t>
      </w:r>
    </w:p>
    <w:p w14:paraId="0C6EBC3C" w14:textId="77777777" w:rsidR="00AE593C" w:rsidRDefault="00AE593C" w:rsidP="00AE593C">
      <w:pPr>
        <w:ind w:left="1440" w:right="720" w:firstLine="720"/>
        <w:rPr>
          <w:rFonts w:eastAsia="Times New Roman" w:cs="Times New Roman"/>
          <w:sz w:val="36"/>
          <w:szCs w:val="36"/>
        </w:rPr>
      </w:pPr>
      <w:r w:rsidRPr="00AE593C">
        <w:rPr>
          <w:rFonts w:eastAsia="Times New Roman" w:cs="Times New Roman"/>
          <w:sz w:val="36"/>
          <w:szCs w:val="36"/>
        </w:rPr>
        <w:t>David Venegas</w:t>
      </w:r>
    </w:p>
    <w:p w14:paraId="0C84FEA5" w14:textId="77777777" w:rsidR="00AE593C" w:rsidRDefault="00AE593C" w:rsidP="00AE593C">
      <w:pPr>
        <w:ind w:left="1440" w:right="720" w:firstLine="720"/>
        <w:rPr>
          <w:rFonts w:eastAsia="Times New Roman" w:cs="Times New Roman"/>
          <w:sz w:val="36"/>
          <w:szCs w:val="36"/>
        </w:rPr>
      </w:pPr>
      <w:r w:rsidRPr="00AE593C">
        <w:rPr>
          <w:rFonts w:eastAsia="Times New Roman" w:cs="Times New Roman"/>
          <w:sz w:val="36"/>
          <w:szCs w:val="36"/>
        </w:rPr>
        <w:t>Ezra William</w:t>
      </w:r>
      <w:r>
        <w:rPr>
          <w:rFonts w:eastAsia="Times New Roman" w:cs="Times New Roman"/>
          <w:sz w:val="36"/>
          <w:szCs w:val="36"/>
        </w:rPr>
        <w:t>s</w:t>
      </w:r>
    </w:p>
    <w:p w14:paraId="33D355BD" w14:textId="7E6C58A9" w:rsidR="00AE593C" w:rsidRDefault="00AE593C" w:rsidP="00AE593C">
      <w:pPr>
        <w:ind w:left="1440" w:right="720" w:firstLine="720"/>
        <w:rPr>
          <w:rFonts w:eastAsia="Times New Roman" w:cs="Times New Roman"/>
          <w:sz w:val="36"/>
          <w:szCs w:val="36"/>
        </w:rPr>
      </w:pPr>
      <w:r w:rsidRPr="00AE593C">
        <w:rPr>
          <w:rFonts w:eastAsia="Times New Roman" w:cs="Times New Roman"/>
          <w:sz w:val="36"/>
          <w:szCs w:val="36"/>
        </w:rPr>
        <w:t>Johnae Hoyt</w:t>
      </w:r>
    </w:p>
    <w:p w14:paraId="1C17009E" w14:textId="424FA28B" w:rsidR="00AE593C" w:rsidRDefault="00AE593C" w:rsidP="00AE593C">
      <w:pPr>
        <w:ind w:left="1296" w:right="720"/>
        <w:rPr>
          <w:rFonts w:eastAsia="Times New Roman" w:cs="Times New Roman"/>
          <w:sz w:val="36"/>
          <w:szCs w:val="36"/>
        </w:rPr>
      </w:pPr>
      <w:r>
        <w:rPr>
          <w:rFonts w:eastAsia="Times New Roman" w:cs="Times New Roman"/>
          <w:sz w:val="36"/>
          <w:szCs w:val="36"/>
        </w:rPr>
        <w:tab/>
      </w:r>
      <w:r>
        <w:rPr>
          <w:rFonts w:eastAsia="Times New Roman" w:cs="Times New Roman"/>
          <w:sz w:val="36"/>
          <w:szCs w:val="36"/>
        </w:rPr>
        <w:tab/>
      </w:r>
      <w:r w:rsidRPr="00AE593C">
        <w:rPr>
          <w:rFonts w:eastAsia="Times New Roman" w:cs="Times New Roman"/>
          <w:sz w:val="36"/>
          <w:szCs w:val="36"/>
        </w:rPr>
        <w:t>Ana’ Al-Rad L. Guinn</w:t>
      </w:r>
    </w:p>
    <w:p w14:paraId="71E406BF" w14:textId="54E0B207" w:rsidR="00AE593C" w:rsidRDefault="00AE593C" w:rsidP="00AE593C">
      <w:pPr>
        <w:ind w:left="1296" w:right="720"/>
        <w:rPr>
          <w:rFonts w:eastAsia="Times New Roman" w:cs="Times New Roman"/>
          <w:sz w:val="36"/>
          <w:szCs w:val="36"/>
        </w:rPr>
      </w:pPr>
      <w:r>
        <w:rPr>
          <w:rFonts w:eastAsia="Times New Roman" w:cs="Times New Roman"/>
          <w:sz w:val="36"/>
          <w:szCs w:val="36"/>
        </w:rPr>
        <w:tab/>
      </w:r>
      <w:r>
        <w:rPr>
          <w:rFonts w:eastAsia="Times New Roman" w:cs="Times New Roman"/>
          <w:sz w:val="36"/>
          <w:szCs w:val="36"/>
        </w:rPr>
        <w:tab/>
      </w:r>
      <w:r w:rsidRPr="00AE593C">
        <w:rPr>
          <w:rFonts w:eastAsia="Times New Roman" w:cs="Times New Roman"/>
          <w:sz w:val="36"/>
          <w:szCs w:val="36"/>
        </w:rPr>
        <w:t>Mohammed Abdallah</w:t>
      </w:r>
    </w:p>
    <w:p w14:paraId="38C56D55" w14:textId="3510A01C" w:rsidR="00AE593C" w:rsidRDefault="00AE593C" w:rsidP="00AE593C">
      <w:pPr>
        <w:ind w:left="2016" w:right="720" w:firstLine="144"/>
        <w:rPr>
          <w:rFonts w:eastAsia="Times New Roman" w:cs="Times New Roman"/>
          <w:sz w:val="36"/>
          <w:szCs w:val="36"/>
        </w:rPr>
      </w:pPr>
      <w:r>
        <w:rPr>
          <w:rFonts w:eastAsia="Times New Roman" w:cs="Times New Roman"/>
          <w:sz w:val="36"/>
          <w:szCs w:val="36"/>
        </w:rPr>
        <w:t>Roy Frye</w:t>
      </w:r>
    </w:p>
    <w:p w14:paraId="4682344A" w14:textId="0C1CDCBE" w:rsidR="00AE593C" w:rsidRPr="00162CB6" w:rsidRDefault="00AE593C" w:rsidP="00AE593C">
      <w:pPr>
        <w:ind w:left="1872" w:right="720" w:firstLine="288"/>
        <w:rPr>
          <w:rFonts w:eastAsia="Times New Roman" w:cs="Times New Roman"/>
          <w:sz w:val="36"/>
          <w:szCs w:val="36"/>
        </w:rPr>
      </w:pPr>
      <w:r w:rsidRPr="00AE593C">
        <w:rPr>
          <w:rFonts w:eastAsia="Times New Roman" w:cs="Times New Roman"/>
          <w:sz w:val="36"/>
          <w:szCs w:val="36"/>
        </w:rPr>
        <w:t>Tracy Alan Stover</w:t>
      </w:r>
    </w:p>
    <w:p w14:paraId="78351215" w14:textId="77777777" w:rsidR="00162CB6" w:rsidRPr="00162CB6" w:rsidRDefault="00162CB6">
      <w:pPr>
        <w:spacing w:after="160" w:line="259" w:lineRule="auto"/>
        <w:contextualSpacing w:val="0"/>
        <w:rPr>
          <w:rFonts w:eastAsia="Times New Roman" w:cs="Times New Roman"/>
          <w:sz w:val="32"/>
          <w:szCs w:val="32"/>
        </w:rPr>
      </w:pPr>
      <w:r w:rsidRPr="00162CB6">
        <w:rPr>
          <w:rFonts w:eastAsia="Times New Roman" w:cs="Times New Roman"/>
          <w:sz w:val="32"/>
          <w:szCs w:val="32"/>
        </w:rPr>
        <w:br w:type="page"/>
      </w:r>
    </w:p>
    <w:p w14:paraId="7ACE13D9" w14:textId="77777777" w:rsidR="007F31A3" w:rsidRDefault="007F31A3" w:rsidP="00162CB6">
      <w:pPr>
        <w:spacing w:line="240" w:lineRule="auto"/>
        <w:ind w:left="1296" w:right="720"/>
        <w:rPr>
          <w:rFonts w:eastAsia="Times New Roman" w:cs="Times New Roman"/>
          <w:szCs w:val="20"/>
        </w:rPr>
      </w:pPr>
    </w:p>
    <w:p w14:paraId="4F07935D" w14:textId="77777777" w:rsidR="007F31A3" w:rsidRDefault="007F31A3" w:rsidP="00162CB6">
      <w:pPr>
        <w:spacing w:line="240" w:lineRule="auto"/>
        <w:ind w:left="1296" w:right="720"/>
        <w:rPr>
          <w:rFonts w:eastAsia="Times New Roman" w:cs="Times New Roman"/>
          <w:szCs w:val="20"/>
        </w:rPr>
      </w:pPr>
    </w:p>
    <w:p w14:paraId="326F1271" w14:textId="77777777" w:rsidR="002B451A" w:rsidRPr="002B451A" w:rsidRDefault="002B451A" w:rsidP="002B451A">
      <w:pPr>
        <w:spacing w:after="160" w:line="259" w:lineRule="auto"/>
        <w:contextualSpacing w:val="0"/>
        <w:rPr>
          <w:rFonts w:ascii="Calibri" w:eastAsia="Calibri" w:hAnsi="Calibri" w:cs="Times New Roman"/>
          <w:sz w:val="22"/>
        </w:rPr>
      </w:pPr>
    </w:p>
    <w:p w14:paraId="6A235536" w14:textId="77777777" w:rsidR="002B451A" w:rsidRPr="002B451A" w:rsidRDefault="002B451A" w:rsidP="002B451A">
      <w:pPr>
        <w:spacing w:after="160" w:line="259" w:lineRule="auto"/>
        <w:contextualSpacing w:val="0"/>
        <w:rPr>
          <w:rFonts w:ascii="Calibri" w:eastAsia="Calibri" w:hAnsi="Calibri" w:cs="Times New Roman"/>
          <w:sz w:val="22"/>
        </w:rPr>
      </w:pPr>
    </w:p>
    <w:p w14:paraId="6888E27D" w14:textId="77777777" w:rsidR="002B451A" w:rsidRPr="002B451A" w:rsidRDefault="002B451A" w:rsidP="002B451A">
      <w:pPr>
        <w:spacing w:after="160" w:line="259" w:lineRule="auto"/>
        <w:contextualSpacing w:val="0"/>
        <w:rPr>
          <w:rFonts w:ascii="Calibri" w:eastAsia="Calibri" w:hAnsi="Calibri" w:cs="Times New Roman"/>
          <w:sz w:val="22"/>
        </w:rPr>
      </w:pPr>
    </w:p>
    <w:p w14:paraId="6665C87F" w14:textId="77777777" w:rsidR="002B451A" w:rsidRPr="002B451A" w:rsidRDefault="002B451A" w:rsidP="002B451A">
      <w:pPr>
        <w:spacing w:after="160" w:line="259" w:lineRule="auto"/>
        <w:contextualSpacing w:val="0"/>
        <w:rPr>
          <w:rFonts w:ascii="Calibri" w:eastAsia="Calibri" w:hAnsi="Calibri" w:cs="Times New Roman"/>
          <w:sz w:val="22"/>
        </w:rPr>
      </w:pPr>
    </w:p>
    <w:p w14:paraId="69C9B056" w14:textId="77777777" w:rsidR="002B451A" w:rsidRPr="002B451A" w:rsidRDefault="002B451A" w:rsidP="002B451A">
      <w:pPr>
        <w:spacing w:after="160" w:line="259" w:lineRule="auto"/>
        <w:contextualSpacing w:val="0"/>
        <w:rPr>
          <w:rFonts w:ascii="Calibri" w:eastAsia="Calibri" w:hAnsi="Calibri" w:cs="Times New Roman"/>
          <w:sz w:val="22"/>
        </w:rPr>
      </w:pPr>
    </w:p>
    <w:p w14:paraId="10493C30" w14:textId="77777777" w:rsidR="002B451A" w:rsidRPr="002B451A" w:rsidRDefault="002B451A" w:rsidP="002B451A">
      <w:pPr>
        <w:spacing w:after="160" w:line="259" w:lineRule="auto"/>
        <w:contextualSpacing w:val="0"/>
        <w:rPr>
          <w:rFonts w:ascii="Calibri" w:eastAsia="Calibri" w:hAnsi="Calibri" w:cs="Times New Roman"/>
          <w:sz w:val="22"/>
        </w:rPr>
      </w:pPr>
    </w:p>
    <w:p w14:paraId="6496A55F" w14:textId="5F9F2F59" w:rsidR="0054006A" w:rsidRDefault="002B451A" w:rsidP="002B451A">
      <w:pPr>
        <w:spacing w:after="160" w:line="259" w:lineRule="auto"/>
        <w:contextualSpacing w:val="0"/>
        <w:jc w:val="center"/>
        <w:rPr>
          <w:rFonts w:ascii="Times New Roman" w:eastAsia="Calibri" w:hAnsi="Times New Roman" w:cs="Times New Roman"/>
          <w:sz w:val="144"/>
          <w:szCs w:val="144"/>
        </w:rPr>
      </w:pPr>
      <w:r w:rsidRPr="002B451A">
        <w:rPr>
          <w:rFonts w:ascii="Times New Roman" w:eastAsia="Calibri" w:hAnsi="Times New Roman" w:cs="Times New Roman"/>
          <w:sz w:val="144"/>
          <w:szCs w:val="144"/>
        </w:rPr>
        <w:t>EXHIBIT B</w:t>
      </w:r>
    </w:p>
    <w:p w14:paraId="59C07E44" w14:textId="42FFA756" w:rsidR="0054006A" w:rsidRDefault="00226080" w:rsidP="00162CB6">
      <w:pPr>
        <w:spacing w:after="160" w:line="259" w:lineRule="auto"/>
        <w:ind w:left="1296" w:right="720"/>
        <w:contextualSpacing w:val="0"/>
        <w:rPr>
          <w:rFonts w:eastAsia="Calibri" w:cs="Times New Roman"/>
          <w:sz w:val="36"/>
          <w:szCs w:val="36"/>
        </w:rPr>
      </w:pPr>
      <w:r w:rsidRPr="00226080">
        <w:rPr>
          <w:rFonts w:eastAsia="Calibri" w:cs="Times New Roman"/>
          <w:sz w:val="36"/>
          <w:szCs w:val="36"/>
        </w:rPr>
        <w:t xml:space="preserve">Exemplary </w:t>
      </w:r>
      <w:r w:rsidRPr="00226080">
        <w:rPr>
          <w:rFonts w:eastAsia="Calibri" w:cs="Times New Roman"/>
          <w:sz w:val="36"/>
          <w:szCs w:val="36"/>
        </w:rPr>
        <w:t>Chronos</w:t>
      </w:r>
      <w:r w:rsidRPr="00226080">
        <w:rPr>
          <w:rFonts w:eastAsia="Calibri" w:cs="Times New Roman"/>
          <w:sz w:val="36"/>
          <w:szCs w:val="36"/>
        </w:rPr>
        <w:t xml:space="preserve"> from </w:t>
      </w:r>
      <w:r>
        <w:rPr>
          <w:rFonts w:eastAsia="Calibri" w:cs="Times New Roman"/>
          <w:sz w:val="36"/>
          <w:szCs w:val="36"/>
        </w:rPr>
        <w:t>O</w:t>
      </w:r>
      <w:r w:rsidRPr="00226080">
        <w:rPr>
          <w:rFonts w:eastAsia="Calibri" w:cs="Times New Roman"/>
          <w:sz w:val="36"/>
          <w:szCs w:val="36"/>
        </w:rPr>
        <w:t>fficers</w:t>
      </w:r>
      <w:r w:rsidR="00162CB6">
        <w:rPr>
          <w:rFonts w:eastAsia="Calibri" w:cs="Times New Roman"/>
          <w:sz w:val="36"/>
          <w:szCs w:val="36"/>
        </w:rPr>
        <w:t>.</w:t>
      </w:r>
    </w:p>
    <w:p w14:paraId="22E994FC" w14:textId="3D46563F" w:rsidR="00AE593C" w:rsidRDefault="00AE593C" w:rsidP="00162CB6">
      <w:pPr>
        <w:spacing w:after="160" w:line="259" w:lineRule="auto"/>
        <w:ind w:left="1296" w:right="720"/>
        <w:contextualSpacing w:val="0"/>
        <w:rPr>
          <w:rFonts w:eastAsia="Calibri" w:cs="Times New Roman"/>
          <w:sz w:val="32"/>
          <w:szCs w:val="32"/>
        </w:rPr>
      </w:pPr>
      <w:r w:rsidRPr="00AE593C">
        <w:rPr>
          <w:rFonts w:eastAsia="Calibri" w:cs="Times New Roman"/>
          <w:sz w:val="32"/>
          <w:szCs w:val="32"/>
        </w:rPr>
        <w:tab/>
      </w:r>
      <w:r w:rsidRPr="00AE593C">
        <w:rPr>
          <w:rFonts w:eastAsia="Calibri" w:cs="Times New Roman"/>
          <w:sz w:val="32"/>
          <w:szCs w:val="32"/>
        </w:rPr>
        <w:tab/>
        <w:t>Correctional Sergeant H. Ng</w:t>
      </w:r>
    </w:p>
    <w:p w14:paraId="3DB25CAC" w14:textId="41721F23" w:rsidR="00AE593C" w:rsidRDefault="00AE593C" w:rsidP="00162CB6">
      <w:pPr>
        <w:spacing w:after="160" w:line="259" w:lineRule="auto"/>
        <w:ind w:left="1296" w:right="720"/>
        <w:contextualSpacing w:val="0"/>
        <w:rPr>
          <w:rFonts w:eastAsia="Calibri" w:cs="Times New Roman"/>
          <w:sz w:val="32"/>
          <w:szCs w:val="32"/>
        </w:rPr>
      </w:pPr>
      <w:r>
        <w:rPr>
          <w:rFonts w:eastAsia="Calibri" w:cs="Times New Roman"/>
          <w:sz w:val="32"/>
          <w:szCs w:val="32"/>
        </w:rPr>
        <w:tab/>
      </w:r>
      <w:r>
        <w:rPr>
          <w:rFonts w:eastAsia="Calibri" w:cs="Times New Roman"/>
          <w:sz w:val="32"/>
          <w:szCs w:val="32"/>
        </w:rPr>
        <w:tab/>
        <w:t>Correctional Officer J. Terry</w:t>
      </w:r>
    </w:p>
    <w:p w14:paraId="63CDD340" w14:textId="409484B1" w:rsidR="00AE593C" w:rsidRDefault="00AE593C" w:rsidP="00162CB6">
      <w:pPr>
        <w:spacing w:after="160" w:line="259" w:lineRule="auto"/>
        <w:ind w:left="1296" w:right="720"/>
        <w:contextualSpacing w:val="0"/>
        <w:rPr>
          <w:rFonts w:eastAsia="Calibri" w:cs="Times New Roman"/>
          <w:sz w:val="32"/>
          <w:szCs w:val="32"/>
        </w:rPr>
      </w:pPr>
      <w:r>
        <w:rPr>
          <w:rFonts w:eastAsia="Calibri" w:cs="Times New Roman"/>
          <w:sz w:val="32"/>
          <w:szCs w:val="32"/>
        </w:rPr>
        <w:tab/>
      </w:r>
      <w:r>
        <w:rPr>
          <w:rFonts w:eastAsia="Calibri" w:cs="Times New Roman"/>
          <w:sz w:val="32"/>
          <w:szCs w:val="32"/>
        </w:rPr>
        <w:tab/>
        <w:t>Correctional Officer H. Dang</w:t>
      </w:r>
    </w:p>
    <w:p w14:paraId="46BFF57F" w14:textId="04CAE684" w:rsidR="00AE593C" w:rsidRPr="00AE593C" w:rsidRDefault="00AE593C" w:rsidP="00162CB6">
      <w:pPr>
        <w:spacing w:after="160" w:line="259" w:lineRule="auto"/>
        <w:ind w:left="1296" w:right="720"/>
        <w:contextualSpacing w:val="0"/>
        <w:rPr>
          <w:rFonts w:eastAsia="Calibri" w:cs="Times New Roman"/>
          <w:sz w:val="32"/>
          <w:szCs w:val="32"/>
        </w:rPr>
      </w:pPr>
      <w:r>
        <w:rPr>
          <w:rFonts w:eastAsia="Calibri" w:cs="Times New Roman"/>
          <w:sz w:val="32"/>
          <w:szCs w:val="32"/>
        </w:rPr>
        <w:tab/>
      </w:r>
      <w:r>
        <w:rPr>
          <w:rFonts w:eastAsia="Calibri" w:cs="Times New Roman"/>
          <w:sz w:val="32"/>
          <w:szCs w:val="32"/>
        </w:rPr>
        <w:tab/>
        <w:t>Correctional Officer T. Guerra</w:t>
      </w:r>
    </w:p>
    <w:p w14:paraId="48B8E6B9" w14:textId="150A2374" w:rsidR="00162CB6" w:rsidRDefault="00162CB6">
      <w:pPr>
        <w:spacing w:after="160" w:line="259" w:lineRule="auto"/>
        <w:contextualSpacing w:val="0"/>
        <w:rPr>
          <w:rFonts w:ascii="Calibri" w:eastAsia="Calibri" w:hAnsi="Calibri" w:cs="Times New Roman"/>
          <w:sz w:val="22"/>
        </w:rPr>
      </w:pPr>
      <w:r>
        <w:rPr>
          <w:rFonts w:ascii="Calibri" w:eastAsia="Calibri" w:hAnsi="Calibri" w:cs="Times New Roman"/>
          <w:sz w:val="22"/>
        </w:rPr>
        <w:br w:type="page"/>
      </w:r>
    </w:p>
    <w:p w14:paraId="40FEC918" w14:textId="77777777" w:rsidR="0054006A" w:rsidRPr="002B451A" w:rsidRDefault="0054006A" w:rsidP="0054006A">
      <w:pPr>
        <w:spacing w:after="160" w:line="259" w:lineRule="auto"/>
        <w:contextualSpacing w:val="0"/>
        <w:rPr>
          <w:rFonts w:ascii="Calibri" w:eastAsia="Calibri" w:hAnsi="Calibri" w:cs="Times New Roman"/>
          <w:sz w:val="22"/>
        </w:rPr>
      </w:pPr>
    </w:p>
    <w:p w14:paraId="78780FE2" w14:textId="77777777" w:rsidR="0054006A" w:rsidRPr="002B451A" w:rsidRDefault="0054006A" w:rsidP="0054006A">
      <w:pPr>
        <w:spacing w:after="160" w:line="259" w:lineRule="auto"/>
        <w:contextualSpacing w:val="0"/>
        <w:rPr>
          <w:rFonts w:ascii="Calibri" w:eastAsia="Calibri" w:hAnsi="Calibri" w:cs="Times New Roman"/>
          <w:sz w:val="22"/>
        </w:rPr>
      </w:pPr>
    </w:p>
    <w:p w14:paraId="310658A6" w14:textId="77777777" w:rsidR="0054006A" w:rsidRPr="002B451A" w:rsidRDefault="0054006A" w:rsidP="0054006A">
      <w:pPr>
        <w:spacing w:after="160" w:line="259" w:lineRule="auto"/>
        <w:contextualSpacing w:val="0"/>
        <w:rPr>
          <w:rFonts w:ascii="Calibri" w:eastAsia="Calibri" w:hAnsi="Calibri" w:cs="Times New Roman"/>
          <w:sz w:val="22"/>
        </w:rPr>
      </w:pPr>
    </w:p>
    <w:p w14:paraId="5B83A268" w14:textId="77777777" w:rsidR="0054006A" w:rsidRPr="002B451A" w:rsidRDefault="0054006A" w:rsidP="0054006A">
      <w:pPr>
        <w:spacing w:after="160" w:line="259" w:lineRule="auto"/>
        <w:contextualSpacing w:val="0"/>
        <w:rPr>
          <w:rFonts w:ascii="Calibri" w:eastAsia="Calibri" w:hAnsi="Calibri" w:cs="Times New Roman"/>
          <w:sz w:val="22"/>
        </w:rPr>
      </w:pPr>
    </w:p>
    <w:p w14:paraId="63FA6245" w14:textId="77777777" w:rsidR="0054006A" w:rsidRDefault="0054006A" w:rsidP="0054006A">
      <w:pPr>
        <w:spacing w:after="160" w:line="259" w:lineRule="auto"/>
        <w:contextualSpacing w:val="0"/>
        <w:rPr>
          <w:rFonts w:ascii="Calibri" w:eastAsia="Calibri" w:hAnsi="Calibri" w:cs="Times New Roman"/>
          <w:sz w:val="22"/>
        </w:rPr>
      </w:pPr>
    </w:p>
    <w:p w14:paraId="7BE86A10" w14:textId="77777777" w:rsidR="00162CB6" w:rsidRPr="002B451A" w:rsidRDefault="00162CB6" w:rsidP="0054006A">
      <w:pPr>
        <w:spacing w:after="160" w:line="259" w:lineRule="auto"/>
        <w:contextualSpacing w:val="0"/>
        <w:rPr>
          <w:rFonts w:ascii="Calibri" w:eastAsia="Calibri" w:hAnsi="Calibri" w:cs="Times New Roman"/>
          <w:sz w:val="22"/>
        </w:rPr>
      </w:pPr>
    </w:p>
    <w:p w14:paraId="1798DFE3" w14:textId="77777777" w:rsidR="0054006A" w:rsidRPr="002B451A" w:rsidRDefault="0054006A" w:rsidP="0054006A">
      <w:pPr>
        <w:spacing w:after="160" w:line="259" w:lineRule="auto"/>
        <w:contextualSpacing w:val="0"/>
        <w:rPr>
          <w:rFonts w:ascii="Calibri" w:eastAsia="Calibri" w:hAnsi="Calibri" w:cs="Times New Roman"/>
          <w:sz w:val="22"/>
        </w:rPr>
      </w:pPr>
    </w:p>
    <w:p w14:paraId="5ED1D3BE" w14:textId="20844E1E" w:rsidR="0054006A" w:rsidRDefault="0054006A" w:rsidP="0054006A">
      <w:pPr>
        <w:spacing w:after="160" w:line="259" w:lineRule="auto"/>
        <w:contextualSpacing w:val="0"/>
        <w:jc w:val="center"/>
        <w:rPr>
          <w:rFonts w:ascii="Times New Roman" w:eastAsia="Calibri" w:hAnsi="Times New Roman" w:cs="Times New Roman"/>
          <w:sz w:val="144"/>
          <w:szCs w:val="144"/>
        </w:rPr>
      </w:pPr>
      <w:r w:rsidRPr="002B451A">
        <w:rPr>
          <w:rFonts w:ascii="Times New Roman" w:eastAsia="Calibri" w:hAnsi="Times New Roman" w:cs="Times New Roman"/>
          <w:sz w:val="144"/>
          <w:szCs w:val="144"/>
        </w:rPr>
        <w:t xml:space="preserve">EXHIBIT </w:t>
      </w:r>
      <w:r>
        <w:rPr>
          <w:rFonts w:ascii="Times New Roman" w:eastAsia="Calibri" w:hAnsi="Times New Roman" w:cs="Times New Roman"/>
          <w:sz w:val="144"/>
          <w:szCs w:val="144"/>
        </w:rPr>
        <w:t>C</w:t>
      </w:r>
    </w:p>
    <w:p w14:paraId="6C5B5B96" w14:textId="6A0292B4" w:rsidR="0054006A" w:rsidRPr="00162CB6" w:rsidRDefault="00226080" w:rsidP="00162CB6">
      <w:pPr>
        <w:spacing w:after="160" w:line="259" w:lineRule="auto"/>
        <w:contextualSpacing w:val="0"/>
        <w:jc w:val="center"/>
        <w:rPr>
          <w:rFonts w:ascii="Times New Roman" w:eastAsia="Calibri" w:hAnsi="Times New Roman" w:cs="Times New Roman"/>
          <w:sz w:val="36"/>
          <w:szCs w:val="36"/>
        </w:rPr>
      </w:pPr>
      <w:r w:rsidRPr="00226080">
        <w:rPr>
          <w:rFonts w:eastAsia="Calibri" w:cs="Times New Roman"/>
          <w:sz w:val="36"/>
          <w:szCs w:val="36"/>
        </w:rPr>
        <w:t xml:space="preserve">Petitioner’s </w:t>
      </w:r>
      <w:r>
        <w:rPr>
          <w:rFonts w:eastAsia="Calibri" w:cs="Times New Roman"/>
          <w:sz w:val="36"/>
          <w:szCs w:val="36"/>
        </w:rPr>
        <w:t>H</w:t>
      </w:r>
      <w:r w:rsidRPr="00226080">
        <w:rPr>
          <w:rFonts w:eastAsia="Calibri" w:cs="Times New Roman"/>
          <w:sz w:val="36"/>
          <w:szCs w:val="36"/>
        </w:rPr>
        <w:t>ousing since 2021</w:t>
      </w:r>
      <w:r w:rsidR="00162CB6" w:rsidRPr="00162CB6">
        <w:rPr>
          <w:rFonts w:eastAsia="Calibri" w:cs="Times New Roman"/>
          <w:sz w:val="36"/>
          <w:szCs w:val="36"/>
        </w:rPr>
        <w:t xml:space="preserve">. </w:t>
      </w:r>
      <w:r w:rsidR="0054006A" w:rsidRPr="00162CB6">
        <w:rPr>
          <w:rFonts w:ascii="Times New Roman" w:eastAsia="Calibri" w:hAnsi="Times New Roman" w:cs="Times New Roman"/>
          <w:sz w:val="36"/>
          <w:szCs w:val="36"/>
        </w:rPr>
        <w:br w:type="page"/>
      </w:r>
    </w:p>
    <w:p w14:paraId="07D58427" w14:textId="77777777" w:rsidR="0054006A" w:rsidRPr="002B451A" w:rsidRDefault="0054006A" w:rsidP="0054006A">
      <w:pPr>
        <w:spacing w:after="160" w:line="259" w:lineRule="auto"/>
        <w:contextualSpacing w:val="0"/>
        <w:rPr>
          <w:rFonts w:ascii="Calibri" w:eastAsia="Calibri" w:hAnsi="Calibri" w:cs="Times New Roman"/>
          <w:sz w:val="22"/>
        </w:rPr>
      </w:pPr>
    </w:p>
    <w:p w14:paraId="253B8CFC" w14:textId="77777777" w:rsidR="0054006A" w:rsidRPr="002B451A" w:rsidRDefault="0054006A" w:rsidP="0054006A">
      <w:pPr>
        <w:spacing w:after="160" w:line="259" w:lineRule="auto"/>
        <w:contextualSpacing w:val="0"/>
        <w:rPr>
          <w:rFonts w:ascii="Calibri" w:eastAsia="Calibri" w:hAnsi="Calibri" w:cs="Times New Roman"/>
          <w:sz w:val="22"/>
        </w:rPr>
      </w:pPr>
    </w:p>
    <w:p w14:paraId="789C5797" w14:textId="77777777" w:rsidR="0054006A" w:rsidRPr="002B451A" w:rsidRDefault="0054006A" w:rsidP="0054006A">
      <w:pPr>
        <w:spacing w:after="160" w:line="259" w:lineRule="auto"/>
        <w:contextualSpacing w:val="0"/>
        <w:rPr>
          <w:rFonts w:ascii="Calibri" w:eastAsia="Calibri" w:hAnsi="Calibri" w:cs="Times New Roman"/>
          <w:sz w:val="22"/>
        </w:rPr>
      </w:pPr>
    </w:p>
    <w:p w14:paraId="20D936F7" w14:textId="77777777" w:rsidR="0054006A" w:rsidRPr="002B451A" w:rsidRDefault="0054006A" w:rsidP="0054006A">
      <w:pPr>
        <w:spacing w:after="160" w:line="259" w:lineRule="auto"/>
        <w:contextualSpacing w:val="0"/>
        <w:rPr>
          <w:rFonts w:ascii="Calibri" w:eastAsia="Calibri" w:hAnsi="Calibri" w:cs="Times New Roman"/>
          <w:sz w:val="22"/>
        </w:rPr>
      </w:pPr>
    </w:p>
    <w:p w14:paraId="481E65FD" w14:textId="77777777" w:rsidR="0054006A" w:rsidRPr="002B451A" w:rsidRDefault="0054006A" w:rsidP="0054006A">
      <w:pPr>
        <w:spacing w:after="160" w:line="259" w:lineRule="auto"/>
        <w:contextualSpacing w:val="0"/>
        <w:rPr>
          <w:rFonts w:ascii="Calibri" w:eastAsia="Calibri" w:hAnsi="Calibri" w:cs="Times New Roman"/>
          <w:sz w:val="22"/>
        </w:rPr>
      </w:pPr>
    </w:p>
    <w:p w14:paraId="513B86F5" w14:textId="77777777" w:rsidR="0054006A" w:rsidRPr="002B451A" w:rsidRDefault="0054006A" w:rsidP="0054006A">
      <w:pPr>
        <w:spacing w:after="160" w:line="259" w:lineRule="auto"/>
        <w:contextualSpacing w:val="0"/>
        <w:rPr>
          <w:rFonts w:ascii="Calibri" w:eastAsia="Calibri" w:hAnsi="Calibri" w:cs="Times New Roman"/>
          <w:sz w:val="22"/>
        </w:rPr>
      </w:pPr>
    </w:p>
    <w:p w14:paraId="73B53BFE" w14:textId="77777777" w:rsidR="0054006A" w:rsidRPr="002B451A" w:rsidRDefault="0054006A" w:rsidP="0054006A">
      <w:pPr>
        <w:spacing w:after="160" w:line="259" w:lineRule="auto"/>
        <w:contextualSpacing w:val="0"/>
        <w:rPr>
          <w:rFonts w:ascii="Calibri" w:eastAsia="Calibri" w:hAnsi="Calibri" w:cs="Times New Roman"/>
          <w:sz w:val="22"/>
        </w:rPr>
      </w:pPr>
    </w:p>
    <w:p w14:paraId="0ACB7B0F" w14:textId="035B6DF4" w:rsidR="0054006A" w:rsidRDefault="0054006A" w:rsidP="0054006A">
      <w:pPr>
        <w:spacing w:after="160" w:line="259" w:lineRule="auto"/>
        <w:contextualSpacing w:val="0"/>
        <w:jc w:val="center"/>
        <w:rPr>
          <w:rFonts w:ascii="Times New Roman" w:eastAsia="Calibri" w:hAnsi="Times New Roman" w:cs="Times New Roman"/>
          <w:sz w:val="144"/>
          <w:szCs w:val="144"/>
        </w:rPr>
      </w:pPr>
      <w:r w:rsidRPr="002B451A">
        <w:rPr>
          <w:rFonts w:ascii="Times New Roman" w:eastAsia="Calibri" w:hAnsi="Times New Roman" w:cs="Times New Roman"/>
          <w:sz w:val="144"/>
          <w:szCs w:val="144"/>
        </w:rPr>
        <w:t xml:space="preserve">EXHIBIT </w:t>
      </w:r>
      <w:r>
        <w:rPr>
          <w:rFonts w:ascii="Times New Roman" w:eastAsia="Calibri" w:hAnsi="Times New Roman" w:cs="Times New Roman"/>
          <w:sz w:val="144"/>
          <w:szCs w:val="144"/>
        </w:rPr>
        <w:t>D</w:t>
      </w:r>
    </w:p>
    <w:p w14:paraId="5D21998D" w14:textId="77777777" w:rsidR="008B203A" w:rsidRDefault="00226080" w:rsidP="0054006A">
      <w:pPr>
        <w:spacing w:after="160" w:line="259" w:lineRule="auto"/>
        <w:contextualSpacing w:val="0"/>
        <w:jc w:val="center"/>
        <w:rPr>
          <w:rFonts w:eastAsia="Times New Roman" w:cs="Times New Roman"/>
          <w:sz w:val="36"/>
          <w:szCs w:val="36"/>
        </w:rPr>
      </w:pPr>
      <w:r w:rsidRPr="00226080">
        <w:rPr>
          <w:rFonts w:eastAsia="Times New Roman" w:cs="Times New Roman"/>
          <w:sz w:val="36"/>
          <w:szCs w:val="36"/>
        </w:rPr>
        <w:t xml:space="preserve">CDCR </w:t>
      </w:r>
      <w:r>
        <w:rPr>
          <w:rFonts w:eastAsia="Times New Roman" w:cs="Times New Roman"/>
          <w:sz w:val="36"/>
          <w:szCs w:val="36"/>
        </w:rPr>
        <w:t>E</w:t>
      </w:r>
      <w:r w:rsidRPr="00226080">
        <w:rPr>
          <w:rFonts w:eastAsia="Times New Roman" w:cs="Times New Roman"/>
          <w:sz w:val="36"/>
          <w:szCs w:val="36"/>
        </w:rPr>
        <w:t>valuation:</w:t>
      </w:r>
    </w:p>
    <w:p w14:paraId="285EA3A7" w14:textId="6BE0DEDF" w:rsidR="00162CB6" w:rsidRPr="00162CB6" w:rsidRDefault="00226080" w:rsidP="0054006A">
      <w:pPr>
        <w:spacing w:after="160" w:line="259" w:lineRule="auto"/>
        <w:contextualSpacing w:val="0"/>
        <w:jc w:val="center"/>
        <w:rPr>
          <w:rFonts w:ascii="Times New Roman" w:eastAsia="Calibri" w:hAnsi="Times New Roman" w:cs="Times New Roman"/>
          <w:sz w:val="36"/>
          <w:szCs w:val="36"/>
        </w:rPr>
      </w:pPr>
      <w:r w:rsidRPr="00226080">
        <w:rPr>
          <w:rFonts w:eastAsia="Times New Roman" w:cs="Times New Roman"/>
          <w:sz w:val="36"/>
          <w:szCs w:val="36"/>
        </w:rPr>
        <w:t xml:space="preserve">ASPD </w:t>
      </w:r>
      <w:r>
        <w:rPr>
          <w:rFonts w:eastAsia="Times New Roman" w:cs="Times New Roman"/>
          <w:sz w:val="36"/>
          <w:szCs w:val="36"/>
        </w:rPr>
        <w:t>D</w:t>
      </w:r>
      <w:r w:rsidRPr="00226080">
        <w:rPr>
          <w:rFonts w:eastAsia="Times New Roman" w:cs="Times New Roman"/>
          <w:sz w:val="36"/>
          <w:szCs w:val="36"/>
        </w:rPr>
        <w:t xml:space="preserve">iagnosis </w:t>
      </w:r>
      <w:r>
        <w:rPr>
          <w:rFonts w:eastAsia="Times New Roman" w:cs="Times New Roman"/>
          <w:sz w:val="36"/>
          <w:szCs w:val="36"/>
        </w:rPr>
        <w:t>N</w:t>
      </w:r>
      <w:r w:rsidRPr="00226080">
        <w:rPr>
          <w:rFonts w:eastAsia="Times New Roman" w:cs="Times New Roman"/>
          <w:sz w:val="36"/>
          <w:szCs w:val="36"/>
        </w:rPr>
        <w:t xml:space="preserve">o </w:t>
      </w:r>
      <w:r>
        <w:rPr>
          <w:rFonts w:eastAsia="Times New Roman" w:cs="Times New Roman"/>
          <w:sz w:val="36"/>
          <w:szCs w:val="36"/>
        </w:rPr>
        <w:t>L</w:t>
      </w:r>
      <w:r w:rsidRPr="00226080">
        <w:rPr>
          <w:rFonts w:eastAsia="Times New Roman" w:cs="Times New Roman"/>
          <w:sz w:val="36"/>
          <w:szCs w:val="36"/>
        </w:rPr>
        <w:t xml:space="preserve">onger </w:t>
      </w:r>
      <w:r w:rsidR="008B203A">
        <w:rPr>
          <w:rFonts w:eastAsia="Times New Roman" w:cs="Times New Roman"/>
          <w:sz w:val="36"/>
          <w:szCs w:val="36"/>
        </w:rPr>
        <w:t>Appropriate</w:t>
      </w:r>
      <w:r w:rsidR="00162CB6" w:rsidRPr="00162CB6">
        <w:rPr>
          <w:rFonts w:eastAsia="Times New Roman" w:cs="Times New Roman"/>
          <w:sz w:val="36"/>
          <w:szCs w:val="36"/>
        </w:rPr>
        <w:t>.</w:t>
      </w:r>
    </w:p>
    <w:p w14:paraId="6595EA14" w14:textId="552B45D2" w:rsidR="0054006A" w:rsidRDefault="0054006A">
      <w:pPr>
        <w:spacing w:after="160" w:line="259" w:lineRule="auto"/>
        <w:contextualSpacing w:val="0"/>
        <w:rPr>
          <w:rFonts w:ascii="Times New Roman" w:eastAsia="Calibri" w:hAnsi="Times New Roman" w:cs="Times New Roman"/>
          <w:sz w:val="144"/>
          <w:szCs w:val="144"/>
        </w:rPr>
      </w:pPr>
    </w:p>
    <w:sectPr w:rsidR="0054006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45B34" w14:textId="77777777" w:rsidR="00805C08" w:rsidRDefault="00805C08" w:rsidP="00F96DB1">
      <w:pPr>
        <w:spacing w:line="240" w:lineRule="auto"/>
      </w:pPr>
      <w:r>
        <w:separator/>
      </w:r>
    </w:p>
  </w:endnote>
  <w:endnote w:type="continuationSeparator" w:id="0">
    <w:p w14:paraId="3D106249" w14:textId="77777777" w:rsidR="00805C08" w:rsidRDefault="00805C08" w:rsidP="00F96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4B37" w14:textId="77777777" w:rsidR="002131AC" w:rsidRDefault="002131AC" w:rsidP="00924682">
    <w:pPr>
      <w:pStyle w:val="Footer"/>
      <w:jc w:val="center"/>
      <w:rPr>
        <w:noProof/>
      </w:rPr>
    </w:pPr>
    <w:r>
      <w:t xml:space="preserve">~ </w:t>
    </w:r>
    <w:sdt>
      <w:sdtPr>
        <w:id w:val="-7016304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A4668">
          <w:rPr>
            <w:noProof/>
          </w:rPr>
          <w:t>28</w:t>
        </w:r>
        <w:r>
          <w:rPr>
            <w:noProof/>
          </w:rPr>
          <w:fldChar w:fldCharType="end"/>
        </w:r>
      </w:sdtContent>
    </w:sdt>
    <w:r>
      <w:rPr>
        <w:noProof/>
      </w:rPr>
      <w:t xml:space="preserve"> ~</w:t>
    </w:r>
  </w:p>
  <w:p w14:paraId="62825A17" w14:textId="3CB6B0D6" w:rsidR="00C104B0" w:rsidRDefault="006673C4" w:rsidP="00924682">
    <w:pPr>
      <w:pStyle w:val="Footer"/>
      <w:jc w:val="center"/>
    </w:pPr>
    <w:r>
      <w:rPr>
        <w:noProof/>
      </w:rPr>
      <w:t xml:space="preserve">Shawn </w:t>
    </w:r>
    <w:r w:rsidR="002B451A">
      <w:rPr>
        <w:noProof/>
      </w:rPr>
      <w:t>Michael</w:t>
    </w:r>
    <w:r>
      <w:rPr>
        <w:noProof/>
      </w:rPr>
      <w:t xml:space="preserve"> Rodriguez Pen.C. § 1172.1 </w:t>
    </w:r>
    <w:r w:rsidR="001D1828">
      <w:rPr>
        <w:noProof/>
      </w:rPr>
      <w:t>Recall Motion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D3C1" w14:textId="77777777" w:rsidR="00805C08" w:rsidRDefault="00805C08" w:rsidP="00F96DB1">
      <w:pPr>
        <w:spacing w:line="240" w:lineRule="auto"/>
      </w:pPr>
      <w:r>
        <w:separator/>
      </w:r>
    </w:p>
  </w:footnote>
  <w:footnote w:type="continuationSeparator" w:id="0">
    <w:p w14:paraId="2DC6A071" w14:textId="77777777" w:rsidR="00805C08" w:rsidRDefault="00805C08" w:rsidP="00F96DB1">
      <w:pPr>
        <w:spacing w:line="240" w:lineRule="auto"/>
      </w:pPr>
      <w:r>
        <w:continuationSeparator/>
      </w:r>
    </w:p>
  </w:footnote>
  <w:footnote w:id="1">
    <w:p w14:paraId="7EA171D8" w14:textId="77777777" w:rsidR="007F077C" w:rsidRDefault="007F077C" w:rsidP="007F077C">
      <w:pPr>
        <w:pStyle w:val="FootnoteText"/>
      </w:pPr>
      <w:r>
        <w:rPr>
          <w:rStyle w:val="FootnoteReference"/>
        </w:rPr>
        <w:footnoteRef/>
      </w:r>
      <w:r>
        <w:t xml:space="preserve"> </w:t>
      </w:r>
      <w:r w:rsidRPr="00B34F1D">
        <w:rPr>
          <w:i/>
          <w:iCs/>
        </w:rPr>
        <w:t>People v. Franklin</w:t>
      </w:r>
      <w:r>
        <w:t xml:space="preserve"> (2016) 63 Cal.4th 261; </w:t>
      </w:r>
      <w:r w:rsidRPr="00B34F1D">
        <w:rPr>
          <w:i/>
          <w:iCs/>
        </w:rPr>
        <w:t>In re Cook</w:t>
      </w:r>
      <w:r>
        <w:t xml:space="preserve"> (2019) 7 Cal.5th 439).</w:t>
      </w:r>
    </w:p>
  </w:footnote>
  <w:footnote w:id="2">
    <w:p w14:paraId="4654934D" w14:textId="268B890D" w:rsidR="007F077C" w:rsidRDefault="007F077C">
      <w:pPr>
        <w:pStyle w:val="FootnoteText"/>
      </w:pPr>
      <w:r>
        <w:rPr>
          <w:rStyle w:val="FootnoteReference"/>
        </w:rPr>
        <w:footnoteRef/>
      </w:r>
      <w:r>
        <w:t xml:space="preserve"> </w:t>
      </w:r>
      <w:r w:rsidRPr="007F077C">
        <w:t>Unspecified statutory references are to the Penal Code.</w:t>
      </w:r>
    </w:p>
  </w:footnote>
  <w:footnote w:id="3">
    <w:p w14:paraId="4BCBABF8" w14:textId="66CD1B44" w:rsidR="007F077C" w:rsidRDefault="007F077C">
      <w:pPr>
        <w:pStyle w:val="FootnoteText"/>
      </w:pPr>
      <w:r>
        <w:rPr>
          <w:rStyle w:val="FootnoteReference"/>
        </w:rPr>
        <w:footnoteRef/>
      </w:r>
      <w:r>
        <w:t xml:space="preserve"> Those pleadings and the attached exhibits are incorporated herein by this reference.</w:t>
      </w:r>
    </w:p>
  </w:footnote>
  <w:footnote w:id="4">
    <w:p w14:paraId="53C6FA00" w14:textId="77777777" w:rsidR="00977FC5" w:rsidRDefault="00977FC5" w:rsidP="00977FC5">
      <w:pPr>
        <w:pStyle w:val="FootnoteText"/>
      </w:pPr>
      <w:r>
        <w:rPr>
          <w:rStyle w:val="FootnoteReference"/>
        </w:rPr>
        <w:footnoteRef/>
      </w:r>
      <w:r>
        <w:t xml:space="preserve"> </w:t>
      </w:r>
      <w:r w:rsidRPr="00196A36">
        <w:t>In 2022</w:t>
      </w:r>
      <w:r>
        <w:t>, Judge Penney</w:t>
      </w:r>
      <w:r w:rsidRPr="00196A36">
        <w:t xml:space="preserve"> reviewed petitioner’s petition for a writ of habeas corpus and on December 13, 2022, he denied it in a reasoned opinion.</w:t>
      </w:r>
    </w:p>
  </w:footnote>
  <w:footnote w:id="5">
    <w:p w14:paraId="3093DE2F" w14:textId="77777777" w:rsidR="00E65C0A" w:rsidRDefault="00E65C0A" w:rsidP="00E65C0A">
      <w:pPr>
        <w:pStyle w:val="FootnoteText"/>
      </w:pPr>
      <w:r>
        <w:rPr>
          <w:rStyle w:val="FootnoteReference"/>
        </w:rPr>
        <w:footnoteRef/>
      </w:r>
      <w:r>
        <w:t xml:space="preserve"> </w:t>
      </w:r>
      <w:r w:rsidRPr="00903F84">
        <w:rPr>
          <w:i/>
          <w:iCs/>
        </w:rPr>
        <w:t>Graham v. Florida</w:t>
      </w:r>
      <w:r w:rsidRPr="00903F84">
        <w:t> (2010) 560 U.S. 48</w:t>
      </w:r>
    </w:p>
  </w:footnote>
  <w:footnote w:id="6">
    <w:p w14:paraId="33BF83DF" w14:textId="77777777" w:rsidR="00E65C0A" w:rsidRDefault="00E65C0A" w:rsidP="00E65C0A">
      <w:pPr>
        <w:pStyle w:val="FootnoteText"/>
      </w:pPr>
      <w:r>
        <w:rPr>
          <w:rStyle w:val="FootnoteReference"/>
        </w:rPr>
        <w:footnoteRef/>
      </w:r>
      <w:r>
        <w:t xml:space="preserve"> </w:t>
      </w:r>
      <w:r w:rsidRPr="00903F84">
        <w:rPr>
          <w:i/>
          <w:iCs/>
        </w:rPr>
        <w:t>Miller v. Alabama</w:t>
      </w:r>
      <w:r w:rsidRPr="00903F84">
        <w:t xml:space="preserve"> (2012) 567 U.S. 460</w:t>
      </w:r>
    </w:p>
  </w:footnote>
  <w:footnote w:id="7">
    <w:p w14:paraId="5532D0D6" w14:textId="77777777" w:rsidR="00E65C0A" w:rsidRDefault="00E65C0A" w:rsidP="00E65C0A">
      <w:pPr>
        <w:pStyle w:val="FootnoteText"/>
      </w:pPr>
      <w:r>
        <w:rPr>
          <w:rStyle w:val="FootnoteReference"/>
        </w:rPr>
        <w:footnoteRef/>
      </w:r>
      <w:r>
        <w:t xml:space="preserve"> </w:t>
      </w:r>
      <w:r w:rsidRPr="00903F84">
        <w:rPr>
          <w:i/>
          <w:iCs/>
        </w:rPr>
        <w:t>People v. Rodriguez</w:t>
      </w:r>
      <w:r w:rsidRPr="00903F84">
        <w:t> (2018) 4 Cal.5th 1123</w:t>
      </w:r>
      <w:r>
        <w:t>.</w:t>
      </w:r>
    </w:p>
  </w:footnote>
  <w:footnote w:id="8">
    <w:p w14:paraId="77379115" w14:textId="2042462F" w:rsidR="006A5149" w:rsidRDefault="006A5149" w:rsidP="006A5149">
      <w:pPr>
        <w:pStyle w:val="FootnoteText"/>
      </w:pPr>
      <w:r>
        <w:rPr>
          <w:rStyle w:val="FootnoteReference"/>
        </w:rPr>
        <w:footnoteRef/>
      </w:r>
      <w:r>
        <w:t xml:space="preserve"> Hamman would falsely testify at trial that he was forced to climb a table, and </w:t>
      </w:r>
      <w:r w:rsidR="00CF7B3F">
        <w:t xml:space="preserve">that </w:t>
      </w:r>
      <w:r>
        <w:t>the water level had risen to his neck. Based on this false testimony, t</w:t>
      </w:r>
      <w:r w:rsidRPr="008B2AC7">
        <w:t xml:space="preserve">he People argued in closing that this </w:t>
      </w:r>
      <w:r>
        <w:t xml:space="preserve">testimony </w:t>
      </w:r>
      <w:r w:rsidRPr="008B2AC7">
        <w:t>provided a basis for the jury to find that the kidnapping exposed Hamman to a substantial risk of death.</w:t>
      </w:r>
      <w:r>
        <w:t xml:space="preserve"> </w:t>
      </w:r>
      <w:r w:rsidRPr="00973C62">
        <w:t>As will be described in the procedural history to follow, Hammon later admitted that he wholly invented his peril from drowning.</w:t>
      </w:r>
    </w:p>
  </w:footnote>
  <w:footnote w:id="9">
    <w:p w14:paraId="29C5D5AE" w14:textId="77777777" w:rsidR="006A5149" w:rsidRDefault="006A5149" w:rsidP="006A5149">
      <w:pPr>
        <w:pStyle w:val="FootnoteText"/>
      </w:pPr>
      <w:r>
        <w:rPr>
          <w:rStyle w:val="FootnoteReference"/>
        </w:rPr>
        <w:footnoteRef/>
      </w:r>
      <w:r>
        <w:t xml:space="preserve"> </w:t>
      </w:r>
      <w:r w:rsidRPr="00A06D10">
        <w:t>Hammon</w:t>
      </w:r>
      <w:r>
        <w:t xml:space="preserve"> was unaware they returned, and he</w:t>
      </w:r>
      <w:r w:rsidRPr="00A06D10">
        <w:t xml:space="preserve"> never smelled exhaust fumes, confirming defendant’s statements </w:t>
      </w:r>
      <w:r>
        <w:t xml:space="preserve">to the police </w:t>
      </w:r>
      <w:r w:rsidRPr="00A06D10">
        <w:t xml:space="preserve">and </w:t>
      </w:r>
      <w:r>
        <w:t>his</w:t>
      </w:r>
      <w:r w:rsidRPr="00A06D10">
        <w:t xml:space="preserve"> testimony on this point.</w:t>
      </w:r>
    </w:p>
  </w:footnote>
  <w:footnote w:id="10">
    <w:p w14:paraId="64314C3E" w14:textId="77777777" w:rsidR="006A5149" w:rsidRPr="00E63C25" w:rsidRDefault="006A5149" w:rsidP="006A5149">
      <w:pPr>
        <w:pStyle w:val="FootnoteText"/>
      </w:pPr>
      <w:r>
        <w:rPr>
          <w:rStyle w:val="FootnoteReference"/>
        </w:rPr>
        <w:footnoteRef/>
      </w:r>
      <w:r>
        <w:t xml:space="preserve"> </w:t>
      </w:r>
      <w:r w:rsidRPr="00E63C25">
        <w:t>However, notably, count one was enhanced by the finding that the victim was exposed to a substantial likelihood of death. The People contended at trial that the water level was crucial and was sufficient to a finding that the victim was exposed to a substantial likelihood of death. In closing, the prosecutor argued,</w:t>
      </w:r>
    </w:p>
    <w:p w14:paraId="5246C71B" w14:textId="77777777" w:rsidR="006A5149" w:rsidRPr="00E63C25" w:rsidRDefault="006A5149" w:rsidP="006A5149">
      <w:pPr>
        <w:pStyle w:val="FootnoteText"/>
        <w:ind w:left="432"/>
      </w:pPr>
      <w:r w:rsidRPr="00E63C25">
        <w:t>Well, the risk was increased in a number of ways. There was, of course, himself putting the water there so you can’t really blame them for that. However, they enhanced that with the bookcase causing that to fill up. And that is a risk of death when you leave somebody in those conditions with the water up high if he slips and falls and becomes unconscious, that’s a problem.”</w:t>
      </w:r>
    </w:p>
    <w:p w14:paraId="005135D2" w14:textId="77777777" w:rsidR="006A5149" w:rsidRPr="00E63C25" w:rsidRDefault="006A5149" w:rsidP="006A5149">
      <w:pPr>
        <w:pStyle w:val="FootnoteText"/>
      </w:pPr>
      <w:r>
        <w:t xml:space="preserve"> </w:t>
      </w:r>
      <w:r w:rsidRPr="00E63C25">
        <w:t xml:space="preserve">Reporter’s Transcript of Shawn Rodriguez trial, page 707, lines 21-27.  </w:t>
      </w:r>
    </w:p>
    <w:p w14:paraId="468A790E" w14:textId="77777777" w:rsidR="006A5149" w:rsidRPr="00E63C25" w:rsidRDefault="006A5149" w:rsidP="006A5149">
      <w:pPr>
        <w:pStyle w:val="FootnoteText"/>
      </w:pPr>
      <w:r w:rsidRPr="00E63C25">
        <w:t>Although the focus was presumably on the count of conspiracy to commit murder, it reasonably appears that the other indeterminate sentence of seven years to life for the kidnapping offense may well have been based on Nick Hammon’s false testimony.</w:t>
      </w:r>
    </w:p>
    <w:p w14:paraId="4952D7AB" w14:textId="77777777" w:rsidR="006A5149" w:rsidRDefault="006A5149" w:rsidP="006A5149">
      <w:pPr>
        <w:pStyle w:val="FootnoteText"/>
      </w:pPr>
    </w:p>
  </w:footnote>
  <w:footnote w:id="11">
    <w:p w14:paraId="1A53CEE7" w14:textId="77777777" w:rsidR="00FC6E8A" w:rsidRDefault="00FC6E8A" w:rsidP="00FC6E8A">
      <w:pPr>
        <w:pStyle w:val="FootnoteText"/>
      </w:pPr>
      <w:r>
        <w:rPr>
          <w:rStyle w:val="FootnoteReference"/>
        </w:rPr>
        <w:footnoteRef/>
      </w:r>
      <w:r>
        <w:t xml:space="preserve"> </w:t>
      </w:r>
      <w:r w:rsidRPr="00FC6E8A">
        <w:t>A trial court engaged in recall and resentencing may of course rely on the record of conviction. (</w:t>
      </w:r>
      <w:r w:rsidRPr="00FC6E8A">
        <w:rPr>
          <w:i/>
          <w:iCs/>
        </w:rPr>
        <w:t>People v. Oehmigen</w:t>
      </w:r>
      <w:r w:rsidRPr="00FC6E8A">
        <w:t> (2014) 232 Cal.App.4th 1, 4.)</w:t>
      </w:r>
    </w:p>
  </w:footnote>
  <w:footnote w:id="12">
    <w:p w14:paraId="741A0C7A" w14:textId="77777777" w:rsidR="00D01161" w:rsidRPr="00D01161" w:rsidRDefault="00D01161" w:rsidP="00D01161">
      <w:pPr>
        <w:spacing w:line="240" w:lineRule="auto"/>
        <w:ind w:left="720" w:hanging="720"/>
        <w:rPr>
          <w:rFonts w:eastAsia="Times New Roman" w:cs="Times New Roman"/>
          <w:sz w:val="20"/>
          <w:szCs w:val="20"/>
        </w:rPr>
      </w:pPr>
      <w:r w:rsidRPr="00D01161">
        <w:rPr>
          <w:rStyle w:val="FootnoteReference"/>
          <w:sz w:val="20"/>
          <w:szCs w:val="20"/>
        </w:rPr>
        <w:footnoteRef/>
      </w:r>
      <w:r w:rsidRPr="00D01161">
        <w:rPr>
          <w:sz w:val="20"/>
          <w:szCs w:val="20"/>
        </w:rPr>
        <w:t xml:space="preserve"> </w:t>
      </w:r>
      <w:r w:rsidRPr="00797FA1">
        <w:rPr>
          <w:rFonts w:eastAsia="Times New Roman" w:cs="Times New Roman"/>
          <w:sz w:val="20"/>
          <w:szCs w:val="20"/>
        </w:rPr>
        <w:t>Parole grants of total scheduled hearings</w:t>
      </w:r>
      <w:r w:rsidRPr="00D01161">
        <w:rPr>
          <w:rFonts w:eastAsia="Times New Roman" w:cs="Times New Roman"/>
          <w:sz w:val="20"/>
          <w:szCs w:val="20"/>
        </w:rPr>
        <w:t>, found at</w:t>
      </w:r>
    </w:p>
    <w:p w14:paraId="265DA653" w14:textId="77777777" w:rsidR="00D01161" w:rsidRPr="00D01161" w:rsidRDefault="00D01161" w:rsidP="00D01161">
      <w:pPr>
        <w:spacing w:line="240" w:lineRule="auto"/>
        <w:ind w:left="720" w:hanging="720"/>
        <w:contextualSpacing w:val="0"/>
        <w:rPr>
          <w:rFonts w:eastAsia="Times New Roman" w:cs="Times New Roman"/>
          <w:color w:val="0563C1"/>
          <w:sz w:val="20"/>
          <w:szCs w:val="20"/>
          <w:u w:val="single"/>
        </w:rPr>
      </w:pPr>
      <w:hyperlink r:id="rId1" w:history="1">
        <w:r w:rsidRPr="00D01161">
          <w:rPr>
            <w:rFonts w:eastAsia="Times New Roman" w:cs="Times New Roman"/>
            <w:color w:val="467886"/>
            <w:sz w:val="20"/>
            <w:szCs w:val="20"/>
            <w:u w:val="single"/>
          </w:rPr>
          <w:t>https://www.cdcr.ca.gov/bph/2020/01/09/suitability-hearing-summary-cy-1978-through-cy-2018/</w:t>
        </w:r>
      </w:hyperlink>
    </w:p>
    <w:p w14:paraId="71C27752" w14:textId="1621F64B" w:rsidR="00D01161" w:rsidRPr="00D01161" w:rsidRDefault="00D01161" w:rsidP="00D01161">
      <w:pPr>
        <w:spacing w:line="240" w:lineRule="auto"/>
        <w:ind w:left="720" w:hanging="720"/>
        <w:contextualSpacing w:val="0"/>
        <w:rPr>
          <w:rFonts w:eastAsia="Times New Roman" w:cs="Times New Roman"/>
          <w:sz w:val="20"/>
          <w:szCs w:val="20"/>
        </w:rPr>
      </w:pPr>
      <w:r>
        <w:rPr>
          <w:rFonts w:eastAsia="Times New Roman" w:cs="Times New Roman"/>
          <w:sz w:val="20"/>
          <w:szCs w:val="20"/>
        </w:rPr>
        <w:t>Year</w:t>
      </w:r>
      <w:r>
        <w:rPr>
          <w:rFonts w:eastAsia="Times New Roman" w:cs="Times New Roman"/>
          <w:sz w:val="20"/>
          <w:szCs w:val="20"/>
        </w:rPr>
        <w:tab/>
        <w:t>Sched</w:t>
      </w:r>
      <w:r>
        <w:rPr>
          <w:rFonts w:eastAsia="Times New Roman" w:cs="Times New Roman"/>
          <w:sz w:val="20"/>
          <w:szCs w:val="20"/>
        </w:rPr>
        <w:tab/>
        <w:t>Grants</w:t>
      </w:r>
      <w:r>
        <w:rPr>
          <w:rFonts w:eastAsia="Times New Roman" w:cs="Times New Roman"/>
          <w:sz w:val="20"/>
          <w:szCs w:val="20"/>
        </w:rPr>
        <w:tab/>
        <w:t>Percentate</w:t>
      </w:r>
    </w:p>
    <w:p w14:paraId="4C687555"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2010</w:t>
      </w:r>
      <w:r w:rsidRPr="00D01161">
        <w:rPr>
          <w:rFonts w:eastAsia="Times New Roman" w:cs="Times New Roman"/>
          <w:sz w:val="20"/>
          <w:szCs w:val="20"/>
        </w:rPr>
        <w:tab/>
        <w:t>5639</w:t>
      </w:r>
      <w:r w:rsidRPr="00D01161">
        <w:rPr>
          <w:rFonts w:eastAsia="Times New Roman" w:cs="Times New Roman"/>
          <w:sz w:val="20"/>
          <w:szCs w:val="20"/>
        </w:rPr>
        <w:tab/>
        <w:t>495</w:t>
      </w:r>
      <w:r w:rsidRPr="00D01161">
        <w:rPr>
          <w:rFonts w:eastAsia="Times New Roman" w:cs="Times New Roman"/>
          <w:sz w:val="20"/>
          <w:szCs w:val="20"/>
        </w:rPr>
        <w:tab/>
        <w:t>08.1%</w:t>
      </w:r>
    </w:p>
    <w:p w14:paraId="5E6A111F"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2011</w:t>
      </w:r>
      <w:r w:rsidRPr="00D01161">
        <w:rPr>
          <w:rFonts w:eastAsia="Times New Roman" w:cs="Times New Roman"/>
          <w:sz w:val="20"/>
          <w:szCs w:val="20"/>
        </w:rPr>
        <w:tab/>
        <w:t>4015</w:t>
      </w:r>
      <w:r w:rsidRPr="00D01161">
        <w:rPr>
          <w:rFonts w:eastAsia="Times New Roman" w:cs="Times New Roman"/>
          <w:sz w:val="20"/>
          <w:szCs w:val="20"/>
        </w:rPr>
        <w:tab/>
        <w:t>466</w:t>
      </w:r>
      <w:r w:rsidRPr="00D01161">
        <w:rPr>
          <w:rFonts w:eastAsia="Times New Roman" w:cs="Times New Roman"/>
          <w:sz w:val="20"/>
          <w:szCs w:val="20"/>
        </w:rPr>
        <w:tab/>
        <w:t>11.6%</w:t>
      </w:r>
    </w:p>
    <w:p w14:paraId="261FCAE6"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2012</w:t>
      </w:r>
      <w:r w:rsidRPr="00D01161">
        <w:rPr>
          <w:rFonts w:eastAsia="Times New Roman" w:cs="Times New Roman"/>
          <w:sz w:val="20"/>
          <w:szCs w:val="20"/>
        </w:rPr>
        <w:tab/>
        <w:t>4760</w:t>
      </w:r>
      <w:r w:rsidRPr="00D01161">
        <w:rPr>
          <w:rFonts w:eastAsia="Times New Roman" w:cs="Times New Roman"/>
          <w:sz w:val="20"/>
          <w:szCs w:val="20"/>
        </w:rPr>
        <w:tab/>
        <w:t>675</w:t>
      </w:r>
      <w:r w:rsidRPr="00D01161">
        <w:rPr>
          <w:rFonts w:eastAsia="Times New Roman" w:cs="Times New Roman"/>
          <w:sz w:val="20"/>
          <w:szCs w:val="20"/>
        </w:rPr>
        <w:tab/>
        <w:t>14.2%</w:t>
      </w:r>
    </w:p>
    <w:p w14:paraId="2CB79DF7"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2013</w:t>
      </w:r>
      <w:r w:rsidRPr="00D01161">
        <w:rPr>
          <w:rFonts w:eastAsia="Times New Roman" w:cs="Times New Roman"/>
          <w:sz w:val="20"/>
          <w:szCs w:val="20"/>
        </w:rPr>
        <w:tab/>
        <w:t>4168</w:t>
      </w:r>
      <w:r w:rsidRPr="00D01161">
        <w:rPr>
          <w:rFonts w:eastAsia="Times New Roman" w:cs="Times New Roman"/>
          <w:sz w:val="20"/>
          <w:szCs w:val="20"/>
        </w:rPr>
        <w:tab/>
        <w:t>592</w:t>
      </w:r>
      <w:r w:rsidRPr="00D01161">
        <w:rPr>
          <w:rFonts w:eastAsia="Times New Roman" w:cs="Times New Roman"/>
          <w:sz w:val="20"/>
          <w:szCs w:val="20"/>
        </w:rPr>
        <w:tab/>
        <w:t>14.2%</w:t>
      </w:r>
    </w:p>
    <w:p w14:paraId="1B33E05A"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2014</w:t>
      </w:r>
      <w:r w:rsidRPr="00D01161">
        <w:rPr>
          <w:rFonts w:eastAsia="Times New Roman" w:cs="Times New Roman"/>
          <w:sz w:val="20"/>
          <w:szCs w:val="20"/>
        </w:rPr>
        <w:tab/>
        <w:t>4703</w:t>
      </w:r>
      <w:r w:rsidRPr="00D01161">
        <w:rPr>
          <w:rFonts w:eastAsia="Times New Roman" w:cs="Times New Roman"/>
          <w:sz w:val="20"/>
          <w:szCs w:val="20"/>
        </w:rPr>
        <w:tab/>
        <w:t>905</w:t>
      </w:r>
      <w:r w:rsidRPr="00D01161">
        <w:rPr>
          <w:rFonts w:eastAsia="Times New Roman" w:cs="Times New Roman"/>
          <w:sz w:val="20"/>
          <w:szCs w:val="20"/>
        </w:rPr>
        <w:tab/>
        <w:t>19.2%</w:t>
      </w:r>
    </w:p>
    <w:p w14:paraId="3032AB72"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2015</w:t>
      </w:r>
      <w:r w:rsidRPr="00D01161">
        <w:rPr>
          <w:rFonts w:eastAsia="Times New Roman" w:cs="Times New Roman"/>
          <w:sz w:val="20"/>
          <w:szCs w:val="20"/>
        </w:rPr>
        <w:tab/>
        <w:t>5300</w:t>
      </w:r>
      <w:r w:rsidRPr="00D01161">
        <w:rPr>
          <w:rFonts w:eastAsia="Times New Roman" w:cs="Times New Roman"/>
          <w:sz w:val="20"/>
          <w:szCs w:val="20"/>
        </w:rPr>
        <w:tab/>
        <w:t>906</w:t>
      </w:r>
      <w:r w:rsidRPr="00D01161">
        <w:rPr>
          <w:rFonts w:eastAsia="Times New Roman" w:cs="Times New Roman"/>
          <w:sz w:val="20"/>
          <w:szCs w:val="20"/>
        </w:rPr>
        <w:tab/>
        <w:t>17.1%</w:t>
      </w:r>
    </w:p>
    <w:p w14:paraId="22E80A95"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2016</w:t>
      </w:r>
      <w:r w:rsidRPr="00D01161">
        <w:rPr>
          <w:rFonts w:eastAsia="Times New Roman" w:cs="Times New Roman"/>
          <w:sz w:val="20"/>
          <w:szCs w:val="20"/>
        </w:rPr>
        <w:tab/>
        <w:t>5065</w:t>
      </w:r>
      <w:r w:rsidRPr="00D01161">
        <w:rPr>
          <w:rFonts w:eastAsia="Times New Roman" w:cs="Times New Roman"/>
          <w:sz w:val="20"/>
          <w:szCs w:val="20"/>
        </w:rPr>
        <w:tab/>
        <w:t>817</w:t>
      </w:r>
      <w:r w:rsidRPr="00D01161">
        <w:rPr>
          <w:rFonts w:eastAsia="Times New Roman" w:cs="Times New Roman"/>
          <w:sz w:val="20"/>
          <w:szCs w:val="20"/>
        </w:rPr>
        <w:tab/>
        <w:t>16.1%</w:t>
      </w:r>
    </w:p>
    <w:p w14:paraId="3AEACB9F"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2017</w:t>
      </w:r>
      <w:r w:rsidRPr="00D01161">
        <w:rPr>
          <w:rFonts w:eastAsia="Times New Roman" w:cs="Times New Roman"/>
          <w:sz w:val="20"/>
          <w:szCs w:val="20"/>
        </w:rPr>
        <w:tab/>
        <w:t>5334</w:t>
      </w:r>
      <w:r w:rsidRPr="00D01161">
        <w:rPr>
          <w:rFonts w:eastAsia="Times New Roman" w:cs="Times New Roman"/>
          <w:sz w:val="20"/>
          <w:szCs w:val="20"/>
        </w:rPr>
        <w:tab/>
        <w:t>915</w:t>
      </w:r>
      <w:r w:rsidRPr="00D01161">
        <w:rPr>
          <w:rFonts w:eastAsia="Times New Roman" w:cs="Times New Roman"/>
          <w:sz w:val="20"/>
          <w:szCs w:val="20"/>
        </w:rPr>
        <w:tab/>
        <w:t>17.2%</w:t>
      </w:r>
    </w:p>
    <w:p w14:paraId="5C927644"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2018</w:t>
      </w:r>
      <w:r w:rsidRPr="00D01161">
        <w:rPr>
          <w:rFonts w:eastAsia="Times New Roman" w:cs="Times New Roman"/>
          <w:sz w:val="20"/>
          <w:szCs w:val="20"/>
        </w:rPr>
        <w:tab/>
        <w:t>5226</w:t>
      </w:r>
      <w:r w:rsidRPr="00D01161">
        <w:rPr>
          <w:rFonts w:eastAsia="Times New Roman" w:cs="Times New Roman"/>
          <w:sz w:val="20"/>
          <w:szCs w:val="20"/>
        </w:rPr>
        <w:tab/>
        <w:t>1136</w:t>
      </w:r>
      <w:r w:rsidRPr="00D01161">
        <w:rPr>
          <w:rFonts w:eastAsia="Times New Roman" w:cs="Times New Roman"/>
          <w:sz w:val="20"/>
          <w:szCs w:val="20"/>
        </w:rPr>
        <w:tab/>
        <w:t>21.7%</w:t>
      </w:r>
    </w:p>
    <w:p w14:paraId="79CFF0EE"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2019</w:t>
      </w:r>
      <w:r w:rsidRPr="00D01161">
        <w:rPr>
          <w:rFonts w:eastAsia="Times New Roman" w:cs="Times New Roman"/>
          <w:sz w:val="20"/>
          <w:szCs w:val="20"/>
        </w:rPr>
        <w:tab/>
        <w:t>6061</w:t>
      </w:r>
      <w:r w:rsidRPr="00D01161">
        <w:rPr>
          <w:rFonts w:eastAsia="Times New Roman" w:cs="Times New Roman"/>
          <w:sz w:val="20"/>
          <w:szCs w:val="20"/>
        </w:rPr>
        <w:tab/>
        <w:t>1184</w:t>
      </w:r>
      <w:r w:rsidRPr="00D01161">
        <w:rPr>
          <w:rFonts w:eastAsia="Times New Roman" w:cs="Times New Roman"/>
          <w:sz w:val="20"/>
          <w:szCs w:val="20"/>
        </w:rPr>
        <w:tab/>
        <w:t>19.5%</w:t>
      </w:r>
    </w:p>
    <w:p w14:paraId="395ADFAF"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2020</w:t>
      </w:r>
      <w:r w:rsidRPr="00D01161">
        <w:rPr>
          <w:rFonts w:eastAsia="Times New Roman" w:cs="Times New Roman"/>
          <w:sz w:val="20"/>
          <w:szCs w:val="20"/>
        </w:rPr>
        <w:tab/>
        <w:t>7684</w:t>
      </w:r>
      <w:r w:rsidRPr="00D01161">
        <w:rPr>
          <w:rFonts w:eastAsia="Times New Roman" w:cs="Times New Roman"/>
          <w:sz w:val="20"/>
          <w:szCs w:val="20"/>
        </w:rPr>
        <w:tab/>
        <w:t>1234</w:t>
      </w:r>
      <w:r w:rsidRPr="00D01161">
        <w:rPr>
          <w:rFonts w:eastAsia="Times New Roman" w:cs="Times New Roman"/>
          <w:sz w:val="20"/>
          <w:szCs w:val="20"/>
        </w:rPr>
        <w:tab/>
        <w:t>16.1%</w:t>
      </w:r>
    </w:p>
    <w:p w14:paraId="6E4414EA"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2021</w:t>
      </w:r>
      <w:r w:rsidRPr="00D01161">
        <w:rPr>
          <w:rFonts w:eastAsia="Times New Roman" w:cs="Times New Roman"/>
          <w:sz w:val="20"/>
          <w:szCs w:val="20"/>
        </w:rPr>
        <w:tab/>
        <w:t>8718</w:t>
      </w:r>
      <w:r w:rsidRPr="00D01161">
        <w:rPr>
          <w:rFonts w:eastAsia="Times New Roman" w:cs="Times New Roman"/>
          <w:sz w:val="20"/>
          <w:szCs w:val="20"/>
        </w:rPr>
        <w:tab/>
        <w:t>1424</w:t>
      </w:r>
      <w:r w:rsidRPr="00D01161">
        <w:rPr>
          <w:rFonts w:eastAsia="Times New Roman" w:cs="Times New Roman"/>
          <w:sz w:val="20"/>
          <w:szCs w:val="20"/>
        </w:rPr>
        <w:tab/>
        <w:t>16.3%</w:t>
      </w:r>
    </w:p>
    <w:p w14:paraId="44E334C4"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2022</w:t>
      </w:r>
      <w:r w:rsidRPr="00D01161">
        <w:rPr>
          <w:rFonts w:eastAsia="Times New Roman" w:cs="Times New Roman"/>
          <w:sz w:val="20"/>
          <w:szCs w:val="20"/>
        </w:rPr>
        <w:tab/>
        <w:t>9016</w:t>
      </w:r>
      <w:r w:rsidRPr="00D01161">
        <w:rPr>
          <w:rFonts w:eastAsia="Times New Roman" w:cs="Times New Roman"/>
          <w:sz w:val="20"/>
          <w:szCs w:val="20"/>
        </w:rPr>
        <w:tab/>
        <w:t>1259</w:t>
      </w:r>
      <w:r w:rsidRPr="00D01161">
        <w:rPr>
          <w:rFonts w:eastAsia="Times New Roman" w:cs="Times New Roman"/>
          <w:sz w:val="20"/>
          <w:szCs w:val="20"/>
        </w:rPr>
        <w:tab/>
        <w:t>14.0%</w:t>
      </w:r>
    </w:p>
    <w:p w14:paraId="5B6C2270" w14:textId="77777777" w:rsidR="00D01161" w:rsidRPr="00D01161" w:rsidRDefault="00D01161" w:rsidP="00D01161">
      <w:pPr>
        <w:spacing w:line="240" w:lineRule="auto"/>
        <w:ind w:left="720" w:hanging="720"/>
        <w:contextualSpacing w:val="0"/>
        <w:rPr>
          <w:rFonts w:eastAsia="Times New Roman" w:cs="Times New Roman"/>
          <w:sz w:val="20"/>
          <w:szCs w:val="20"/>
        </w:rPr>
      </w:pPr>
      <w:r w:rsidRPr="00D01161">
        <w:rPr>
          <w:rFonts w:eastAsia="Times New Roman" w:cs="Times New Roman"/>
          <w:sz w:val="20"/>
          <w:szCs w:val="20"/>
        </w:rPr>
        <w:t>2023</w:t>
      </w:r>
      <w:r w:rsidRPr="00D01161">
        <w:rPr>
          <w:rFonts w:eastAsia="Times New Roman" w:cs="Times New Roman"/>
          <w:sz w:val="20"/>
          <w:szCs w:val="20"/>
        </w:rPr>
        <w:tab/>
        <w:t>8282</w:t>
      </w:r>
      <w:r w:rsidRPr="00D01161">
        <w:rPr>
          <w:rFonts w:eastAsia="Times New Roman" w:cs="Times New Roman"/>
          <w:sz w:val="20"/>
          <w:szCs w:val="20"/>
        </w:rPr>
        <w:tab/>
        <w:t>1434</w:t>
      </w:r>
      <w:r w:rsidRPr="00D01161">
        <w:rPr>
          <w:rFonts w:eastAsia="Times New Roman" w:cs="Times New Roman"/>
          <w:sz w:val="20"/>
          <w:szCs w:val="20"/>
        </w:rPr>
        <w:tab/>
        <w:t>17.3</w:t>
      </w:r>
    </w:p>
    <w:p w14:paraId="6408805C" w14:textId="5E71F75B" w:rsidR="00D01161" w:rsidRPr="00D01161" w:rsidRDefault="00D01161" w:rsidP="00D01161">
      <w:pPr>
        <w:pStyle w:val="FootnoteText"/>
      </w:pPr>
      <w:r w:rsidRPr="00797FA1">
        <w:rPr>
          <w:rFonts w:eastAsia="Times New Roman" w:cs="Times New Roman"/>
        </w:rPr>
        <w:t>2024</w:t>
      </w:r>
      <w:r w:rsidRPr="00797FA1">
        <w:rPr>
          <w:rFonts w:eastAsia="Times New Roman" w:cs="Times New Roman"/>
        </w:rPr>
        <w:tab/>
        <w:t>8001</w:t>
      </w:r>
      <w:r w:rsidRPr="00797FA1">
        <w:rPr>
          <w:rFonts w:eastAsia="Times New Roman" w:cs="Times New Roman"/>
        </w:rPr>
        <w:tab/>
        <w:t>1154</w:t>
      </w:r>
      <w:r w:rsidRPr="00797FA1">
        <w:rPr>
          <w:rFonts w:eastAsia="Times New Roman" w:cs="Times New Roman"/>
        </w:rPr>
        <w:tab/>
        <w:t>14.4%</w:t>
      </w:r>
    </w:p>
  </w:footnote>
  <w:footnote w:id="13">
    <w:p w14:paraId="47A69525" w14:textId="77777777" w:rsidR="00946C67" w:rsidRDefault="00946C67" w:rsidP="00946C67">
      <w:pPr>
        <w:pStyle w:val="FootnoteText"/>
      </w:pPr>
      <w:r>
        <w:rPr>
          <w:rStyle w:val="FootnoteReference"/>
        </w:rPr>
        <w:footnoteRef/>
      </w:r>
      <w:r>
        <w:t xml:space="preserve"> Petitioner was “out-to-court” to San Diego, scheduled to testify concerning misconduct by two correctional officers; he was at that time housed at RJ Donovan prison, explaining why he was housed maximum security. Following August 5, 2024, he was transferred to Mule Creek State Prison, another medium security facility, until his transfer to Placer County jail.</w:t>
      </w:r>
    </w:p>
  </w:footnote>
  <w:footnote w:id="14">
    <w:p w14:paraId="50FEF6D5" w14:textId="5CE58846" w:rsidR="004039B2" w:rsidRDefault="004039B2">
      <w:pPr>
        <w:pStyle w:val="FootnoteText"/>
      </w:pPr>
      <w:r>
        <w:rPr>
          <w:rStyle w:val="FootnoteReference"/>
        </w:rPr>
        <w:footnoteRef/>
      </w:r>
      <w:r>
        <w:t xml:space="preserve"> See also Exh. 2 of petitioner’s July 29, 2025 </w:t>
      </w:r>
      <w:r w:rsidRPr="004039B2">
        <w:rPr>
          <w:i/>
          <w:iCs/>
        </w:rPr>
        <w:t>Franklin</w:t>
      </w:r>
      <w:r>
        <w:t>/</w:t>
      </w:r>
      <w:r w:rsidRPr="004039B2">
        <w:rPr>
          <w:i/>
          <w:iCs/>
        </w:rPr>
        <w:t>Cook</w:t>
      </w:r>
      <w:r>
        <w:t xml:space="preserve"> submission, </w:t>
      </w:r>
      <w:r w:rsidRPr="004039B2">
        <w:t>2022 White Paper on the Science of Late Adolescence, provided by the Center for Law: Brain and Behavior (Mass General Brigham &amp; Harvard Medical School)</w:t>
      </w:r>
      <w:r>
        <w:t>.</w:t>
      </w:r>
    </w:p>
  </w:footnote>
  <w:footnote w:id="15">
    <w:p w14:paraId="1EE1B0D0" w14:textId="76F1B095" w:rsidR="00E65C0A" w:rsidRDefault="00E65C0A">
      <w:pPr>
        <w:pStyle w:val="FootnoteText"/>
      </w:pPr>
      <w:r>
        <w:rPr>
          <w:rStyle w:val="FootnoteReference"/>
        </w:rPr>
        <w:footnoteRef/>
      </w:r>
      <w:r>
        <w:t xml:space="preserve"> Information about Crosthwaite and the Justice Reformatory is available at Martinez, LuzMaria, East Bay Times, New TikTok channel dedicated to criminal justice reform, February 21, 2024, at </w:t>
      </w:r>
      <w:hyperlink r:id="rId2" w:history="1">
        <w:r w:rsidRPr="00263A5F">
          <w:rPr>
            <w:rStyle w:val="Hyperlink"/>
          </w:rPr>
          <w:t>https://www.eastbaytimes.com/2024/02/21/in-brief-piedmont-taking-survey-on-disaster-readiness-through-march-17/</w:t>
        </w:r>
      </w:hyperlink>
      <w:r>
        <w:t>; and at</w:t>
      </w:r>
      <w:r w:rsidRPr="00E65C0A">
        <w:t xml:space="preserve"> </w:t>
      </w:r>
      <w:hyperlink r:id="rId3" w:history="1">
        <w:r w:rsidRPr="00263A5F">
          <w:rPr>
            <w:rStyle w:val="Hyperlink"/>
          </w:rPr>
          <w:t>https://www.instagram.com/p/DRyVfZMkQ3W/</w:t>
        </w:r>
      </w:hyperlink>
      <w:r>
        <w:t xml:space="preserve"> (Instagram, Getting Out by Going 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1527" w14:textId="77777777" w:rsidR="002131AC" w:rsidRPr="00073223" w:rsidRDefault="002131AC" w:rsidP="00073223">
    <w:pPr>
      <w:pStyle w:val="Header"/>
    </w:pPr>
    <w:r w:rsidRPr="00073223">
      <w:rPr>
        <w:noProof/>
      </w:rPr>
      <mc:AlternateContent>
        <mc:Choice Requires="wps">
          <w:drawing>
            <wp:anchor distT="0" distB="0" distL="114300" distR="114300" simplePos="0" relativeHeight="251659264" behindDoc="0" locked="0" layoutInCell="0" allowOverlap="1" wp14:anchorId="33224DC4" wp14:editId="460E2A1A">
              <wp:simplePos x="0" y="0"/>
              <wp:positionH relativeFrom="margin">
                <wp:posOffset>-169545</wp:posOffset>
              </wp:positionH>
              <wp:positionV relativeFrom="page">
                <wp:posOffset>-66675</wp:posOffset>
              </wp:positionV>
              <wp:extent cx="0" cy="10058400"/>
              <wp:effectExtent l="11430" t="9525" r="762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22F38"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3.35pt,-5.25pt" to="-13.35pt,7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" o:allowincell="f">
              <w10:wrap anchorx="margin" anchory="page"/>
            </v:line>
          </w:pict>
        </mc:Fallback>
      </mc:AlternateContent>
    </w:r>
    <w:r w:rsidRPr="00073223">
      <w:rPr>
        <w:noProof/>
      </w:rPr>
      <mc:AlternateContent>
        <mc:Choice Requires="wps">
          <w:drawing>
            <wp:anchor distT="0" distB="0" distL="114300" distR="114300" simplePos="0" relativeHeight="251661312" behindDoc="0" locked="0" layoutInCell="0" allowOverlap="1" wp14:anchorId="2871EF61" wp14:editId="35F91E1A">
              <wp:simplePos x="0" y="0"/>
              <wp:positionH relativeFrom="margin">
                <wp:posOffset>6035040</wp:posOffset>
              </wp:positionH>
              <wp:positionV relativeFrom="page">
                <wp:posOffset>91440</wp:posOffset>
              </wp:positionV>
              <wp:extent cx="0" cy="10058400"/>
              <wp:effectExtent l="5715" t="5715" r="13335"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96B4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7.2pt" to="475.2pt,7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" o:allowincell="f">
              <w10:wrap anchorx="margin" anchory="page"/>
            </v:line>
          </w:pict>
        </mc:Fallback>
      </mc:AlternateContent>
    </w:r>
    <w:r w:rsidRPr="00073223">
      <w:rPr>
        <w:noProof/>
      </w:rPr>
      <mc:AlternateContent>
        <mc:Choice Requires="wps">
          <w:drawing>
            <wp:anchor distT="0" distB="0" distL="114300" distR="114300" simplePos="0" relativeHeight="251660288" behindDoc="0" locked="0" layoutInCell="0" allowOverlap="1" wp14:anchorId="31049853" wp14:editId="18546991">
              <wp:simplePos x="0" y="0"/>
              <wp:positionH relativeFrom="margin">
                <wp:posOffset>-91440</wp:posOffset>
              </wp:positionH>
              <wp:positionV relativeFrom="page">
                <wp:posOffset>0</wp:posOffset>
              </wp:positionV>
              <wp:extent cx="0" cy="10058400"/>
              <wp:effectExtent l="13335" t="9525" r="571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704B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o:allowincell="f">
              <w10:wrap anchorx="margin" anchory="page"/>
            </v:line>
          </w:pict>
        </mc:Fallback>
      </mc:AlternateContent>
    </w:r>
  </w:p>
  <w:p w14:paraId="01066A9D" w14:textId="77777777" w:rsidR="002131AC" w:rsidRDefault="002131AC">
    <w:pPr>
      <w:pStyle w:val="Header"/>
    </w:pPr>
    <w:r w:rsidRPr="00073223">
      <w:rPr>
        <w:noProof/>
      </w:rPr>
      <mc:AlternateContent>
        <mc:Choice Requires="wps">
          <w:drawing>
            <wp:anchor distT="0" distB="0" distL="114300" distR="114300" simplePos="0" relativeHeight="251662336" behindDoc="0" locked="0" layoutInCell="0" allowOverlap="1" wp14:anchorId="7962A91A" wp14:editId="58FE4AF2">
              <wp:simplePos x="0" y="0"/>
              <wp:positionH relativeFrom="margin">
                <wp:posOffset>-725805</wp:posOffset>
              </wp:positionH>
              <wp:positionV relativeFrom="margin">
                <wp:posOffset>0</wp:posOffset>
              </wp:positionV>
              <wp:extent cx="457200" cy="8229600"/>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C8CBC" w14:textId="77777777" w:rsidR="002131AC" w:rsidRPr="00B90C33" w:rsidRDefault="002131AC" w:rsidP="00073223">
                          <w:pPr>
                            <w:jc w:val="right"/>
                            <w:rPr>
                              <w:szCs w:val="24"/>
                            </w:rPr>
                          </w:pPr>
                          <w:r w:rsidRPr="00B90C33">
                            <w:rPr>
                              <w:szCs w:val="24"/>
                            </w:rPr>
                            <w:t>1</w:t>
                          </w:r>
                        </w:p>
                        <w:p w14:paraId="48FFD16D" w14:textId="77777777" w:rsidR="002131AC" w:rsidRPr="00B90C33" w:rsidRDefault="002131AC" w:rsidP="00073223">
                          <w:pPr>
                            <w:jc w:val="right"/>
                            <w:rPr>
                              <w:szCs w:val="24"/>
                            </w:rPr>
                          </w:pPr>
                          <w:r w:rsidRPr="00B90C33">
                            <w:rPr>
                              <w:szCs w:val="24"/>
                            </w:rPr>
                            <w:t>2</w:t>
                          </w:r>
                        </w:p>
                        <w:p w14:paraId="1912273B" w14:textId="77777777" w:rsidR="002131AC" w:rsidRPr="00B90C33" w:rsidRDefault="002131AC" w:rsidP="00073223">
                          <w:pPr>
                            <w:jc w:val="right"/>
                            <w:rPr>
                              <w:szCs w:val="24"/>
                            </w:rPr>
                          </w:pPr>
                          <w:r w:rsidRPr="00B90C33">
                            <w:rPr>
                              <w:szCs w:val="24"/>
                            </w:rPr>
                            <w:t>3</w:t>
                          </w:r>
                        </w:p>
                        <w:p w14:paraId="6877B3BC" w14:textId="77777777" w:rsidR="002131AC" w:rsidRPr="00B90C33" w:rsidRDefault="002131AC" w:rsidP="00073223">
                          <w:pPr>
                            <w:jc w:val="right"/>
                            <w:rPr>
                              <w:szCs w:val="24"/>
                            </w:rPr>
                          </w:pPr>
                          <w:r w:rsidRPr="00B90C33">
                            <w:rPr>
                              <w:szCs w:val="24"/>
                            </w:rPr>
                            <w:t>4</w:t>
                          </w:r>
                        </w:p>
                        <w:p w14:paraId="53372111" w14:textId="77777777" w:rsidR="002131AC" w:rsidRPr="00B90C33" w:rsidRDefault="002131AC" w:rsidP="00073223">
                          <w:pPr>
                            <w:jc w:val="right"/>
                            <w:rPr>
                              <w:szCs w:val="24"/>
                            </w:rPr>
                          </w:pPr>
                          <w:r w:rsidRPr="00B90C33">
                            <w:rPr>
                              <w:szCs w:val="24"/>
                            </w:rPr>
                            <w:t>5</w:t>
                          </w:r>
                        </w:p>
                        <w:p w14:paraId="04FC66FD" w14:textId="77777777" w:rsidR="002131AC" w:rsidRPr="00B90C33" w:rsidRDefault="002131AC" w:rsidP="00073223">
                          <w:pPr>
                            <w:jc w:val="right"/>
                            <w:rPr>
                              <w:szCs w:val="24"/>
                            </w:rPr>
                          </w:pPr>
                          <w:r w:rsidRPr="00B90C33">
                            <w:rPr>
                              <w:szCs w:val="24"/>
                            </w:rPr>
                            <w:t>6</w:t>
                          </w:r>
                        </w:p>
                        <w:p w14:paraId="6207BB45" w14:textId="77777777" w:rsidR="002131AC" w:rsidRPr="00B90C33" w:rsidRDefault="002131AC" w:rsidP="00073223">
                          <w:pPr>
                            <w:jc w:val="right"/>
                            <w:rPr>
                              <w:szCs w:val="24"/>
                            </w:rPr>
                          </w:pPr>
                          <w:r w:rsidRPr="00B90C33">
                            <w:rPr>
                              <w:szCs w:val="24"/>
                            </w:rPr>
                            <w:t>7</w:t>
                          </w:r>
                        </w:p>
                        <w:p w14:paraId="5DA82B38" w14:textId="77777777" w:rsidR="002131AC" w:rsidRPr="00B90C33" w:rsidRDefault="002131AC" w:rsidP="00073223">
                          <w:pPr>
                            <w:jc w:val="right"/>
                            <w:rPr>
                              <w:szCs w:val="24"/>
                            </w:rPr>
                          </w:pPr>
                          <w:r w:rsidRPr="00B90C33">
                            <w:rPr>
                              <w:szCs w:val="24"/>
                            </w:rPr>
                            <w:t>8</w:t>
                          </w:r>
                        </w:p>
                        <w:p w14:paraId="178EE56D" w14:textId="77777777" w:rsidR="002131AC" w:rsidRPr="00B90C33" w:rsidRDefault="002131AC" w:rsidP="00073223">
                          <w:pPr>
                            <w:jc w:val="right"/>
                            <w:rPr>
                              <w:szCs w:val="24"/>
                            </w:rPr>
                          </w:pPr>
                          <w:r w:rsidRPr="00B90C33">
                            <w:rPr>
                              <w:szCs w:val="24"/>
                            </w:rPr>
                            <w:t>9</w:t>
                          </w:r>
                        </w:p>
                        <w:p w14:paraId="60045785" w14:textId="77777777" w:rsidR="002131AC" w:rsidRPr="00B90C33" w:rsidRDefault="002131AC" w:rsidP="00073223">
                          <w:pPr>
                            <w:jc w:val="right"/>
                            <w:rPr>
                              <w:szCs w:val="24"/>
                            </w:rPr>
                          </w:pPr>
                          <w:r w:rsidRPr="00B90C33">
                            <w:rPr>
                              <w:szCs w:val="24"/>
                            </w:rPr>
                            <w:t>10</w:t>
                          </w:r>
                        </w:p>
                        <w:p w14:paraId="219E69C0" w14:textId="77777777" w:rsidR="002131AC" w:rsidRPr="00B90C33" w:rsidRDefault="002131AC" w:rsidP="00073223">
                          <w:pPr>
                            <w:jc w:val="right"/>
                            <w:rPr>
                              <w:szCs w:val="24"/>
                            </w:rPr>
                          </w:pPr>
                          <w:r w:rsidRPr="00B90C33">
                            <w:rPr>
                              <w:szCs w:val="24"/>
                            </w:rPr>
                            <w:t>11</w:t>
                          </w:r>
                        </w:p>
                        <w:p w14:paraId="554BBBD2" w14:textId="77777777" w:rsidR="002131AC" w:rsidRPr="00B90C33" w:rsidRDefault="002131AC" w:rsidP="00073223">
                          <w:pPr>
                            <w:jc w:val="right"/>
                            <w:rPr>
                              <w:szCs w:val="24"/>
                            </w:rPr>
                          </w:pPr>
                          <w:r w:rsidRPr="00B90C33">
                            <w:rPr>
                              <w:szCs w:val="24"/>
                            </w:rPr>
                            <w:t>12</w:t>
                          </w:r>
                        </w:p>
                        <w:p w14:paraId="557155A8" w14:textId="77777777" w:rsidR="002131AC" w:rsidRPr="00B90C33" w:rsidRDefault="002131AC" w:rsidP="00073223">
                          <w:pPr>
                            <w:jc w:val="right"/>
                            <w:rPr>
                              <w:szCs w:val="24"/>
                            </w:rPr>
                          </w:pPr>
                          <w:r w:rsidRPr="00B90C33">
                            <w:rPr>
                              <w:szCs w:val="24"/>
                            </w:rPr>
                            <w:t>13</w:t>
                          </w:r>
                        </w:p>
                        <w:p w14:paraId="77EFFD39" w14:textId="77777777" w:rsidR="002131AC" w:rsidRPr="00B90C33" w:rsidRDefault="002131AC" w:rsidP="00073223">
                          <w:pPr>
                            <w:jc w:val="right"/>
                            <w:rPr>
                              <w:szCs w:val="24"/>
                            </w:rPr>
                          </w:pPr>
                          <w:r w:rsidRPr="00B90C33">
                            <w:rPr>
                              <w:szCs w:val="24"/>
                            </w:rPr>
                            <w:t>14</w:t>
                          </w:r>
                        </w:p>
                        <w:p w14:paraId="4CD262D3" w14:textId="77777777" w:rsidR="002131AC" w:rsidRPr="00B90C33" w:rsidRDefault="002131AC" w:rsidP="00073223">
                          <w:pPr>
                            <w:jc w:val="right"/>
                            <w:rPr>
                              <w:szCs w:val="24"/>
                            </w:rPr>
                          </w:pPr>
                          <w:r w:rsidRPr="00B90C33">
                            <w:rPr>
                              <w:szCs w:val="24"/>
                            </w:rPr>
                            <w:t>15</w:t>
                          </w:r>
                        </w:p>
                        <w:p w14:paraId="3E2620E1" w14:textId="77777777" w:rsidR="002131AC" w:rsidRPr="00B90C33" w:rsidRDefault="002131AC" w:rsidP="00073223">
                          <w:pPr>
                            <w:jc w:val="right"/>
                            <w:rPr>
                              <w:szCs w:val="24"/>
                            </w:rPr>
                          </w:pPr>
                          <w:r w:rsidRPr="00B90C33">
                            <w:rPr>
                              <w:szCs w:val="24"/>
                            </w:rPr>
                            <w:t>16</w:t>
                          </w:r>
                        </w:p>
                        <w:p w14:paraId="57C8249D" w14:textId="77777777" w:rsidR="002131AC" w:rsidRPr="00B90C33" w:rsidRDefault="002131AC" w:rsidP="00073223">
                          <w:pPr>
                            <w:jc w:val="right"/>
                            <w:rPr>
                              <w:szCs w:val="24"/>
                            </w:rPr>
                          </w:pPr>
                          <w:r w:rsidRPr="00B90C33">
                            <w:rPr>
                              <w:szCs w:val="24"/>
                            </w:rPr>
                            <w:t>17</w:t>
                          </w:r>
                        </w:p>
                        <w:p w14:paraId="343182D0" w14:textId="77777777" w:rsidR="002131AC" w:rsidRPr="00B90C33" w:rsidRDefault="002131AC" w:rsidP="00073223">
                          <w:pPr>
                            <w:jc w:val="right"/>
                            <w:rPr>
                              <w:szCs w:val="24"/>
                            </w:rPr>
                          </w:pPr>
                          <w:r w:rsidRPr="00B90C33">
                            <w:rPr>
                              <w:szCs w:val="24"/>
                            </w:rPr>
                            <w:t>18</w:t>
                          </w:r>
                        </w:p>
                        <w:p w14:paraId="6A742EFD" w14:textId="77777777" w:rsidR="002131AC" w:rsidRPr="00B90C33" w:rsidRDefault="002131AC" w:rsidP="00073223">
                          <w:pPr>
                            <w:jc w:val="right"/>
                            <w:rPr>
                              <w:szCs w:val="24"/>
                            </w:rPr>
                          </w:pPr>
                          <w:r w:rsidRPr="00B90C33">
                            <w:rPr>
                              <w:szCs w:val="24"/>
                            </w:rPr>
                            <w:t>19</w:t>
                          </w:r>
                        </w:p>
                        <w:p w14:paraId="063BA06B" w14:textId="77777777" w:rsidR="002131AC" w:rsidRPr="00B90C33" w:rsidRDefault="002131AC" w:rsidP="00073223">
                          <w:pPr>
                            <w:jc w:val="right"/>
                            <w:rPr>
                              <w:szCs w:val="24"/>
                            </w:rPr>
                          </w:pPr>
                          <w:r w:rsidRPr="00B90C33">
                            <w:rPr>
                              <w:szCs w:val="24"/>
                            </w:rPr>
                            <w:t>20</w:t>
                          </w:r>
                        </w:p>
                        <w:p w14:paraId="3885C9B1" w14:textId="77777777" w:rsidR="002131AC" w:rsidRPr="00B90C33" w:rsidRDefault="002131AC" w:rsidP="00073223">
                          <w:pPr>
                            <w:jc w:val="right"/>
                            <w:rPr>
                              <w:szCs w:val="24"/>
                            </w:rPr>
                          </w:pPr>
                          <w:r w:rsidRPr="00B90C33">
                            <w:rPr>
                              <w:szCs w:val="24"/>
                            </w:rPr>
                            <w:t>21</w:t>
                          </w:r>
                        </w:p>
                        <w:p w14:paraId="7F975434" w14:textId="77777777" w:rsidR="002131AC" w:rsidRPr="00B90C33" w:rsidRDefault="002131AC" w:rsidP="00073223">
                          <w:pPr>
                            <w:jc w:val="right"/>
                            <w:rPr>
                              <w:szCs w:val="24"/>
                            </w:rPr>
                          </w:pPr>
                          <w:r w:rsidRPr="00B90C33">
                            <w:rPr>
                              <w:szCs w:val="24"/>
                            </w:rPr>
                            <w:t>22</w:t>
                          </w:r>
                        </w:p>
                        <w:p w14:paraId="6B8644FA" w14:textId="77777777" w:rsidR="002131AC" w:rsidRPr="00B90C33" w:rsidRDefault="002131AC" w:rsidP="00073223">
                          <w:pPr>
                            <w:jc w:val="right"/>
                            <w:rPr>
                              <w:szCs w:val="24"/>
                            </w:rPr>
                          </w:pPr>
                          <w:r w:rsidRPr="00B90C33">
                            <w:rPr>
                              <w:szCs w:val="24"/>
                            </w:rPr>
                            <w:t>23</w:t>
                          </w:r>
                        </w:p>
                        <w:p w14:paraId="19110EDA" w14:textId="77777777" w:rsidR="002131AC" w:rsidRPr="00B90C33" w:rsidRDefault="002131AC" w:rsidP="00073223">
                          <w:pPr>
                            <w:jc w:val="right"/>
                            <w:rPr>
                              <w:szCs w:val="24"/>
                            </w:rPr>
                          </w:pPr>
                          <w:r w:rsidRPr="00B90C33">
                            <w:rPr>
                              <w:szCs w:val="24"/>
                            </w:rPr>
                            <w:t>24</w:t>
                          </w:r>
                        </w:p>
                        <w:p w14:paraId="3E73878E" w14:textId="77777777" w:rsidR="002131AC" w:rsidRPr="00B90C33" w:rsidRDefault="002131AC" w:rsidP="00073223">
                          <w:pPr>
                            <w:jc w:val="right"/>
                            <w:rPr>
                              <w:szCs w:val="24"/>
                            </w:rPr>
                          </w:pPr>
                          <w:r w:rsidRPr="00B90C33">
                            <w:rPr>
                              <w:szCs w:val="24"/>
                            </w:rPr>
                            <w:t>25</w:t>
                          </w:r>
                        </w:p>
                        <w:p w14:paraId="71241B90" w14:textId="77777777" w:rsidR="002131AC" w:rsidRPr="00B90C33" w:rsidRDefault="002131AC" w:rsidP="00073223">
                          <w:pPr>
                            <w:jc w:val="right"/>
                            <w:rPr>
                              <w:szCs w:val="24"/>
                            </w:rPr>
                          </w:pPr>
                          <w:r w:rsidRPr="00B90C33">
                            <w:rPr>
                              <w:szCs w:val="24"/>
                            </w:rPr>
                            <w:t>26</w:t>
                          </w:r>
                        </w:p>
                        <w:p w14:paraId="1142605F" w14:textId="77777777" w:rsidR="002131AC" w:rsidRPr="00B90C33" w:rsidRDefault="002131AC" w:rsidP="00073223">
                          <w:pPr>
                            <w:jc w:val="right"/>
                            <w:rPr>
                              <w:szCs w:val="24"/>
                            </w:rPr>
                          </w:pPr>
                          <w:r w:rsidRPr="00B90C33">
                            <w:rPr>
                              <w:szCs w:val="24"/>
                            </w:rPr>
                            <w:t>27</w:t>
                          </w:r>
                        </w:p>
                        <w:p w14:paraId="3A77D622" w14:textId="77777777" w:rsidR="002131AC" w:rsidRPr="00B90C33" w:rsidRDefault="002131AC" w:rsidP="00073223">
                          <w:pPr>
                            <w:jc w:val="right"/>
                            <w:rPr>
                              <w:szCs w:val="24"/>
                            </w:rPr>
                          </w:pPr>
                          <w:r w:rsidRPr="00B90C33">
                            <w:rPr>
                              <w:szCs w:val="24"/>
                            </w:rPr>
                            <w:t>28</w:t>
                          </w:r>
                        </w:p>
                        <w:p w14:paraId="225EA3FB" w14:textId="77777777" w:rsidR="002131AC" w:rsidRPr="00B90C33" w:rsidRDefault="002131AC" w:rsidP="00073223">
                          <w:pPr>
                            <w:jc w:val="right"/>
                            <w:rPr>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962A91A" id="_x0000_t202" coordsize="21600,21600" o:spt="202" path="m,l,21600r21600,l21600,xe">
              <v:stroke joinstyle="miter"/>
              <v:path gradientshapeok="t" o:connecttype="rect"/>
            </v:shapetype>
            <v:shape id="Text Box 6" o:spid="_x0000_s1026" type="#_x0000_t202" style="position:absolute;margin-left:-57.15pt;margin-top:0;width:36pt;height:9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" o:allowincell="f" stroked="f">
              <v:textbox inset="0,0,0,0">
                <w:txbxContent>
                  <w:p w14:paraId="368C8CBC" w14:textId="77777777" w:rsidR="002131AC" w:rsidRPr="00B90C33" w:rsidRDefault="002131AC" w:rsidP="00073223">
                    <w:pPr>
                      <w:jc w:val="right"/>
                      <w:rPr>
                        <w:szCs w:val="24"/>
                      </w:rPr>
                    </w:pPr>
                    <w:r w:rsidRPr="00B90C33">
                      <w:rPr>
                        <w:szCs w:val="24"/>
                      </w:rPr>
                      <w:t>1</w:t>
                    </w:r>
                  </w:p>
                  <w:p w14:paraId="48FFD16D" w14:textId="77777777" w:rsidR="002131AC" w:rsidRPr="00B90C33" w:rsidRDefault="002131AC" w:rsidP="00073223">
                    <w:pPr>
                      <w:jc w:val="right"/>
                      <w:rPr>
                        <w:szCs w:val="24"/>
                      </w:rPr>
                    </w:pPr>
                    <w:r w:rsidRPr="00B90C33">
                      <w:rPr>
                        <w:szCs w:val="24"/>
                      </w:rPr>
                      <w:t>2</w:t>
                    </w:r>
                  </w:p>
                  <w:p w14:paraId="1912273B" w14:textId="77777777" w:rsidR="002131AC" w:rsidRPr="00B90C33" w:rsidRDefault="002131AC" w:rsidP="00073223">
                    <w:pPr>
                      <w:jc w:val="right"/>
                      <w:rPr>
                        <w:szCs w:val="24"/>
                      </w:rPr>
                    </w:pPr>
                    <w:r w:rsidRPr="00B90C33">
                      <w:rPr>
                        <w:szCs w:val="24"/>
                      </w:rPr>
                      <w:t>3</w:t>
                    </w:r>
                  </w:p>
                  <w:p w14:paraId="6877B3BC" w14:textId="77777777" w:rsidR="002131AC" w:rsidRPr="00B90C33" w:rsidRDefault="002131AC" w:rsidP="00073223">
                    <w:pPr>
                      <w:jc w:val="right"/>
                      <w:rPr>
                        <w:szCs w:val="24"/>
                      </w:rPr>
                    </w:pPr>
                    <w:r w:rsidRPr="00B90C33">
                      <w:rPr>
                        <w:szCs w:val="24"/>
                      </w:rPr>
                      <w:t>4</w:t>
                    </w:r>
                  </w:p>
                  <w:p w14:paraId="53372111" w14:textId="77777777" w:rsidR="002131AC" w:rsidRPr="00B90C33" w:rsidRDefault="002131AC" w:rsidP="00073223">
                    <w:pPr>
                      <w:jc w:val="right"/>
                      <w:rPr>
                        <w:szCs w:val="24"/>
                      </w:rPr>
                    </w:pPr>
                    <w:r w:rsidRPr="00B90C33">
                      <w:rPr>
                        <w:szCs w:val="24"/>
                      </w:rPr>
                      <w:t>5</w:t>
                    </w:r>
                  </w:p>
                  <w:p w14:paraId="04FC66FD" w14:textId="77777777" w:rsidR="002131AC" w:rsidRPr="00B90C33" w:rsidRDefault="002131AC" w:rsidP="00073223">
                    <w:pPr>
                      <w:jc w:val="right"/>
                      <w:rPr>
                        <w:szCs w:val="24"/>
                      </w:rPr>
                    </w:pPr>
                    <w:r w:rsidRPr="00B90C33">
                      <w:rPr>
                        <w:szCs w:val="24"/>
                      </w:rPr>
                      <w:t>6</w:t>
                    </w:r>
                  </w:p>
                  <w:p w14:paraId="6207BB45" w14:textId="77777777" w:rsidR="002131AC" w:rsidRPr="00B90C33" w:rsidRDefault="002131AC" w:rsidP="00073223">
                    <w:pPr>
                      <w:jc w:val="right"/>
                      <w:rPr>
                        <w:szCs w:val="24"/>
                      </w:rPr>
                    </w:pPr>
                    <w:r w:rsidRPr="00B90C33">
                      <w:rPr>
                        <w:szCs w:val="24"/>
                      </w:rPr>
                      <w:t>7</w:t>
                    </w:r>
                  </w:p>
                  <w:p w14:paraId="5DA82B38" w14:textId="77777777" w:rsidR="002131AC" w:rsidRPr="00B90C33" w:rsidRDefault="002131AC" w:rsidP="00073223">
                    <w:pPr>
                      <w:jc w:val="right"/>
                      <w:rPr>
                        <w:szCs w:val="24"/>
                      </w:rPr>
                    </w:pPr>
                    <w:r w:rsidRPr="00B90C33">
                      <w:rPr>
                        <w:szCs w:val="24"/>
                      </w:rPr>
                      <w:t>8</w:t>
                    </w:r>
                  </w:p>
                  <w:p w14:paraId="178EE56D" w14:textId="77777777" w:rsidR="002131AC" w:rsidRPr="00B90C33" w:rsidRDefault="002131AC" w:rsidP="00073223">
                    <w:pPr>
                      <w:jc w:val="right"/>
                      <w:rPr>
                        <w:szCs w:val="24"/>
                      </w:rPr>
                    </w:pPr>
                    <w:r w:rsidRPr="00B90C33">
                      <w:rPr>
                        <w:szCs w:val="24"/>
                      </w:rPr>
                      <w:t>9</w:t>
                    </w:r>
                  </w:p>
                  <w:p w14:paraId="60045785" w14:textId="77777777" w:rsidR="002131AC" w:rsidRPr="00B90C33" w:rsidRDefault="002131AC" w:rsidP="00073223">
                    <w:pPr>
                      <w:jc w:val="right"/>
                      <w:rPr>
                        <w:szCs w:val="24"/>
                      </w:rPr>
                    </w:pPr>
                    <w:r w:rsidRPr="00B90C33">
                      <w:rPr>
                        <w:szCs w:val="24"/>
                      </w:rPr>
                      <w:t>10</w:t>
                    </w:r>
                  </w:p>
                  <w:p w14:paraId="219E69C0" w14:textId="77777777" w:rsidR="002131AC" w:rsidRPr="00B90C33" w:rsidRDefault="002131AC" w:rsidP="00073223">
                    <w:pPr>
                      <w:jc w:val="right"/>
                      <w:rPr>
                        <w:szCs w:val="24"/>
                      </w:rPr>
                    </w:pPr>
                    <w:r w:rsidRPr="00B90C33">
                      <w:rPr>
                        <w:szCs w:val="24"/>
                      </w:rPr>
                      <w:t>11</w:t>
                    </w:r>
                  </w:p>
                  <w:p w14:paraId="554BBBD2" w14:textId="77777777" w:rsidR="002131AC" w:rsidRPr="00B90C33" w:rsidRDefault="002131AC" w:rsidP="00073223">
                    <w:pPr>
                      <w:jc w:val="right"/>
                      <w:rPr>
                        <w:szCs w:val="24"/>
                      </w:rPr>
                    </w:pPr>
                    <w:r w:rsidRPr="00B90C33">
                      <w:rPr>
                        <w:szCs w:val="24"/>
                      </w:rPr>
                      <w:t>12</w:t>
                    </w:r>
                  </w:p>
                  <w:p w14:paraId="557155A8" w14:textId="77777777" w:rsidR="002131AC" w:rsidRPr="00B90C33" w:rsidRDefault="002131AC" w:rsidP="00073223">
                    <w:pPr>
                      <w:jc w:val="right"/>
                      <w:rPr>
                        <w:szCs w:val="24"/>
                      </w:rPr>
                    </w:pPr>
                    <w:r w:rsidRPr="00B90C33">
                      <w:rPr>
                        <w:szCs w:val="24"/>
                      </w:rPr>
                      <w:t>13</w:t>
                    </w:r>
                  </w:p>
                  <w:p w14:paraId="77EFFD39" w14:textId="77777777" w:rsidR="002131AC" w:rsidRPr="00B90C33" w:rsidRDefault="002131AC" w:rsidP="00073223">
                    <w:pPr>
                      <w:jc w:val="right"/>
                      <w:rPr>
                        <w:szCs w:val="24"/>
                      </w:rPr>
                    </w:pPr>
                    <w:r w:rsidRPr="00B90C33">
                      <w:rPr>
                        <w:szCs w:val="24"/>
                      </w:rPr>
                      <w:t>14</w:t>
                    </w:r>
                  </w:p>
                  <w:p w14:paraId="4CD262D3" w14:textId="77777777" w:rsidR="002131AC" w:rsidRPr="00B90C33" w:rsidRDefault="002131AC" w:rsidP="00073223">
                    <w:pPr>
                      <w:jc w:val="right"/>
                      <w:rPr>
                        <w:szCs w:val="24"/>
                      </w:rPr>
                    </w:pPr>
                    <w:r w:rsidRPr="00B90C33">
                      <w:rPr>
                        <w:szCs w:val="24"/>
                      </w:rPr>
                      <w:t>15</w:t>
                    </w:r>
                  </w:p>
                  <w:p w14:paraId="3E2620E1" w14:textId="77777777" w:rsidR="002131AC" w:rsidRPr="00B90C33" w:rsidRDefault="002131AC" w:rsidP="00073223">
                    <w:pPr>
                      <w:jc w:val="right"/>
                      <w:rPr>
                        <w:szCs w:val="24"/>
                      </w:rPr>
                    </w:pPr>
                    <w:r w:rsidRPr="00B90C33">
                      <w:rPr>
                        <w:szCs w:val="24"/>
                      </w:rPr>
                      <w:t>16</w:t>
                    </w:r>
                  </w:p>
                  <w:p w14:paraId="57C8249D" w14:textId="77777777" w:rsidR="002131AC" w:rsidRPr="00B90C33" w:rsidRDefault="002131AC" w:rsidP="00073223">
                    <w:pPr>
                      <w:jc w:val="right"/>
                      <w:rPr>
                        <w:szCs w:val="24"/>
                      </w:rPr>
                    </w:pPr>
                    <w:r w:rsidRPr="00B90C33">
                      <w:rPr>
                        <w:szCs w:val="24"/>
                      </w:rPr>
                      <w:t>17</w:t>
                    </w:r>
                  </w:p>
                  <w:p w14:paraId="343182D0" w14:textId="77777777" w:rsidR="002131AC" w:rsidRPr="00B90C33" w:rsidRDefault="002131AC" w:rsidP="00073223">
                    <w:pPr>
                      <w:jc w:val="right"/>
                      <w:rPr>
                        <w:szCs w:val="24"/>
                      </w:rPr>
                    </w:pPr>
                    <w:r w:rsidRPr="00B90C33">
                      <w:rPr>
                        <w:szCs w:val="24"/>
                      </w:rPr>
                      <w:t>18</w:t>
                    </w:r>
                  </w:p>
                  <w:p w14:paraId="6A742EFD" w14:textId="77777777" w:rsidR="002131AC" w:rsidRPr="00B90C33" w:rsidRDefault="002131AC" w:rsidP="00073223">
                    <w:pPr>
                      <w:jc w:val="right"/>
                      <w:rPr>
                        <w:szCs w:val="24"/>
                      </w:rPr>
                    </w:pPr>
                    <w:r w:rsidRPr="00B90C33">
                      <w:rPr>
                        <w:szCs w:val="24"/>
                      </w:rPr>
                      <w:t>19</w:t>
                    </w:r>
                  </w:p>
                  <w:p w14:paraId="063BA06B" w14:textId="77777777" w:rsidR="002131AC" w:rsidRPr="00B90C33" w:rsidRDefault="002131AC" w:rsidP="00073223">
                    <w:pPr>
                      <w:jc w:val="right"/>
                      <w:rPr>
                        <w:szCs w:val="24"/>
                      </w:rPr>
                    </w:pPr>
                    <w:r w:rsidRPr="00B90C33">
                      <w:rPr>
                        <w:szCs w:val="24"/>
                      </w:rPr>
                      <w:t>20</w:t>
                    </w:r>
                  </w:p>
                  <w:p w14:paraId="3885C9B1" w14:textId="77777777" w:rsidR="002131AC" w:rsidRPr="00B90C33" w:rsidRDefault="002131AC" w:rsidP="00073223">
                    <w:pPr>
                      <w:jc w:val="right"/>
                      <w:rPr>
                        <w:szCs w:val="24"/>
                      </w:rPr>
                    </w:pPr>
                    <w:r w:rsidRPr="00B90C33">
                      <w:rPr>
                        <w:szCs w:val="24"/>
                      </w:rPr>
                      <w:t>21</w:t>
                    </w:r>
                  </w:p>
                  <w:p w14:paraId="7F975434" w14:textId="77777777" w:rsidR="002131AC" w:rsidRPr="00B90C33" w:rsidRDefault="002131AC" w:rsidP="00073223">
                    <w:pPr>
                      <w:jc w:val="right"/>
                      <w:rPr>
                        <w:szCs w:val="24"/>
                      </w:rPr>
                    </w:pPr>
                    <w:r w:rsidRPr="00B90C33">
                      <w:rPr>
                        <w:szCs w:val="24"/>
                      </w:rPr>
                      <w:t>22</w:t>
                    </w:r>
                  </w:p>
                  <w:p w14:paraId="6B8644FA" w14:textId="77777777" w:rsidR="002131AC" w:rsidRPr="00B90C33" w:rsidRDefault="002131AC" w:rsidP="00073223">
                    <w:pPr>
                      <w:jc w:val="right"/>
                      <w:rPr>
                        <w:szCs w:val="24"/>
                      </w:rPr>
                    </w:pPr>
                    <w:r w:rsidRPr="00B90C33">
                      <w:rPr>
                        <w:szCs w:val="24"/>
                      </w:rPr>
                      <w:t>23</w:t>
                    </w:r>
                  </w:p>
                  <w:p w14:paraId="19110EDA" w14:textId="77777777" w:rsidR="002131AC" w:rsidRPr="00B90C33" w:rsidRDefault="002131AC" w:rsidP="00073223">
                    <w:pPr>
                      <w:jc w:val="right"/>
                      <w:rPr>
                        <w:szCs w:val="24"/>
                      </w:rPr>
                    </w:pPr>
                    <w:r w:rsidRPr="00B90C33">
                      <w:rPr>
                        <w:szCs w:val="24"/>
                      </w:rPr>
                      <w:t>24</w:t>
                    </w:r>
                  </w:p>
                  <w:p w14:paraId="3E73878E" w14:textId="77777777" w:rsidR="002131AC" w:rsidRPr="00B90C33" w:rsidRDefault="002131AC" w:rsidP="00073223">
                    <w:pPr>
                      <w:jc w:val="right"/>
                      <w:rPr>
                        <w:szCs w:val="24"/>
                      </w:rPr>
                    </w:pPr>
                    <w:r w:rsidRPr="00B90C33">
                      <w:rPr>
                        <w:szCs w:val="24"/>
                      </w:rPr>
                      <w:t>25</w:t>
                    </w:r>
                  </w:p>
                  <w:p w14:paraId="71241B90" w14:textId="77777777" w:rsidR="002131AC" w:rsidRPr="00B90C33" w:rsidRDefault="002131AC" w:rsidP="00073223">
                    <w:pPr>
                      <w:jc w:val="right"/>
                      <w:rPr>
                        <w:szCs w:val="24"/>
                      </w:rPr>
                    </w:pPr>
                    <w:r w:rsidRPr="00B90C33">
                      <w:rPr>
                        <w:szCs w:val="24"/>
                      </w:rPr>
                      <w:t>26</w:t>
                    </w:r>
                  </w:p>
                  <w:p w14:paraId="1142605F" w14:textId="77777777" w:rsidR="002131AC" w:rsidRPr="00B90C33" w:rsidRDefault="002131AC" w:rsidP="00073223">
                    <w:pPr>
                      <w:jc w:val="right"/>
                      <w:rPr>
                        <w:szCs w:val="24"/>
                      </w:rPr>
                    </w:pPr>
                    <w:r w:rsidRPr="00B90C33">
                      <w:rPr>
                        <w:szCs w:val="24"/>
                      </w:rPr>
                      <w:t>27</w:t>
                    </w:r>
                  </w:p>
                  <w:p w14:paraId="3A77D622" w14:textId="77777777" w:rsidR="002131AC" w:rsidRPr="00B90C33" w:rsidRDefault="002131AC" w:rsidP="00073223">
                    <w:pPr>
                      <w:jc w:val="right"/>
                      <w:rPr>
                        <w:szCs w:val="24"/>
                      </w:rPr>
                    </w:pPr>
                    <w:r w:rsidRPr="00B90C33">
                      <w:rPr>
                        <w:szCs w:val="24"/>
                      </w:rPr>
                      <w:t>28</w:t>
                    </w:r>
                  </w:p>
                  <w:p w14:paraId="225EA3FB" w14:textId="77777777" w:rsidR="002131AC" w:rsidRPr="00B90C33" w:rsidRDefault="002131AC" w:rsidP="00073223">
                    <w:pPr>
                      <w:jc w:val="right"/>
                      <w:rPr>
                        <w:szCs w:val="24"/>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AF2"/>
    <w:multiLevelType w:val="hybridMultilevel"/>
    <w:tmpl w:val="604A762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5E25AC"/>
    <w:multiLevelType w:val="hybridMultilevel"/>
    <w:tmpl w:val="5080A0FE"/>
    <w:lvl w:ilvl="0" w:tplc="B6706628">
      <w:start w:val="1"/>
      <w:numFmt w:val="decimal"/>
      <w:pStyle w:val="Heading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0435D"/>
    <w:multiLevelType w:val="hybridMultilevel"/>
    <w:tmpl w:val="D93688B6"/>
    <w:lvl w:ilvl="0" w:tplc="59EAC9E0">
      <w:start w:val="1"/>
      <w:numFmt w:val="upperRoman"/>
      <w:pStyle w:val="Heading2"/>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7328F"/>
    <w:multiLevelType w:val="hybridMultilevel"/>
    <w:tmpl w:val="79CE6F3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65BE8"/>
    <w:multiLevelType w:val="hybridMultilevel"/>
    <w:tmpl w:val="F202F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F1A5F"/>
    <w:multiLevelType w:val="hybridMultilevel"/>
    <w:tmpl w:val="C5F49FEA"/>
    <w:lvl w:ilvl="0" w:tplc="7D1C3EC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804403F"/>
    <w:multiLevelType w:val="hybridMultilevel"/>
    <w:tmpl w:val="9BF0C5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8528A9"/>
    <w:multiLevelType w:val="hybridMultilevel"/>
    <w:tmpl w:val="E4703CF0"/>
    <w:lvl w:ilvl="0" w:tplc="73866A7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E325B4"/>
    <w:multiLevelType w:val="hybridMultilevel"/>
    <w:tmpl w:val="58A085CC"/>
    <w:lvl w:ilvl="0" w:tplc="472E2F4A">
      <w:start w:val="1"/>
      <w:numFmt w:val="upperLetter"/>
      <w:pStyle w:val="Heading3"/>
      <w:lvlText w:val="%1."/>
      <w:lvlJc w:val="left"/>
      <w:pPr>
        <w:ind w:left="21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3A20DB3"/>
    <w:multiLevelType w:val="hybridMultilevel"/>
    <w:tmpl w:val="0658D76A"/>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ADC5767"/>
    <w:multiLevelType w:val="hybridMultilevel"/>
    <w:tmpl w:val="7340C2E6"/>
    <w:lvl w:ilvl="0" w:tplc="5CACB538">
      <w:start w:val="1"/>
      <w:numFmt w:val="upperRoman"/>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50825054">
    <w:abstractNumId w:val="2"/>
  </w:num>
  <w:num w:numId="2" w16cid:durableId="809440734">
    <w:abstractNumId w:val="1"/>
  </w:num>
  <w:num w:numId="3" w16cid:durableId="1658151601">
    <w:abstractNumId w:val="8"/>
  </w:num>
  <w:num w:numId="4" w16cid:durableId="2147044308">
    <w:abstractNumId w:val="6"/>
  </w:num>
  <w:num w:numId="5" w16cid:durableId="662122912">
    <w:abstractNumId w:val="4"/>
  </w:num>
  <w:num w:numId="6" w16cid:durableId="519591983">
    <w:abstractNumId w:val="5"/>
  </w:num>
  <w:num w:numId="7" w16cid:durableId="2086494442">
    <w:abstractNumId w:val="7"/>
  </w:num>
  <w:num w:numId="8" w16cid:durableId="22637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680628">
    <w:abstractNumId w:val="9"/>
  </w:num>
  <w:num w:numId="10" w16cid:durableId="60717822">
    <w:abstractNumId w:val="9"/>
  </w:num>
  <w:num w:numId="11" w16cid:durableId="2089616224">
    <w:abstractNumId w:val="3"/>
  </w:num>
  <w:num w:numId="12" w16cid:durableId="158395453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C5"/>
    <w:rsid w:val="00000427"/>
    <w:rsid w:val="00003FEE"/>
    <w:rsid w:val="000048BF"/>
    <w:rsid w:val="00005C20"/>
    <w:rsid w:val="000111E3"/>
    <w:rsid w:val="000121EB"/>
    <w:rsid w:val="00012BA1"/>
    <w:rsid w:val="00015546"/>
    <w:rsid w:val="000155BA"/>
    <w:rsid w:val="00015C19"/>
    <w:rsid w:val="000164B3"/>
    <w:rsid w:val="0001770B"/>
    <w:rsid w:val="00017CCF"/>
    <w:rsid w:val="0002019C"/>
    <w:rsid w:val="000205F4"/>
    <w:rsid w:val="00022563"/>
    <w:rsid w:val="0002374B"/>
    <w:rsid w:val="00024CB6"/>
    <w:rsid w:val="00025081"/>
    <w:rsid w:val="0002541D"/>
    <w:rsid w:val="00025744"/>
    <w:rsid w:val="00030C9B"/>
    <w:rsid w:val="00034CBF"/>
    <w:rsid w:val="00036232"/>
    <w:rsid w:val="000367C0"/>
    <w:rsid w:val="00037C1D"/>
    <w:rsid w:val="00040767"/>
    <w:rsid w:val="000417B5"/>
    <w:rsid w:val="00043035"/>
    <w:rsid w:val="00043C4C"/>
    <w:rsid w:val="00045762"/>
    <w:rsid w:val="00045798"/>
    <w:rsid w:val="00047F19"/>
    <w:rsid w:val="00050166"/>
    <w:rsid w:val="00050922"/>
    <w:rsid w:val="0005236E"/>
    <w:rsid w:val="000534D4"/>
    <w:rsid w:val="000547A4"/>
    <w:rsid w:val="0006218C"/>
    <w:rsid w:val="00063EBF"/>
    <w:rsid w:val="00064A7E"/>
    <w:rsid w:val="000657F7"/>
    <w:rsid w:val="00066D7B"/>
    <w:rsid w:val="00067CD0"/>
    <w:rsid w:val="00072258"/>
    <w:rsid w:val="00073223"/>
    <w:rsid w:val="000776A7"/>
    <w:rsid w:val="00080B80"/>
    <w:rsid w:val="00081D84"/>
    <w:rsid w:val="000820A6"/>
    <w:rsid w:val="000831FD"/>
    <w:rsid w:val="0008660B"/>
    <w:rsid w:val="00086F82"/>
    <w:rsid w:val="00087175"/>
    <w:rsid w:val="0009067D"/>
    <w:rsid w:val="0009070D"/>
    <w:rsid w:val="00091BE3"/>
    <w:rsid w:val="0009253C"/>
    <w:rsid w:val="00093997"/>
    <w:rsid w:val="00096BB9"/>
    <w:rsid w:val="0009768F"/>
    <w:rsid w:val="000A31CC"/>
    <w:rsid w:val="000A42B6"/>
    <w:rsid w:val="000A4671"/>
    <w:rsid w:val="000A4AB9"/>
    <w:rsid w:val="000A55ED"/>
    <w:rsid w:val="000A76F1"/>
    <w:rsid w:val="000A7990"/>
    <w:rsid w:val="000A7EEB"/>
    <w:rsid w:val="000B02C9"/>
    <w:rsid w:val="000B172F"/>
    <w:rsid w:val="000B5676"/>
    <w:rsid w:val="000B5778"/>
    <w:rsid w:val="000B5E64"/>
    <w:rsid w:val="000B62F1"/>
    <w:rsid w:val="000B6B14"/>
    <w:rsid w:val="000C0069"/>
    <w:rsid w:val="000C12D6"/>
    <w:rsid w:val="000C23BB"/>
    <w:rsid w:val="000C3B05"/>
    <w:rsid w:val="000C5FBD"/>
    <w:rsid w:val="000C6022"/>
    <w:rsid w:val="000D01E3"/>
    <w:rsid w:val="000D1F95"/>
    <w:rsid w:val="000D283A"/>
    <w:rsid w:val="000D31D1"/>
    <w:rsid w:val="000D3A13"/>
    <w:rsid w:val="000D5B7D"/>
    <w:rsid w:val="000D6F73"/>
    <w:rsid w:val="000E0D30"/>
    <w:rsid w:val="000E1A8A"/>
    <w:rsid w:val="000E1C6A"/>
    <w:rsid w:val="000E3C46"/>
    <w:rsid w:val="000E40AF"/>
    <w:rsid w:val="000E4200"/>
    <w:rsid w:val="000F13EF"/>
    <w:rsid w:val="000F25FC"/>
    <w:rsid w:val="000F2E82"/>
    <w:rsid w:val="000F455E"/>
    <w:rsid w:val="000F5004"/>
    <w:rsid w:val="000F6800"/>
    <w:rsid w:val="000F7067"/>
    <w:rsid w:val="001006CB"/>
    <w:rsid w:val="00100E10"/>
    <w:rsid w:val="00103159"/>
    <w:rsid w:val="00103BD1"/>
    <w:rsid w:val="00103FBB"/>
    <w:rsid w:val="0010459C"/>
    <w:rsid w:val="00104A8D"/>
    <w:rsid w:val="001066C4"/>
    <w:rsid w:val="0010717A"/>
    <w:rsid w:val="0011040D"/>
    <w:rsid w:val="00111EBD"/>
    <w:rsid w:val="001121C6"/>
    <w:rsid w:val="00112380"/>
    <w:rsid w:val="001123C1"/>
    <w:rsid w:val="00112539"/>
    <w:rsid w:val="00112EB0"/>
    <w:rsid w:val="001137FC"/>
    <w:rsid w:val="00113D9B"/>
    <w:rsid w:val="00114345"/>
    <w:rsid w:val="00114768"/>
    <w:rsid w:val="001150FA"/>
    <w:rsid w:val="00116BCE"/>
    <w:rsid w:val="001200EA"/>
    <w:rsid w:val="001218A0"/>
    <w:rsid w:val="00122F41"/>
    <w:rsid w:val="001230DE"/>
    <w:rsid w:val="00124534"/>
    <w:rsid w:val="0012483D"/>
    <w:rsid w:val="0012503D"/>
    <w:rsid w:val="00130201"/>
    <w:rsid w:val="0013289F"/>
    <w:rsid w:val="00133CA9"/>
    <w:rsid w:val="00133EDC"/>
    <w:rsid w:val="00133FBC"/>
    <w:rsid w:val="00136C8D"/>
    <w:rsid w:val="00136EDF"/>
    <w:rsid w:val="001428EE"/>
    <w:rsid w:val="00143023"/>
    <w:rsid w:val="001439DE"/>
    <w:rsid w:val="00143A22"/>
    <w:rsid w:val="00143DCA"/>
    <w:rsid w:val="00145A3D"/>
    <w:rsid w:val="00145A6F"/>
    <w:rsid w:val="00150E4F"/>
    <w:rsid w:val="0015321C"/>
    <w:rsid w:val="00155E32"/>
    <w:rsid w:val="00157F0D"/>
    <w:rsid w:val="0016072B"/>
    <w:rsid w:val="00160B79"/>
    <w:rsid w:val="00162566"/>
    <w:rsid w:val="00162CB6"/>
    <w:rsid w:val="00164F02"/>
    <w:rsid w:val="001679C3"/>
    <w:rsid w:val="00167B5E"/>
    <w:rsid w:val="00170088"/>
    <w:rsid w:val="0017057B"/>
    <w:rsid w:val="00171D9A"/>
    <w:rsid w:val="00173F0A"/>
    <w:rsid w:val="00174B46"/>
    <w:rsid w:val="00176EEC"/>
    <w:rsid w:val="001857B2"/>
    <w:rsid w:val="001858C6"/>
    <w:rsid w:val="001863E9"/>
    <w:rsid w:val="00190EB7"/>
    <w:rsid w:val="00190F21"/>
    <w:rsid w:val="00191F07"/>
    <w:rsid w:val="00192EB4"/>
    <w:rsid w:val="00192F9A"/>
    <w:rsid w:val="001966E5"/>
    <w:rsid w:val="00196A36"/>
    <w:rsid w:val="00197FDA"/>
    <w:rsid w:val="001A02C4"/>
    <w:rsid w:val="001A080D"/>
    <w:rsid w:val="001A0C2D"/>
    <w:rsid w:val="001A0C8D"/>
    <w:rsid w:val="001A3E5A"/>
    <w:rsid w:val="001A4668"/>
    <w:rsid w:val="001A4C25"/>
    <w:rsid w:val="001A6B48"/>
    <w:rsid w:val="001B0F38"/>
    <w:rsid w:val="001B1E68"/>
    <w:rsid w:val="001B215C"/>
    <w:rsid w:val="001B2251"/>
    <w:rsid w:val="001B4F55"/>
    <w:rsid w:val="001B60AA"/>
    <w:rsid w:val="001C16B1"/>
    <w:rsid w:val="001C1DF3"/>
    <w:rsid w:val="001C2125"/>
    <w:rsid w:val="001C25DE"/>
    <w:rsid w:val="001C30B7"/>
    <w:rsid w:val="001C3232"/>
    <w:rsid w:val="001C5EA3"/>
    <w:rsid w:val="001C79FA"/>
    <w:rsid w:val="001D0915"/>
    <w:rsid w:val="001D1828"/>
    <w:rsid w:val="001D2433"/>
    <w:rsid w:val="001D3A5B"/>
    <w:rsid w:val="001D3D2D"/>
    <w:rsid w:val="001D5197"/>
    <w:rsid w:val="001D5784"/>
    <w:rsid w:val="001D6CB3"/>
    <w:rsid w:val="001D717E"/>
    <w:rsid w:val="001E0A33"/>
    <w:rsid w:val="001E0DDF"/>
    <w:rsid w:val="001E72FE"/>
    <w:rsid w:val="001F021C"/>
    <w:rsid w:val="001F0F8E"/>
    <w:rsid w:val="001F16D2"/>
    <w:rsid w:val="001F18FA"/>
    <w:rsid w:val="001F1998"/>
    <w:rsid w:val="001F19C9"/>
    <w:rsid w:val="001F5A35"/>
    <w:rsid w:val="001F5ED8"/>
    <w:rsid w:val="001F7414"/>
    <w:rsid w:val="00201BDD"/>
    <w:rsid w:val="00206003"/>
    <w:rsid w:val="00206C6A"/>
    <w:rsid w:val="00207870"/>
    <w:rsid w:val="002113C3"/>
    <w:rsid w:val="00212C12"/>
    <w:rsid w:val="002131AC"/>
    <w:rsid w:val="00213A31"/>
    <w:rsid w:val="00214AC2"/>
    <w:rsid w:val="00216D13"/>
    <w:rsid w:val="002172D5"/>
    <w:rsid w:val="00217967"/>
    <w:rsid w:val="002204A4"/>
    <w:rsid w:val="00226080"/>
    <w:rsid w:val="002266B1"/>
    <w:rsid w:val="00226DAC"/>
    <w:rsid w:val="00226EA1"/>
    <w:rsid w:val="00230750"/>
    <w:rsid w:val="00231229"/>
    <w:rsid w:val="00233042"/>
    <w:rsid w:val="002334FA"/>
    <w:rsid w:val="00233755"/>
    <w:rsid w:val="00234A4E"/>
    <w:rsid w:val="00237271"/>
    <w:rsid w:val="00243057"/>
    <w:rsid w:val="002435A3"/>
    <w:rsid w:val="00243CD2"/>
    <w:rsid w:val="00244A36"/>
    <w:rsid w:val="00247EE5"/>
    <w:rsid w:val="00252DEB"/>
    <w:rsid w:val="0025481E"/>
    <w:rsid w:val="00256632"/>
    <w:rsid w:val="00256AAE"/>
    <w:rsid w:val="00260BEA"/>
    <w:rsid w:val="00260DDE"/>
    <w:rsid w:val="002635CC"/>
    <w:rsid w:val="00265149"/>
    <w:rsid w:val="002654B1"/>
    <w:rsid w:val="002671A6"/>
    <w:rsid w:val="00267D4C"/>
    <w:rsid w:val="002713C6"/>
    <w:rsid w:val="00272A5C"/>
    <w:rsid w:val="00273D96"/>
    <w:rsid w:val="0027605E"/>
    <w:rsid w:val="00276D37"/>
    <w:rsid w:val="00280B8D"/>
    <w:rsid w:val="00280E47"/>
    <w:rsid w:val="0028170C"/>
    <w:rsid w:val="00282738"/>
    <w:rsid w:val="00283169"/>
    <w:rsid w:val="00283D5C"/>
    <w:rsid w:val="0028470E"/>
    <w:rsid w:val="002849E9"/>
    <w:rsid w:val="00287065"/>
    <w:rsid w:val="00291210"/>
    <w:rsid w:val="0029230C"/>
    <w:rsid w:val="0029280F"/>
    <w:rsid w:val="00293B16"/>
    <w:rsid w:val="002942A3"/>
    <w:rsid w:val="00294673"/>
    <w:rsid w:val="00295164"/>
    <w:rsid w:val="00296DE9"/>
    <w:rsid w:val="002A1BBF"/>
    <w:rsid w:val="002A4371"/>
    <w:rsid w:val="002A497D"/>
    <w:rsid w:val="002A685F"/>
    <w:rsid w:val="002B0822"/>
    <w:rsid w:val="002B096C"/>
    <w:rsid w:val="002B451A"/>
    <w:rsid w:val="002B504E"/>
    <w:rsid w:val="002C1913"/>
    <w:rsid w:val="002C54F5"/>
    <w:rsid w:val="002C7AEA"/>
    <w:rsid w:val="002C7C39"/>
    <w:rsid w:val="002D0A6C"/>
    <w:rsid w:val="002D3324"/>
    <w:rsid w:val="002D3457"/>
    <w:rsid w:val="002D5510"/>
    <w:rsid w:val="002D6D8F"/>
    <w:rsid w:val="002E2A5F"/>
    <w:rsid w:val="002E2D28"/>
    <w:rsid w:val="002E4AE1"/>
    <w:rsid w:val="002E540A"/>
    <w:rsid w:val="002E60A0"/>
    <w:rsid w:val="002E7C9B"/>
    <w:rsid w:val="002E7F34"/>
    <w:rsid w:val="002F0714"/>
    <w:rsid w:val="002F0EAA"/>
    <w:rsid w:val="002F0EE7"/>
    <w:rsid w:val="002F2A04"/>
    <w:rsid w:val="002F660B"/>
    <w:rsid w:val="002F6D86"/>
    <w:rsid w:val="002F7758"/>
    <w:rsid w:val="002F7775"/>
    <w:rsid w:val="002F7D02"/>
    <w:rsid w:val="003003F9"/>
    <w:rsid w:val="003076F5"/>
    <w:rsid w:val="003115E0"/>
    <w:rsid w:val="00312255"/>
    <w:rsid w:val="003132DE"/>
    <w:rsid w:val="00313AB6"/>
    <w:rsid w:val="003150FB"/>
    <w:rsid w:val="00315297"/>
    <w:rsid w:val="00321A2B"/>
    <w:rsid w:val="00325636"/>
    <w:rsid w:val="00326FC1"/>
    <w:rsid w:val="00330F31"/>
    <w:rsid w:val="0033192F"/>
    <w:rsid w:val="00333396"/>
    <w:rsid w:val="00333F6E"/>
    <w:rsid w:val="00334F36"/>
    <w:rsid w:val="00336211"/>
    <w:rsid w:val="00340C95"/>
    <w:rsid w:val="00342F1C"/>
    <w:rsid w:val="00345213"/>
    <w:rsid w:val="003476AA"/>
    <w:rsid w:val="00350E79"/>
    <w:rsid w:val="0035655D"/>
    <w:rsid w:val="003573F8"/>
    <w:rsid w:val="003600A0"/>
    <w:rsid w:val="00360732"/>
    <w:rsid w:val="00362FC6"/>
    <w:rsid w:val="0036352C"/>
    <w:rsid w:val="00363D1F"/>
    <w:rsid w:val="003701C8"/>
    <w:rsid w:val="00370A31"/>
    <w:rsid w:val="00375838"/>
    <w:rsid w:val="00377D9B"/>
    <w:rsid w:val="00380484"/>
    <w:rsid w:val="00380800"/>
    <w:rsid w:val="00382362"/>
    <w:rsid w:val="003834A6"/>
    <w:rsid w:val="00383807"/>
    <w:rsid w:val="00384692"/>
    <w:rsid w:val="00384C25"/>
    <w:rsid w:val="00386179"/>
    <w:rsid w:val="00386221"/>
    <w:rsid w:val="00390EF5"/>
    <w:rsid w:val="003926E2"/>
    <w:rsid w:val="0039327F"/>
    <w:rsid w:val="00397565"/>
    <w:rsid w:val="00397FA9"/>
    <w:rsid w:val="00397FC0"/>
    <w:rsid w:val="003A160A"/>
    <w:rsid w:val="003A60AB"/>
    <w:rsid w:val="003A7F9D"/>
    <w:rsid w:val="003B127C"/>
    <w:rsid w:val="003B1C91"/>
    <w:rsid w:val="003B29C9"/>
    <w:rsid w:val="003B3555"/>
    <w:rsid w:val="003B4CCD"/>
    <w:rsid w:val="003B63E1"/>
    <w:rsid w:val="003B75CA"/>
    <w:rsid w:val="003C0926"/>
    <w:rsid w:val="003C4013"/>
    <w:rsid w:val="003C4A4C"/>
    <w:rsid w:val="003C573B"/>
    <w:rsid w:val="003C7085"/>
    <w:rsid w:val="003D0219"/>
    <w:rsid w:val="003D16ED"/>
    <w:rsid w:val="003D2B1D"/>
    <w:rsid w:val="003D38F6"/>
    <w:rsid w:val="003D4519"/>
    <w:rsid w:val="003D5241"/>
    <w:rsid w:val="003D6B6B"/>
    <w:rsid w:val="003E2E0C"/>
    <w:rsid w:val="003E32B7"/>
    <w:rsid w:val="003E3C61"/>
    <w:rsid w:val="003E3FA1"/>
    <w:rsid w:val="003E5D6F"/>
    <w:rsid w:val="003E790F"/>
    <w:rsid w:val="003F01F7"/>
    <w:rsid w:val="003F2C62"/>
    <w:rsid w:val="003F34F5"/>
    <w:rsid w:val="003F3685"/>
    <w:rsid w:val="003F4567"/>
    <w:rsid w:val="00401496"/>
    <w:rsid w:val="00402DC5"/>
    <w:rsid w:val="004039B2"/>
    <w:rsid w:val="004058F7"/>
    <w:rsid w:val="00405F87"/>
    <w:rsid w:val="00406EFD"/>
    <w:rsid w:val="00407785"/>
    <w:rsid w:val="00413C21"/>
    <w:rsid w:val="004155D3"/>
    <w:rsid w:val="004169F7"/>
    <w:rsid w:val="00417BF9"/>
    <w:rsid w:val="00420BD5"/>
    <w:rsid w:val="00421934"/>
    <w:rsid w:val="00424438"/>
    <w:rsid w:val="00424449"/>
    <w:rsid w:val="004257CE"/>
    <w:rsid w:val="00433C54"/>
    <w:rsid w:val="00433E96"/>
    <w:rsid w:val="00435A88"/>
    <w:rsid w:val="004401F1"/>
    <w:rsid w:val="00440ADD"/>
    <w:rsid w:val="00441B51"/>
    <w:rsid w:val="004423F9"/>
    <w:rsid w:val="00443B19"/>
    <w:rsid w:val="00444EFF"/>
    <w:rsid w:val="00446753"/>
    <w:rsid w:val="00450059"/>
    <w:rsid w:val="00450F01"/>
    <w:rsid w:val="0045169D"/>
    <w:rsid w:val="00452A36"/>
    <w:rsid w:val="00457B1E"/>
    <w:rsid w:val="004612E0"/>
    <w:rsid w:val="00461BEA"/>
    <w:rsid w:val="0046398A"/>
    <w:rsid w:val="00465556"/>
    <w:rsid w:val="0046656C"/>
    <w:rsid w:val="004673F9"/>
    <w:rsid w:val="00470408"/>
    <w:rsid w:val="004716BD"/>
    <w:rsid w:val="004764FB"/>
    <w:rsid w:val="00480413"/>
    <w:rsid w:val="004811FE"/>
    <w:rsid w:val="0048178A"/>
    <w:rsid w:val="00481BD4"/>
    <w:rsid w:val="00483922"/>
    <w:rsid w:val="00486A9B"/>
    <w:rsid w:val="00486C6A"/>
    <w:rsid w:val="00486EB0"/>
    <w:rsid w:val="00487CC7"/>
    <w:rsid w:val="00492367"/>
    <w:rsid w:val="00495751"/>
    <w:rsid w:val="004960E0"/>
    <w:rsid w:val="0049613A"/>
    <w:rsid w:val="00497359"/>
    <w:rsid w:val="004A0AD2"/>
    <w:rsid w:val="004A0F88"/>
    <w:rsid w:val="004A2E21"/>
    <w:rsid w:val="004A3E78"/>
    <w:rsid w:val="004A4891"/>
    <w:rsid w:val="004A7F72"/>
    <w:rsid w:val="004B191A"/>
    <w:rsid w:val="004B2020"/>
    <w:rsid w:val="004B2AFB"/>
    <w:rsid w:val="004B2D83"/>
    <w:rsid w:val="004B3F55"/>
    <w:rsid w:val="004B66A4"/>
    <w:rsid w:val="004B7D4E"/>
    <w:rsid w:val="004C112D"/>
    <w:rsid w:val="004C43CE"/>
    <w:rsid w:val="004D1236"/>
    <w:rsid w:val="004D42DA"/>
    <w:rsid w:val="004D44E1"/>
    <w:rsid w:val="004D4763"/>
    <w:rsid w:val="004D649D"/>
    <w:rsid w:val="004D67F1"/>
    <w:rsid w:val="004E454C"/>
    <w:rsid w:val="004E4EB6"/>
    <w:rsid w:val="004E51DB"/>
    <w:rsid w:val="004E69C0"/>
    <w:rsid w:val="004F0A3F"/>
    <w:rsid w:val="004F261D"/>
    <w:rsid w:val="004F2AD4"/>
    <w:rsid w:val="004F2C76"/>
    <w:rsid w:val="004F2EBF"/>
    <w:rsid w:val="005000D6"/>
    <w:rsid w:val="00501A39"/>
    <w:rsid w:val="00502274"/>
    <w:rsid w:val="005028A6"/>
    <w:rsid w:val="00502EBC"/>
    <w:rsid w:val="0050323D"/>
    <w:rsid w:val="005033CA"/>
    <w:rsid w:val="00503942"/>
    <w:rsid w:val="00503A5C"/>
    <w:rsid w:val="00504D48"/>
    <w:rsid w:val="005050A1"/>
    <w:rsid w:val="005066EA"/>
    <w:rsid w:val="00510C3F"/>
    <w:rsid w:val="005123E7"/>
    <w:rsid w:val="005129E5"/>
    <w:rsid w:val="005132BC"/>
    <w:rsid w:val="00515AB9"/>
    <w:rsid w:val="00516527"/>
    <w:rsid w:val="00517033"/>
    <w:rsid w:val="005201D5"/>
    <w:rsid w:val="00521B95"/>
    <w:rsid w:val="005223BD"/>
    <w:rsid w:val="00522AB8"/>
    <w:rsid w:val="00523494"/>
    <w:rsid w:val="00524C0D"/>
    <w:rsid w:val="00524EF0"/>
    <w:rsid w:val="00525980"/>
    <w:rsid w:val="00532861"/>
    <w:rsid w:val="005344FE"/>
    <w:rsid w:val="00534827"/>
    <w:rsid w:val="00534D18"/>
    <w:rsid w:val="005352BB"/>
    <w:rsid w:val="00535E1A"/>
    <w:rsid w:val="0054006A"/>
    <w:rsid w:val="005408FD"/>
    <w:rsid w:val="00541953"/>
    <w:rsid w:val="00541B7D"/>
    <w:rsid w:val="00543BA0"/>
    <w:rsid w:val="005449D3"/>
    <w:rsid w:val="00544AB2"/>
    <w:rsid w:val="005450FB"/>
    <w:rsid w:val="005463C6"/>
    <w:rsid w:val="005463F8"/>
    <w:rsid w:val="00547803"/>
    <w:rsid w:val="00551E2B"/>
    <w:rsid w:val="005533D3"/>
    <w:rsid w:val="005549D7"/>
    <w:rsid w:val="00555BCF"/>
    <w:rsid w:val="0056188C"/>
    <w:rsid w:val="00562AE4"/>
    <w:rsid w:val="005632F2"/>
    <w:rsid w:val="00563D55"/>
    <w:rsid w:val="005657A2"/>
    <w:rsid w:val="00567D4B"/>
    <w:rsid w:val="00572333"/>
    <w:rsid w:val="00573AD4"/>
    <w:rsid w:val="00576840"/>
    <w:rsid w:val="00576B2D"/>
    <w:rsid w:val="00576C72"/>
    <w:rsid w:val="00577232"/>
    <w:rsid w:val="0058057E"/>
    <w:rsid w:val="005807D5"/>
    <w:rsid w:val="00581E79"/>
    <w:rsid w:val="00585226"/>
    <w:rsid w:val="00585501"/>
    <w:rsid w:val="0058626C"/>
    <w:rsid w:val="005872BE"/>
    <w:rsid w:val="00587D6D"/>
    <w:rsid w:val="0059021E"/>
    <w:rsid w:val="005911B9"/>
    <w:rsid w:val="0059163E"/>
    <w:rsid w:val="005942A4"/>
    <w:rsid w:val="005946CE"/>
    <w:rsid w:val="005977CC"/>
    <w:rsid w:val="005A13F0"/>
    <w:rsid w:val="005A2432"/>
    <w:rsid w:val="005A3122"/>
    <w:rsid w:val="005A5A95"/>
    <w:rsid w:val="005A71E8"/>
    <w:rsid w:val="005A7B57"/>
    <w:rsid w:val="005B0219"/>
    <w:rsid w:val="005B1146"/>
    <w:rsid w:val="005B1EDA"/>
    <w:rsid w:val="005B27E9"/>
    <w:rsid w:val="005B44F4"/>
    <w:rsid w:val="005B5D28"/>
    <w:rsid w:val="005B61E4"/>
    <w:rsid w:val="005C1461"/>
    <w:rsid w:val="005C2A3C"/>
    <w:rsid w:val="005C2F16"/>
    <w:rsid w:val="005C32F7"/>
    <w:rsid w:val="005C50D2"/>
    <w:rsid w:val="005C54D2"/>
    <w:rsid w:val="005C6009"/>
    <w:rsid w:val="005C6189"/>
    <w:rsid w:val="005C7279"/>
    <w:rsid w:val="005D207B"/>
    <w:rsid w:val="005D337B"/>
    <w:rsid w:val="005D3D78"/>
    <w:rsid w:val="005D7532"/>
    <w:rsid w:val="005E1903"/>
    <w:rsid w:val="005E1F9E"/>
    <w:rsid w:val="005E256F"/>
    <w:rsid w:val="005E264A"/>
    <w:rsid w:val="005E2956"/>
    <w:rsid w:val="005E3871"/>
    <w:rsid w:val="005E467D"/>
    <w:rsid w:val="005E4776"/>
    <w:rsid w:val="005E56A5"/>
    <w:rsid w:val="005E59E2"/>
    <w:rsid w:val="005E7013"/>
    <w:rsid w:val="005F11FF"/>
    <w:rsid w:val="005F1BA3"/>
    <w:rsid w:val="005F22E4"/>
    <w:rsid w:val="005F2541"/>
    <w:rsid w:val="005F39D3"/>
    <w:rsid w:val="005F4FE3"/>
    <w:rsid w:val="005F57CA"/>
    <w:rsid w:val="0060050A"/>
    <w:rsid w:val="00605B08"/>
    <w:rsid w:val="0060602D"/>
    <w:rsid w:val="006075DF"/>
    <w:rsid w:val="00613993"/>
    <w:rsid w:val="0061441D"/>
    <w:rsid w:val="00614B49"/>
    <w:rsid w:val="0061685B"/>
    <w:rsid w:val="00616E34"/>
    <w:rsid w:val="00616F7F"/>
    <w:rsid w:val="006234A1"/>
    <w:rsid w:val="0062362A"/>
    <w:rsid w:val="0062608A"/>
    <w:rsid w:val="006277F5"/>
    <w:rsid w:val="0063064F"/>
    <w:rsid w:val="006323DF"/>
    <w:rsid w:val="0063274D"/>
    <w:rsid w:val="006336B5"/>
    <w:rsid w:val="00633F10"/>
    <w:rsid w:val="00634664"/>
    <w:rsid w:val="006357F3"/>
    <w:rsid w:val="006358A4"/>
    <w:rsid w:val="00637128"/>
    <w:rsid w:val="006375F2"/>
    <w:rsid w:val="00637F90"/>
    <w:rsid w:val="0064050D"/>
    <w:rsid w:val="00642A7C"/>
    <w:rsid w:val="00644B2C"/>
    <w:rsid w:val="00644C45"/>
    <w:rsid w:val="0064501F"/>
    <w:rsid w:val="0064503B"/>
    <w:rsid w:val="006469B6"/>
    <w:rsid w:val="00651D45"/>
    <w:rsid w:val="00656727"/>
    <w:rsid w:val="0066327D"/>
    <w:rsid w:val="00663A08"/>
    <w:rsid w:val="00663CB5"/>
    <w:rsid w:val="006661E0"/>
    <w:rsid w:val="00667199"/>
    <w:rsid w:val="0066732E"/>
    <w:rsid w:val="006673C4"/>
    <w:rsid w:val="00667B4C"/>
    <w:rsid w:val="006704C1"/>
    <w:rsid w:val="00671A4F"/>
    <w:rsid w:val="00673819"/>
    <w:rsid w:val="00674843"/>
    <w:rsid w:val="0067537B"/>
    <w:rsid w:val="006806A5"/>
    <w:rsid w:val="00681413"/>
    <w:rsid w:val="00681A6F"/>
    <w:rsid w:val="00682C1E"/>
    <w:rsid w:val="0068391C"/>
    <w:rsid w:val="00683DB7"/>
    <w:rsid w:val="00684008"/>
    <w:rsid w:val="00684279"/>
    <w:rsid w:val="0068529C"/>
    <w:rsid w:val="0068631E"/>
    <w:rsid w:val="0068691E"/>
    <w:rsid w:val="006873D5"/>
    <w:rsid w:val="006874A6"/>
    <w:rsid w:val="00687D01"/>
    <w:rsid w:val="00690120"/>
    <w:rsid w:val="00691FC4"/>
    <w:rsid w:val="00692F70"/>
    <w:rsid w:val="0069434D"/>
    <w:rsid w:val="00695A8C"/>
    <w:rsid w:val="00696AA6"/>
    <w:rsid w:val="00696F84"/>
    <w:rsid w:val="006A04C3"/>
    <w:rsid w:val="006A373F"/>
    <w:rsid w:val="006A3C63"/>
    <w:rsid w:val="006A456C"/>
    <w:rsid w:val="006A5149"/>
    <w:rsid w:val="006A60A4"/>
    <w:rsid w:val="006A635B"/>
    <w:rsid w:val="006A7E92"/>
    <w:rsid w:val="006B081F"/>
    <w:rsid w:val="006B2335"/>
    <w:rsid w:val="006B3B68"/>
    <w:rsid w:val="006B3BAD"/>
    <w:rsid w:val="006B5D5D"/>
    <w:rsid w:val="006B61E2"/>
    <w:rsid w:val="006C04E5"/>
    <w:rsid w:val="006C0BB9"/>
    <w:rsid w:val="006C3358"/>
    <w:rsid w:val="006C375F"/>
    <w:rsid w:val="006C3A75"/>
    <w:rsid w:val="006C3EC4"/>
    <w:rsid w:val="006C611A"/>
    <w:rsid w:val="006C62C4"/>
    <w:rsid w:val="006C68D2"/>
    <w:rsid w:val="006C69CF"/>
    <w:rsid w:val="006D21E1"/>
    <w:rsid w:val="006D41F3"/>
    <w:rsid w:val="006D627C"/>
    <w:rsid w:val="006D6E73"/>
    <w:rsid w:val="006D72B7"/>
    <w:rsid w:val="006E0C1A"/>
    <w:rsid w:val="006E2C84"/>
    <w:rsid w:val="006E5F83"/>
    <w:rsid w:val="006E7C54"/>
    <w:rsid w:val="006F01C5"/>
    <w:rsid w:val="006F0EC9"/>
    <w:rsid w:val="006F1C70"/>
    <w:rsid w:val="006F307B"/>
    <w:rsid w:val="006F511B"/>
    <w:rsid w:val="006F6052"/>
    <w:rsid w:val="006F6561"/>
    <w:rsid w:val="006F6630"/>
    <w:rsid w:val="007000F1"/>
    <w:rsid w:val="00703384"/>
    <w:rsid w:val="00704768"/>
    <w:rsid w:val="00706876"/>
    <w:rsid w:val="007071D8"/>
    <w:rsid w:val="007105BB"/>
    <w:rsid w:val="00710B61"/>
    <w:rsid w:val="00711D75"/>
    <w:rsid w:val="00711FD3"/>
    <w:rsid w:val="007139A3"/>
    <w:rsid w:val="007143C3"/>
    <w:rsid w:val="0071540C"/>
    <w:rsid w:val="0071786F"/>
    <w:rsid w:val="00721B99"/>
    <w:rsid w:val="0072293B"/>
    <w:rsid w:val="0072363D"/>
    <w:rsid w:val="0072376F"/>
    <w:rsid w:val="007241D8"/>
    <w:rsid w:val="00730107"/>
    <w:rsid w:val="00730E87"/>
    <w:rsid w:val="007327E5"/>
    <w:rsid w:val="00733C91"/>
    <w:rsid w:val="00734BFF"/>
    <w:rsid w:val="00734CE8"/>
    <w:rsid w:val="0073715D"/>
    <w:rsid w:val="0073757C"/>
    <w:rsid w:val="00740AC5"/>
    <w:rsid w:val="007435D5"/>
    <w:rsid w:val="00746A33"/>
    <w:rsid w:val="007524EE"/>
    <w:rsid w:val="0075412C"/>
    <w:rsid w:val="007553C5"/>
    <w:rsid w:val="00755791"/>
    <w:rsid w:val="00756C2D"/>
    <w:rsid w:val="00757047"/>
    <w:rsid w:val="00757244"/>
    <w:rsid w:val="00757288"/>
    <w:rsid w:val="00757CEE"/>
    <w:rsid w:val="00760C3B"/>
    <w:rsid w:val="00761DD7"/>
    <w:rsid w:val="00763BE9"/>
    <w:rsid w:val="00765A12"/>
    <w:rsid w:val="00767804"/>
    <w:rsid w:val="007713A2"/>
    <w:rsid w:val="00771452"/>
    <w:rsid w:val="0077201E"/>
    <w:rsid w:val="00775EC7"/>
    <w:rsid w:val="00777561"/>
    <w:rsid w:val="00777BBB"/>
    <w:rsid w:val="007806C4"/>
    <w:rsid w:val="00781350"/>
    <w:rsid w:val="00782382"/>
    <w:rsid w:val="00782A66"/>
    <w:rsid w:val="00784395"/>
    <w:rsid w:val="0078582D"/>
    <w:rsid w:val="0078627A"/>
    <w:rsid w:val="0078647F"/>
    <w:rsid w:val="007874BE"/>
    <w:rsid w:val="007876EC"/>
    <w:rsid w:val="00790118"/>
    <w:rsid w:val="00795EBF"/>
    <w:rsid w:val="007A023A"/>
    <w:rsid w:val="007A1225"/>
    <w:rsid w:val="007A1A6D"/>
    <w:rsid w:val="007A1EAA"/>
    <w:rsid w:val="007A277B"/>
    <w:rsid w:val="007A338F"/>
    <w:rsid w:val="007A52A9"/>
    <w:rsid w:val="007A5BE4"/>
    <w:rsid w:val="007A70B5"/>
    <w:rsid w:val="007B0123"/>
    <w:rsid w:val="007B1D4B"/>
    <w:rsid w:val="007B2402"/>
    <w:rsid w:val="007B2903"/>
    <w:rsid w:val="007B42DD"/>
    <w:rsid w:val="007B50E4"/>
    <w:rsid w:val="007B6D93"/>
    <w:rsid w:val="007B6E54"/>
    <w:rsid w:val="007B7837"/>
    <w:rsid w:val="007C1112"/>
    <w:rsid w:val="007C1A5C"/>
    <w:rsid w:val="007C3E20"/>
    <w:rsid w:val="007C44E0"/>
    <w:rsid w:val="007C4768"/>
    <w:rsid w:val="007C4895"/>
    <w:rsid w:val="007C5E2C"/>
    <w:rsid w:val="007C774F"/>
    <w:rsid w:val="007D223A"/>
    <w:rsid w:val="007D2D5A"/>
    <w:rsid w:val="007D3514"/>
    <w:rsid w:val="007D494E"/>
    <w:rsid w:val="007D5D26"/>
    <w:rsid w:val="007D5FD7"/>
    <w:rsid w:val="007D664E"/>
    <w:rsid w:val="007D6D58"/>
    <w:rsid w:val="007E02CC"/>
    <w:rsid w:val="007E0E2E"/>
    <w:rsid w:val="007E1598"/>
    <w:rsid w:val="007E1792"/>
    <w:rsid w:val="007E4B32"/>
    <w:rsid w:val="007E610D"/>
    <w:rsid w:val="007F0119"/>
    <w:rsid w:val="007F03D3"/>
    <w:rsid w:val="007F077C"/>
    <w:rsid w:val="007F0EDC"/>
    <w:rsid w:val="007F165A"/>
    <w:rsid w:val="007F1844"/>
    <w:rsid w:val="007F1B70"/>
    <w:rsid w:val="007F31A3"/>
    <w:rsid w:val="007F45BA"/>
    <w:rsid w:val="007F7F7B"/>
    <w:rsid w:val="00800637"/>
    <w:rsid w:val="00801A2B"/>
    <w:rsid w:val="00802A17"/>
    <w:rsid w:val="008031A4"/>
    <w:rsid w:val="00804372"/>
    <w:rsid w:val="008052A0"/>
    <w:rsid w:val="00805C08"/>
    <w:rsid w:val="008062BB"/>
    <w:rsid w:val="00806C31"/>
    <w:rsid w:val="00811A1D"/>
    <w:rsid w:val="0081349C"/>
    <w:rsid w:val="00814F25"/>
    <w:rsid w:val="0081541E"/>
    <w:rsid w:val="0081568A"/>
    <w:rsid w:val="00815879"/>
    <w:rsid w:val="0081678A"/>
    <w:rsid w:val="008224C5"/>
    <w:rsid w:val="0082321F"/>
    <w:rsid w:val="00824F9E"/>
    <w:rsid w:val="0082518F"/>
    <w:rsid w:val="00826305"/>
    <w:rsid w:val="00827EDF"/>
    <w:rsid w:val="00830A5D"/>
    <w:rsid w:val="00830A93"/>
    <w:rsid w:val="00831571"/>
    <w:rsid w:val="00832162"/>
    <w:rsid w:val="0083275B"/>
    <w:rsid w:val="008343A0"/>
    <w:rsid w:val="00834566"/>
    <w:rsid w:val="008352E9"/>
    <w:rsid w:val="00835E4A"/>
    <w:rsid w:val="00837539"/>
    <w:rsid w:val="00840A7B"/>
    <w:rsid w:val="008420DC"/>
    <w:rsid w:val="008426A9"/>
    <w:rsid w:val="008434D7"/>
    <w:rsid w:val="00844C0C"/>
    <w:rsid w:val="00851AC1"/>
    <w:rsid w:val="00860B2E"/>
    <w:rsid w:val="00862D9D"/>
    <w:rsid w:val="00866640"/>
    <w:rsid w:val="00866B8A"/>
    <w:rsid w:val="00871438"/>
    <w:rsid w:val="00872EDF"/>
    <w:rsid w:val="00882149"/>
    <w:rsid w:val="008833EC"/>
    <w:rsid w:val="0088347A"/>
    <w:rsid w:val="00883801"/>
    <w:rsid w:val="008841EE"/>
    <w:rsid w:val="008859C6"/>
    <w:rsid w:val="00887840"/>
    <w:rsid w:val="00887E7B"/>
    <w:rsid w:val="00890317"/>
    <w:rsid w:val="008903B0"/>
    <w:rsid w:val="00892FA4"/>
    <w:rsid w:val="00895664"/>
    <w:rsid w:val="00897B5F"/>
    <w:rsid w:val="008A2671"/>
    <w:rsid w:val="008A4649"/>
    <w:rsid w:val="008A4C82"/>
    <w:rsid w:val="008A7C6E"/>
    <w:rsid w:val="008B1492"/>
    <w:rsid w:val="008B168B"/>
    <w:rsid w:val="008B203A"/>
    <w:rsid w:val="008B2AC7"/>
    <w:rsid w:val="008B6061"/>
    <w:rsid w:val="008C0877"/>
    <w:rsid w:val="008C28E6"/>
    <w:rsid w:val="008C5415"/>
    <w:rsid w:val="008C544A"/>
    <w:rsid w:val="008C5EDE"/>
    <w:rsid w:val="008D01F3"/>
    <w:rsid w:val="008D3C7D"/>
    <w:rsid w:val="008D5310"/>
    <w:rsid w:val="008D5C00"/>
    <w:rsid w:val="008D5C4C"/>
    <w:rsid w:val="008D6B05"/>
    <w:rsid w:val="008D6E44"/>
    <w:rsid w:val="008D72CF"/>
    <w:rsid w:val="008E1D59"/>
    <w:rsid w:val="008E27D2"/>
    <w:rsid w:val="008E2BFB"/>
    <w:rsid w:val="008E31F3"/>
    <w:rsid w:val="008E3DA9"/>
    <w:rsid w:val="008E4D15"/>
    <w:rsid w:val="008E4E93"/>
    <w:rsid w:val="008E6123"/>
    <w:rsid w:val="008F35AA"/>
    <w:rsid w:val="00902076"/>
    <w:rsid w:val="00902EC3"/>
    <w:rsid w:val="00903036"/>
    <w:rsid w:val="00903F84"/>
    <w:rsid w:val="00904C77"/>
    <w:rsid w:val="00906191"/>
    <w:rsid w:val="00906BA8"/>
    <w:rsid w:val="00912026"/>
    <w:rsid w:val="00912D2F"/>
    <w:rsid w:val="009145B2"/>
    <w:rsid w:val="00915614"/>
    <w:rsid w:val="00917568"/>
    <w:rsid w:val="0092172C"/>
    <w:rsid w:val="00922886"/>
    <w:rsid w:val="00922FE7"/>
    <w:rsid w:val="00924682"/>
    <w:rsid w:val="00926B64"/>
    <w:rsid w:val="009312FB"/>
    <w:rsid w:val="00934498"/>
    <w:rsid w:val="00940FF2"/>
    <w:rsid w:val="0094118F"/>
    <w:rsid w:val="00946C67"/>
    <w:rsid w:val="00947CD7"/>
    <w:rsid w:val="00954197"/>
    <w:rsid w:val="009541BC"/>
    <w:rsid w:val="0095467C"/>
    <w:rsid w:val="00956468"/>
    <w:rsid w:val="00956B81"/>
    <w:rsid w:val="00957972"/>
    <w:rsid w:val="00960372"/>
    <w:rsid w:val="009614FE"/>
    <w:rsid w:val="009638C1"/>
    <w:rsid w:val="00963DE7"/>
    <w:rsid w:val="009641F6"/>
    <w:rsid w:val="009666BD"/>
    <w:rsid w:val="00967BC2"/>
    <w:rsid w:val="00970CB4"/>
    <w:rsid w:val="00971636"/>
    <w:rsid w:val="00973C62"/>
    <w:rsid w:val="00976050"/>
    <w:rsid w:val="00976880"/>
    <w:rsid w:val="00976CC0"/>
    <w:rsid w:val="00977A11"/>
    <w:rsid w:val="00977BD6"/>
    <w:rsid w:val="00977FC5"/>
    <w:rsid w:val="009800E1"/>
    <w:rsid w:val="00981328"/>
    <w:rsid w:val="00981425"/>
    <w:rsid w:val="00982084"/>
    <w:rsid w:val="00982BF8"/>
    <w:rsid w:val="009832F7"/>
    <w:rsid w:val="00983C79"/>
    <w:rsid w:val="00984E2E"/>
    <w:rsid w:val="009856B4"/>
    <w:rsid w:val="00986BDB"/>
    <w:rsid w:val="00987308"/>
    <w:rsid w:val="00987504"/>
    <w:rsid w:val="00987B16"/>
    <w:rsid w:val="00990292"/>
    <w:rsid w:val="00990DFC"/>
    <w:rsid w:val="00991837"/>
    <w:rsid w:val="009922E9"/>
    <w:rsid w:val="00992515"/>
    <w:rsid w:val="00992C26"/>
    <w:rsid w:val="00993FBA"/>
    <w:rsid w:val="0099423F"/>
    <w:rsid w:val="0099760E"/>
    <w:rsid w:val="00997C0F"/>
    <w:rsid w:val="00997F07"/>
    <w:rsid w:val="009A348E"/>
    <w:rsid w:val="009A3811"/>
    <w:rsid w:val="009A5990"/>
    <w:rsid w:val="009A5A29"/>
    <w:rsid w:val="009A73B2"/>
    <w:rsid w:val="009B00AA"/>
    <w:rsid w:val="009B1BA9"/>
    <w:rsid w:val="009B1F8A"/>
    <w:rsid w:val="009B1FFD"/>
    <w:rsid w:val="009B3778"/>
    <w:rsid w:val="009B66E9"/>
    <w:rsid w:val="009B68E8"/>
    <w:rsid w:val="009B6BF8"/>
    <w:rsid w:val="009C30D9"/>
    <w:rsid w:val="009C47D5"/>
    <w:rsid w:val="009C5A92"/>
    <w:rsid w:val="009C6633"/>
    <w:rsid w:val="009C66B2"/>
    <w:rsid w:val="009C7987"/>
    <w:rsid w:val="009D1E62"/>
    <w:rsid w:val="009D2376"/>
    <w:rsid w:val="009D2AA0"/>
    <w:rsid w:val="009D2EC4"/>
    <w:rsid w:val="009D6AC9"/>
    <w:rsid w:val="009E00D6"/>
    <w:rsid w:val="009E0118"/>
    <w:rsid w:val="009E31D2"/>
    <w:rsid w:val="009E4EF1"/>
    <w:rsid w:val="009E4FB3"/>
    <w:rsid w:val="009E4FEE"/>
    <w:rsid w:val="009E5ABA"/>
    <w:rsid w:val="009E5CFE"/>
    <w:rsid w:val="009E74D6"/>
    <w:rsid w:val="009F027A"/>
    <w:rsid w:val="009F19E4"/>
    <w:rsid w:val="009F1CA8"/>
    <w:rsid w:val="009F399C"/>
    <w:rsid w:val="009F4E03"/>
    <w:rsid w:val="009F5250"/>
    <w:rsid w:val="009F72FA"/>
    <w:rsid w:val="00A00DA0"/>
    <w:rsid w:val="00A01268"/>
    <w:rsid w:val="00A0418A"/>
    <w:rsid w:val="00A0424A"/>
    <w:rsid w:val="00A043FD"/>
    <w:rsid w:val="00A0457C"/>
    <w:rsid w:val="00A06B6C"/>
    <w:rsid w:val="00A06D10"/>
    <w:rsid w:val="00A13441"/>
    <w:rsid w:val="00A1381A"/>
    <w:rsid w:val="00A13F1B"/>
    <w:rsid w:val="00A1726C"/>
    <w:rsid w:val="00A1789D"/>
    <w:rsid w:val="00A21136"/>
    <w:rsid w:val="00A21846"/>
    <w:rsid w:val="00A22374"/>
    <w:rsid w:val="00A26343"/>
    <w:rsid w:val="00A26C3A"/>
    <w:rsid w:val="00A32935"/>
    <w:rsid w:val="00A32BB1"/>
    <w:rsid w:val="00A33D8E"/>
    <w:rsid w:val="00A35582"/>
    <w:rsid w:val="00A42E50"/>
    <w:rsid w:val="00A45001"/>
    <w:rsid w:val="00A45500"/>
    <w:rsid w:val="00A47251"/>
    <w:rsid w:val="00A50FB0"/>
    <w:rsid w:val="00A531CC"/>
    <w:rsid w:val="00A54C59"/>
    <w:rsid w:val="00A55561"/>
    <w:rsid w:val="00A62BEA"/>
    <w:rsid w:val="00A63D52"/>
    <w:rsid w:val="00A6472C"/>
    <w:rsid w:val="00A6482E"/>
    <w:rsid w:val="00A658A7"/>
    <w:rsid w:val="00A671EE"/>
    <w:rsid w:val="00A67A87"/>
    <w:rsid w:val="00A717A5"/>
    <w:rsid w:val="00A77F74"/>
    <w:rsid w:val="00A77FEC"/>
    <w:rsid w:val="00A80CBF"/>
    <w:rsid w:val="00A81967"/>
    <w:rsid w:val="00A825C1"/>
    <w:rsid w:val="00A83185"/>
    <w:rsid w:val="00A84E07"/>
    <w:rsid w:val="00A8618B"/>
    <w:rsid w:val="00A86228"/>
    <w:rsid w:val="00A9122A"/>
    <w:rsid w:val="00A91475"/>
    <w:rsid w:val="00A91FBE"/>
    <w:rsid w:val="00A9312F"/>
    <w:rsid w:val="00A93D4F"/>
    <w:rsid w:val="00A94C6A"/>
    <w:rsid w:val="00A9711F"/>
    <w:rsid w:val="00AA295F"/>
    <w:rsid w:val="00AA2B21"/>
    <w:rsid w:val="00AA3350"/>
    <w:rsid w:val="00AA3C96"/>
    <w:rsid w:val="00AA478D"/>
    <w:rsid w:val="00AA4985"/>
    <w:rsid w:val="00AA5118"/>
    <w:rsid w:val="00AA74C7"/>
    <w:rsid w:val="00AB0C9C"/>
    <w:rsid w:val="00AB463F"/>
    <w:rsid w:val="00AB4B8B"/>
    <w:rsid w:val="00AB5675"/>
    <w:rsid w:val="00AB5832"/>
    <w:rsid w:val="00AB6059"/>
    <w:rsid w:val="00AB6CCF"/>
    <w:rsid w:val="00AB70DD"/>
    <w:rsid w:val="00AB7725"/>
    <w:rsid w:val="00AC16A8"/>
    <w:rsid w:val="00AC252C"/>
    <w:rsid w:val="00AC4968"/>
    <w:rsid w:val="00AC7AE8"/>
    <w:rsid w:val="00AD1454"/>
    <w:rsid w:val="00AD16C0"/>
    <w:rsid w:val="00AD1CC8"/>
    <w:rsid w:val="00AD383C"/>
    <w:rsid w:val="00AD4C0D"/>
    <w:rsid w:val="00AD5E43"/>
    <w:rsid w:val="00AE0FA2"/>
    <w:rsid w:val="00AE12CA"/>
    <w:rsid w:val="00AE2FF2"/>
    <w:rsid w:val="00AE426A"/>
    <w:rsid w:val="00AE44F8"/>
    <w:rsid w:val="00AE5701"/>
    <w:rsid w:val="00AE593C"/>
    <w:rsid w:val="00AE615C"/>
    <w:rsid w:val="00AE7B0D"/>
    <w:rsid w:val="00AE7C1E"/>
    <w:rsid w:val="00AF07C9"/>
    <w:rsid w:val="00AF0877"/>
    <w:rsid w:val="00AF08C4"/>
    <w:rsid w:val="00AF0CB7"/>
    <w:rsid w:val="00AF30DF"/>
    <w:rsid w:val="00AF3ABA"/>
    <w:rsid w:val="00AF4647"/>
    <w:rsid w:val="00AF4EA3"/>
    <w:rsid w:val="00AF63FA"/>
    <w:rsid w:val="00AF66DA"/>
    <w:rsid w:val="00AF68BF"/>
    <w:rsid w:val="00AF7E40"/>
    <w:rsid w:val="00B02B20"/>
    <w:rsid w:val="00B03763"/>
    <w:rsid w:val="00B03A3F"/>
    <w:rsid w:val="00B04CB3"/>
    <w:rsid w:val="00B0629A"/>
    <w:rsid w:val="00B113FB"/>
    <w:rsid w:val="00B11B17"/>
    <w:rsid w:val="00B12FAE"/>
    <w:rsid w:val="00B131A2"/>
    <w:rsid w:val="00B14ED8"/>
    <w:rsid w:val="00B164DA"/>
    <w:rsid w:val="00B17E69"/>
    <w:rsid w:val="00B20348"/>
    <w:rsid w:val="00B20671"/>
    <w:rsid w:val="00B21898"/>
    <w:rsid w:val="00B221D7"/>
    <w:rsid w:val="00B23DC6"/>
    <w:rsid w:val="00B241CB"/>
    <w:rsid w:val="00B25022"/>
    <w:rsid w:val="00B252AC"/>
    <w:rsid w:val="00B25F4C"/>
    <w:rsid w:val="00B278A9"/>
    <w:rsid w:val="00B3165A"/>
    <w:rsid w:val="00B320DA"/>
    <w:rsid w:val="00B34265"/>
    <w:rsid w:val="00B34F1D"/>
    <w:rsid w:val="00B36FEE"/>
    <w:rsid w:val="00B373D9"/>
    <w:rsid w:val="00B406A4"/>
    <w:rsid w:val="00B41A23"/>
    <w:rsid w:val="00B470E6"/>
    <w:rsid w:val="00B47A85"/>
    <w:rsid w:val="00B47DAF"/>
    <w:rsid w:val="00B50ECF"/>
    <w:rsid w:val="00B51BB6"/>
    <w:rsid w:val="00B52759"/>
    <w:rsid w:val="00B52B37"/>
    <w:rsid w:val="00B5348D"/>
    <w:rsid w:val="00B5435C"/>
    <w:rsid w:val="00B55043"/>
    <w:rsid w:val="00B55107"/>
    <w:rsid w:val="00B56262"/>
    <w:rsid w:val="00B567DB"/>
    <w:rsid w:val="00B6140F"/>
    <w:rsid w:val="00B61B4A"/>
    <w:rsid w:val="00B628E6"/>
    <w:rsid w:val="00B66D58"/>
    <w:rsid w:val="00B66F61"/>
    <w:rsid w:val="00B67D0A"/>
    <w:rsid w:val="00B71D2A"/>
    <w:rsid w:val="00B73413"/>
    <w:rsid w:val="00B75374"/>
    <w:rsid w:val="00B7539D"/>
    <w:rsid w:val="00B76001"/>
    <w:rsid w:val="00B76B2F"/>
    <w:rsid w:val="00B76D8C"/>
    <w:rsid w:val="00B8017E"/>
    <w:rsid w:val="00B808AE"/>
    <w:rsid w:val="00B808C1"/>
    <w:rsid w:val="00B81576"/>
    <w:rsid w:val="00B82B3E"/>
    <w:rsid w:val="00B84235"/>
    <w:rsid w:val="00B8426D"/>
    <w:rsid w:val="00B86208"/>
    <w:rsid w:val="00B9003C"/>
    <w:rsid w:val="00B90A73"/>
    <w:rsid w:val="00B9222A"/>
    <w:rsid w:val="00B93C24"/>
    <w:rsid w:val="00BA2BC9"/>
    <w:rsid w:val="00BA51EA"/>
    <w:rsid w:val="00BA7B38"/>
    <w:rsid w:val="00BB1779"/>
    <w:rsid w:val="00BB1BBE"/>
    <w:rsid w:val="00BB2B96"/>
    <w:rsid w:val="00BB2DE1"/>
    <w:rsid w:val="00BB2E81"/>
    <w:rsid w:val="00BB4F49"/>
    <w:rsid w:val="00BB55E5"/>
    <w:rsid w:val="00BB5B5F"/>
    <w:rsid w:val="00BB60B3"/>
    <w:rsid w:val="00BB651C"/>
    <w:rsid w:val="00BC532E"/>
    <w:rsid w:val="00BD1640"/>
    <w:rsid w:val="00BD2AAA"/>
    <w:rsid w:val="00BD353E"/>
    <w:rsid w:val="00BD4753"/>
    <w:rsid w:val="00BD55B1"/>
    <w:rsid w:val="00BD6585"/>
    <w:rsid w:val="00BE0D1A"/>
    <w:rsid w:val="00BE19E6"/>
    <w:rsid w:val="00BE1F81"/>
    <w:rsid w:val="00BE44C7"/>
    <w:rsid w:val="00BF06E7"/>
    <w:rsid w:val="00BF085C"/>
    <w:rsid w:val="00BF2051"/>
    <w:rsid w:val="00BF2727"/>
    <w:rsid w:val="00BF48B6"/>
    <w:rsid w:val="00C033E5"/>
    <w:rsid w:val="00C03595"/>
    <w:rsid w:val="00C05689"/>
    <w:rsid w:val="00C104B0"/>
    <w:rsid w:val="00C10F01"/>
    <w:rsid w:val="00C11544"/>
    <w:rsid w:val="00C11DBC"/>
    <w:rsid w:val="00C14559"/>
    <w:rsid w:val="00C15E01"/>
    <w:rsid w:val="00C202B5"/>
    <w:rsid w:val="00C203A5"/>
    <w:rsid w:val="00C2248A"/>
    <w:rsid w:val="00C23AF3"/>
    <w:rsid w:val="00C25BF0"/>
    <w:rsid w:val="00C30815"/>
    <w:rsid w:val="00C30BC5"/>
    <w:rsid w:val="00C33EC5"/>
    <w:rsid w:val="00C34873"/>
    <w:rsid w:val="00C352CF"/>
    <w:rsid w:val="00C364E1"/>
    <w:rsid w:val="00C3746C"/>
    <w:rsid w:val="00C3768B"/>
    <w:rsid w:val="00C37CE5"/>
    <w:rsid w:val="00C37DFB"/>
    <w:rsid w:val="00C42A4D"/>
    <w:rsid w:val="00C45F09"/>
    <w:rsid w:val="00C467FD"/>
    <w:rsid w:val="00C46874"/>
    <w:rsid w:val="00C46AFC"/>
    <w:rsid w:val="00C47F47"/>
    <w:rsid w:val="00C50645"/>
    <w:rsid w:val="00C50965"/>
    <w:rsid w:val="00C50C9F"/>
    <w:rsid w:val="00C5269A"/>
    <w:rsid w:val="00C531EC"/>
    <w:rsid w:val="00C5324A"/>
    <w:rsid w:val="00C55B0D"/>
    <w:rsid w:val="00C562E6"/>
    <w:rsid w:val="00C62B44"/>
    <w:rsid w:val="00C62CF0"/>
    <w:rsid w:val="00C6409A"/>
    <w:rsid w:val="00C75B16"/>
    <w:rsid w:val="00C76A02"/>
    <w:rsid w:val="00C76B36"/>
    <w:rsid w:val="00C76E8E"/>
    <w:rsid w:val="00C7728B"/>
    <w:rsid w:val="00C7797B"/>
    <w:rsid w:val="00C81292"/>
    <w:rsid w:val="00C83081"/>
    <w:rsid w:val="00C8320E"/>
    <w:rsid w:val="00C84227"/>
    <w:rsid w:val="00C84F18"/>
    <w:rsid w:val="00C8545B"/>
    <w:rsid w:val="00C86F4F"/>
    <w:rsid w:val="00C904B6"/>
    <w:rsid w:val="00C90A5B"/>
    <w:rsid w:val="00C91CF2"/>
    <w:rsid w:val="00C926A3"/>
    <w:rsid w:val="00C93001"/>
    <w:rsid w:val="00C9444F"/>
    <w:rsid w:val="00C95039"/>
    <w:rsid w:val="00C9613E"/>
    <w:rsid w:val="00CA151E"/>
    <w:rsid w:val="00CA1559"/>
    <w:rsid w:val="00CA3918"/>
    <w:rsid w:val="00CA55D7"/>
    <w:rsid w:val="00CB19DB"/>
    <w:rsid w:val="00CB2F67"/>
    <w:rsid w:val="00CB37E2"/>
    <w:rsid w:val="00CB5EAA"/>
    <w:rsid w:val="00CB6A28"/>
    <w:rsid w:val="00CB6DCC"/>
    <w:rsid w:val="00CC0BDD"/>
    <w:rsid w:val="00CC1A46"/>
    <w:rsid w:val="00CC44BF"/>
    <w:rsid w:val="00CD01CA"/>
    <w:rsid w:val="00CD03AB"/>
    <w:rsid w:val="00CD3202"/>
    <w:rsid w:val="00CD4299"/>
    <w:rsid w:val="00CD4774"/>
    <w:rsid w:val="00CD4E8F"/>
    <w:rsid w:val="00CD5072"/>
    <w:rsid w:val="00CD6C24"/>
    <w:rsid w:val="00CE2952"/>
    <w:rsid w:val="00CE5038"/>
    <w:rsid w:val="00CE7589"/>
    <w:rsid w:val="00CE7F24"/>
    <w:rsid w:val="00CF0C33"/>
    <w:rsid w:val="00CF3963"/>
    <w:rsid w:val="00CF7B3F"/>
    <w:rsid w:val="00D00E72"/>
    <w:rsid w:val="00D01161"/>
    <w:rsid w:val="00D012DD"/>
    <w:rsid w:val="00D021B6"/>
    <w:rsid w:val="00D02DB0"/>
    <w:rsid w:val="00D02FE6"/>
    <w:rsid w:val="00D0667B"/>
    <w:rsid w:val="00D106F6"/>
    <w:rsid w:val="00D112B0"/>
    <w:rsid w:val="00D135D7"/>
    <w:rsid w:val="00D16372"/>
    <w:rsid w:val="00D1717D"/>
    <w:rsid w:val="00D207B3"/>
    <w:rsid w:val="00D21DDD"/>
    <w:rsid w:val="00D23789"/>
    <w:rsid w:val="00D24901"/>
    <w:rsid w:val="00D2526F"/>
    <w:rsid w:val="00D25B86"/>
    <w:rsid w:val="00D3013A"/>
    <w:rsid w:val="00D30C84"/>
    <w:rsid w:val="00D3483C"/>
    <w:rsid w:val="00D34C4C"/>
    <w:rsid w:val="00D34FF6"/>
    <w:rsid w:val="00D36E2E"/>
    <w:rsid w:val="00D430E1"/>
    <w:rsid w:val="00D43974"/>
    <w:rsid w:val="00D44093"/>
    <w:rsid w:val="00D449DF"/>
    <w:rsid w:val="00D44BFB"/>
    <w:rsid w:val="00D471FF"/>
    <w:rsid w:val="00D47C3A"/>
    <w:rsid w:val="00D5113E"/>
    <w:rsid w:val="00D51645"/>
    <w:rsid w:val="00D5221C"/>
    <w:rsid w:val="00D52B36"/>
    <w:rsid w:val="00D54E8F"/>
    <w:rsid w:val="00D55F28"/>
    <w:rsid w:val="00D57C09"/>
    <w:rsid w:val="00D608E5"/>
    <w:rsid w:val="00D60F1A"/>
    <w:rsid w:val="00D621EB"/>
    <w:rsid w:val="00D62605"/>
    <w:rsid w:val="00D6263C"/>
    <w:rsid w:val="00D644BB"/>
    <w:rsid w:val="00D716A8"/>
    <w:rsid w:val="00D71BFA"/>
    <w:rsid w:val="00D71EC0"/>
    <w:rsid w:val="00D7537D"/>
    <w:rsid w:val="00D75C34"/>
    <w:rsid w:val="00D75C84"/>
    <w:rsid w:val="00D7649E"/>
    <w:rsid w:val="00D769C0"/>
    <w:rsid w:val="00D76DC8"/>
    <w:rsid w:val="00D8474F"/>
    <w:rsid w:val="00D85940"/>
    <w:rsid w:val="00D85F3F"/>
    <w:rsid w:val="00D85FE1"/>
    <w:rsid w:val="00D879AE"/>
    <w:rsid w:val="00D87C71"/>
    <w:rsid w:val="00D91402"/>
    <w:rsid w:val="00D927ED"/>
    <w:rsid w:val="00D942D2"/>
    <w:rsid w:val="00D96329"/>
    <w:rsid w:val="00D96CB4"/>
    <w:rsid w:val="00DA19D8"/>
    <w:rsid w:val="00DA203C"/>
    <w:rsid w:val="00DA25D1"/>
    <w:rsid w:val="00DA2DE3"/>
    <w:rsid w:val="00DA2E28"/>
    <w:rsid w:val="00DA3137"/>
    <w:rsid w:val="00DA338C"/>
    <w:rsid w:val="00DB0C9C"/>
    <w:rsid w:val="00DB1C72"/>
    <w:rsid w:val="00DB23B1"/>
    <w:rsid w:val="00DB32DB"/>
    <w:rsid w:val="00DB3B5E"/>
    <w:rsid w:val="00DB5E66"/>
    <w:rsid w:val="00DB621D"/>
    <w:rsid w:val="00DB7DF7"/>
    <w:rsid w:val="00DC0421"/>
    <w:rsid w:val="00DC1AD7"/>
    <w:rsid w:val="00DC2427"/>
    <w:rsid w:val="00DC4709"/>
    <w:rsid w:val="00DC4F9D"/>
    <w:rsid w:val="00DC7775"/>
    <w:rsid w:val="00DD1A2B"/>
    <w:rsid w:val="00DD6D99"/>
    <w:rsid w:val="00DD7265"/>
    <w:rsid w:val="00DE2284"/>
    <w:rsid w:val="00DE2317"/>
    <w:rsid w:val="00DE29AD"/>
    <w:rsid w:val="00DE2F16"/>
    <w:rsid w:val="00DE35F6"/>
    <w:rsid w:val="00DE53A8"/>
    <w:rsid w:val="00DE69DB"/>
    <w:rsid w:val="00DE6A88"/>
    <w:rsid w:val="00DE7432"/>
    <w:rsid w:val="00DF021A"/>
    <w:rsid w:val="00DF1450"/>
    <w:rsid w:val="00DF175B"/>
    <w:rsid w:val="00DF4314"/>
    <w:rsid w:val="00DF4A2E"/>
    <w:rsid w:val="00DF5FA7"/>
    <w:rsid w:val="00DF68FB"/>
    <w:rsid w:val="00DF6A64"/>
    <w:rsid w:val="00E00B4A"/>
    <w:rsid w:val="00E026B2"/>
    <w:rsid w:val="00E04E88"/>
    <w:rsid w:val="00E13309"/>
    <w:rsid w:val="00E145BE"/>
    <w:rsid w:val="00E152A0"/>
    <w:rsid w:val="00E200C2"/>
    <w:rsid w:val="00E23524"/>
    <w:rsid w:val="00E2660D"/>
    <w:rsid w:val="00E26D51"/>
    <w:rsid w:val="00E27E14"/>
    <w:rsid w:val="00E301E2"/>
    <w:rsid w:val="00E3147E"/>
    <w:rsid w:val="00E3233D"/>
    <w:rsid w:val="00E342E8"/>
    <w:rsid w:val="00E34D05"/>
    <w:rsid w:val="00E34F14"/>
    <w:rsid w:val="00E37169"/>
    <w:rsid w:val="00E37284"/>
    <w:rsid w:val="00E3769C"/>
    <w:rsid w:val="00E415F5"/>
    <w:rsid w:val="00E4289F"/>
    <w:rsid w:val="00E4568E"/>
    <w:rsid w:val="00E46AC1"/>
    <w:rsid w:val="00E47050"/>
    <w:rsid w:val="00E51BF4"/>
    <w:rsid w:val="00E53D01"/>
    <w:rsid w:val="00E54E4C"/>
    <w:rsid w:val="00E55122"/>
    <w:rsid w:val="00E55875"/>
    <w:rsid w:val="00E55AEC"/>
    <w:rsid w:val="00E55D3F"/>
    <w:rsid w:val="00E56BF6"/>
    <w:rsid w:val="00E57A84"/>
    <w:rsid w:val="00E60A9B"/>
    <w:rsid w:val="00E627F4"/>
    <w:rsid w:val="00E62B5C"/>
    <w:rsid w:val="00E63C25"/>
    <w:rsid w:val="00E647D0"/>
    <w:rsid w:val="00E65C0A"/>
    <w:rsid w:val="00E67BCC"/>
    <w:rsid w:val="00E7117A"/>
    <w:rsid w:val="00E71306"/>
    <w:rsid w:val="00E71424"/>
    <w:rsid w:val="00E72B1D"/>
    <w:rsid w:val="00E73C06"/>
    <w:rsid w:val="00E7476A"/>
    <w:rsid w:val="00E767C3"/>
    <w:rsid w:val="00E767C4"/>
    <w:rsid w:val="00E77BB5"/>
    <w:rsid w:val="00E80E43"/>
    <w:rsid w:val="00E812A5"/>
    <w:rsid w:val="00E812B1"/>
    <w:rsid w:val="00E8201C"/>
    <w:rsid w:val="00E84198"/>
    <w:rsid w:val="00E85D37"/>
    <w:rsid w:val="00E9175D"/>
    <w:rsid w:val="00E91C61"/>
    <w:rsid w:val="00E951FF"/>
    <w:rsid w:val="00EA5826"/>
    <w:rsid w:val="00EA7EE1"/>
    <w:rsid w:val="00EB3285"/>
    <w:rsid w:val="00EB33A1"/>
    <w:rsid w:val="00EB7A02"/>
    <w:rsid w:val="00EB7F4D"/>
    <w:rsid w:val="00EC0261"/>
    <w:rsid w:val="00EC05AB"/>
    <w:rsid w:val="00EC10CA"/>
    <w:rsid w:val="00EC1B38"/>
    <w:rsid w:val="00EC26C7"/>
    <w:rsid w:val="00EC3E3C"/>
    <w:rsid w:val="00EC4480"/>
    <w:rsid w:val="00EC5CAA"/>
    <w:rsid w:val="00EC603A"/>
    <w:rsid w:val="00EC607E"/>
    <w:rsid w:val="00EC6B6C"/>
    <w:rsid w:val="00EC773F"/>
    <w:rsid w:val="00EC7BC1"/>
    <w:rsid w:val="00EC7FEF"/>
    <w:rsid w:val="00ED0D18"/>
    <w:rsid w:val="00ED2BE5"/>
    <w:rsid w:val="00ED304C"/>
    <w:rsid w:val="00ED5A8D"/>
    <w:rsid w:val="00EE01A0"/>
    <w:rsid w:val="00EE3B66"/>
    <w:rsid w:val="00EE66E0"/>
    <w:rsid w:val="00EE67EF"/>
    <w:rsid w:val="00EF19F1"/>
    <w:rsid w:val="00EF4B69"/>
    <w:rsid w:val="00EF6661"/>
    <w:rsid w:val="00F00DE8"/>
    <w:rsid w:val="00F010E4"/>
    <w:rsid w:val="00F02083"/>
    <w:rsid w:val="00F045F1"/>
    <w:rsid w:val="00F04E2F"/>
    <w:rsid w:val="00F0792B"/>
    <w:rsid w:val="00F10FB5"/>
    <w:rsid w:val="00F135E2"/>
    <w:rsid w:val="00F13D15"/>
    <w:rsid w:val="00F14782"/>
    <w:rsid w:val="00F148D2"/>
    <w:rsid w:val="00F15E7A"/>
    <w:rsid w:val="00F179AA"/>
    <w:rsid w:val="00F17D5A"/>
    <w:rsid w:val="00F216E2"/>
    <w:rsid w:val="00F22B21"/>
    <w:rsid w:val="00F231B4"/>
    <w:rsid w:val="00F2385F"/>
    <w:rsid w:val="00F24B6B"/>
    <w:rsid w:val="00F24FE7"/>
    <w:rsid w:val="00F25E48"/>
    <w:rsid w:val="00F27991"/>
    <w:rsid w:val="00F324AE"/>
    <w:rsid w:val="00F32EE5"/>
    <w:rsid w:val="00F3575E"/>
    <w:rsid w:val="00F35C38"/>
    <w:rsid w:val="00F360EE"/>
    <w:rsid w:val="00F364C2"/>
    <w:rsid w:val="00F36B08"/>
    <w:rsid w:val="00F36ECF"/>
    <w:rsid w:val="00F37834"/>
    <w:rsid w:val="00F401B1"/>
    <w:rsid w:val="00F40274"/>
    <w:rsid w:val="00F4089D"/>
    <w:rsid w:val="00F41043"/>
    <w:rsid w:val="00F419C4"/>
    <w:rsid w:val="00F43037"/>
    <w:rsid w:val="00F43848"/>
    <w:rsid w:val="00F44CC0"/>
    <w:rsid w:val="00F468D4"/>
    <w:rsid w:val="00F472EF"/>
    <w:rsid w:val="00F502D5"/>
    <w:rsid w:val="00F5046C"/>
    <w:rsid w:val="00F54FAB"/>
    <w:rsid w:val="00F55168"/>
    <w:rsid w:val="00F56052"/>
    <w:rsid w:val="00F564D9"/>
    <w:rsid w:val="00F5697A"/>
    <w:rsid w:val="00F56FFB"/>
    <w:rsid w:val="00F60F91"/>
    <w:rsid w:val="00F61341"/>
    <w:rsid w:val="00F61984"/>
    <w:rsid w:val="00F62208"/>
    <w:rsid w:val="00F633C4"/>
    <w:rsid w:val="00F6583F"/>
    <w:rsid w:val="00F71BA8"/>
    <w:rsid w:val="00F72A54"/>
    <w:rsid w:val="00F72CE3"/>
    <w:rsid w:val="00F74AFD"/>
    <w:rsid w:val="00F76167"/>
    <w:rsid w:val="00F769BD"/>
    <w:rsid w:val="00F76F76"/>
    <w:rsid w:val="00F80378"/>
    <w:rsid w:val="00F80437"/>
    <w:rsid w:val="00F82BB5"/>
    <w:rsid w:val="00F83775"/>
    <w:rsid w:val="00F8402F"/>
    <w:rsid w:val="00F84575"/>
    <w:rsid w:val="00F85709"/>
    <w:rsid w:val="00F8662E"/>
    <w:rsid w:val="00F91375"/>
    <w:rsid w:val="00F91757"/>
    <w:rsid w:val="00F91F7E"/>
    <w:rsid w:val="00F93296"/>
    <w:rsid w:val="00F934D0"/>
    <w:rsid w:val="00F945DE"/>
    <w:rsid w:val="00F94818"/>
    <w:rsid w:val="00F948A0"/>
    <w:rsid w:val="00F95629"/>
    <w:rsid w:val="00F96DB1"/>
    <w:rsid w:val="00FA2944"/>
    <w:rsid w:val="00FA45B4"/>
    <w:rsid w:val="00FA49B9"/>
    <w:rsid w:val="00FA5F7A"/>
    <w:rsid w:val="00FA6717"/>
    <w:rsid w:val="00FA7AA7"/>
    <w:rsid w:val="00FB2E16"/>
    <w:rsid w:val="00FB3704"/>
    <w:rsid w:val="00FB6CE0"/>
    <w:rsid w:val="00FC106F"/>
    <w:rsid w:val="00FC1AB5"/>
    <w:rsid w:val="00FC3255"/>
    <w:rsid w:val="00FC3537"/>
    <w:rsid w:val="00FC4737"/>
    <w:rsid w:val="00FC6E8A"/>
    <w:rsid w:val="00FD069F"/>
    <w:rsid w:val="00FD4748"/>
    <w:rsid w:val="00FD4786"/>
    <w:rsid w:val="00FD5834"/>
    <w:rsid w:val="00FD7CD5"/>
    <w:rsid w:val="00FE0184"/>
    <w:rsid w:val="00FE4E3B"/>
    <w:rsid w:val="00FE6238"/>
    <w:rsid w:val="00FE6974"/>
    <w:rsid w:val="00FE6FA9"/>
    <w:rsid w:val="00FF1B0F"/>
    <w:rsid w:val="00FF26EE"/>
    <w:rsid w:val="00FF2F88"/>
    <w:rsid w:val="00FF3575"/>
    <w:rsid w:val="00FF5E3D"/>
    <w:rsid w:val="00FF6D76"/>
    <w:rsid w:val="00FF7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BCA1"/>
  <w15:chartTrackingRefBased/>
  <w15:docId w15:val="{215CF079-EC70-4426-9CC2-DC3ACC07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D8"/>
    <w:pPr>
      <w:spacing w:after="0" w:line="480" w:lineRule="exact"/>
      <w:contextualSpacing/>
    </w:pPr>
    <w:rPr>
      <w:rFonts w:ascii="Georgia" w:hAnsi="Georgia"/>
      <w:sz w:val="26"/>
    </w:rPr>
  </w:style>
  <w:style w:type="paragraph" w:styleId="Heading1">
    <w:name w:val="heading 1"/>
    <w:basedOn w:val="Normal"/>
    <w:next w:val="Normal"/>
    <w:link w:val="Heading1Char"/>
    <w:autoRedefine/>
    <w:uiPriority w:val="9"/>
    <w:qFormat/>
    <w:rsid w:val="00A0424A"/>
    <w:pPr>
      <w:spacing w:after="120" w:line="320" w:lineRule="exact"/>
      <w:contextualSpacing w:val="0"/>
      <w:jc w:val="center"/>
      <w:outlineLvl w:val="0"/>
    </w:pPr>
    <w:rPr>
      <w:b/>
      <w:smallCaps/>
      <w:sz w:val="32"/>
      <w:szCs w:val="32"/>
    </w:rPr>
  </w:style>
  <w:style w:type="paragraph" w:styleId="Heading2">
    <w:name w:val="heading 2"/>
    <w:basedOn w:val="ListParagraph"/>
    <w:next w:val="Normal"/>
    <w:link w:val="Heading2Char"/>
    <w:autoRedefine/>
    <w:uiPriority w:val="9"/>
    <w:unhideWhenUsed/>
    <w:qFormat/>
    <w:rsid w:val="006C69CF"/>
    <w:pPr>
      <w:numPr>
        <w:numId w:val="1"/>
      </w:numPr>
      <w:spacing w:before="240" w:after="240" w:line="240" w:lineRule="auto"/>
      <w:ind w:left="720"/>
      <w:outlineLvl w:val="1"/>
    </w:pPr>
    <w:rPr>
      <w:b/>
    </w:rPr>
  </w:style>
  <w:style w:type="paragraph" w:styleId="Heading3">
    <w:name w:val="heading 3"/>
    <w:basedOn w:val="ListParagraph"/>
    <w:next w:val="Normal"/>
    <w:link w:val="Heading3Char"/>
    <w:autoRedefine/>
    <w:uiPriority w:val="9"/>
    <w:unhideWhenUsed/>
    <w:qFormat/>
    <w:rsid w:val="0068691E"/>
    <w:pPr>
      <w:numPr>
        <w:numId w:val="3"/>
      </w:numPr>
      <w:spacing w:before="120" w:after="120" w:line="240" w:lineRule="auto"/>
      <w:outlineLvl w:val="2"/>
    </w:pPr>
    <w:rPr>
      <w:b/>
      <w:i/>
    </w:rPr>
  </w:style>
  <w:style w:type="paragraph" w:styleId="Heading4">
    <w:name w:val="heading 4"/>
    <w:basedOn w:val="BodyPA"/>
    <w:next w:val="Normal"/>
    <w:link w:val="Heading4Char"/>
    <w:uiPriority w:val="9"/>
    <w:unhideWhenUsed/>
    <w:qFormat/>
    <w:rsid w:val="00443B19"/>
    <w:pPr>
      <w:numPr>
        <w:numId w:val="2"/>
      </w:numPr>
      <w:spacing w:before="120" w:after="120" w:line="240" w:lineRule="auto"/>
      <w:outlineLvl w:val="3"/>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autoRedefine/>
    <w:uiPriority w:val="99"/>
    <w:semiHidden/>
    <w:unhideWhenUsed/>
    <w:rsid w:val="00924682"/>
    <w:pPr>
      <w:spacing w:before="120" w:after="120" w:line="240" w:lineRule="auto"/>
    </w:pPr>
    <w:rPr>
      <w:rFonts w:eastAsiaTheme="majorEastAsia" w:cstheme="majorBidi"/>
      <w:b/>
      <w:bCs/>
      <w:szCs w:val="24"/>
    </w:rPr>
  </w:style>
  <w:style w:type="paragraph" w:styleId="TableofAuthorities">
    <w:name w:val="table of authorities"/>
    <w:basedOn w:val="Normal"/>
    <w:next w:val="Normal"/>
    <w:autoRedefine/>
    <w:uiPriority w:val="99"/>
    <w:semiHidden/>
    <w:unhideWhenUsed/>
    <w:rsid w:val="00924682"/>
    <w:pPr>
      <w:spacing w:line="360" w:lineRule="auto"/>
      <w:ind w:left="259" w:hanging="259"/>
    </w:pPr>
  </w:style>
  <w:style w:type="character" w:customStyle="1" w:styleId="Heading1Char">
    <w:name w:val="Heading 1 Char"/>
    <w:basedOn w:val="DefaultParagraphFont"/>
    <w:link w:val="Heading1"/>
    <w:uiPriority w:val="9"/>
    <w:rsid w:val="00A0424A"/>
    <w:rPr>
      <w:rFonts w:ascii="Georgia" w:hAnsi="Georgia"/>
      <w:b/>
      <w:smallCaps/>
      <w:sz w:val="32"/>
      <w:szCs w:val="32"/>
    </w:rPr>
  </w:style>
  <w:style w:type="paragraph" w:styleId="ListParagraph">
    <w:name w:val="List Paragraph"/>
    <w:basedOn w:val="Normal"/>
    <w:uiPriority w:val="1"/>
    <w:qFormat/>
    <w:rsid w:val="00D02DB0"/>
    <w:pPr>
      <w:ind w:left="720"/>
    </w:pPr>
  </w:style>
  <w:style w:type="character" w:customStyle="1" w:styleId="Heading2Char">
    <w:name w:val="Heading 2 Char"/>
    <w:basedOn w:val="DefaultParagraphFont"/>
    <w:link w:val="Heading2"/>
    <w:uiPriority w:val="9"/>
    <w:rsid w:val="006C69CF"/>
    <w:rPr>
      <w:rFonts w:ascii="Georgia" w:hAnsi="Georgia"/>
      <w:b/>
      <w:sz w:val="26"/>
    </w:rPr>
  </w:style>
  <w:style w:type="character" w:customStyle="1" w:styleId="Heading3Char">
    <w:name w:val="Heading 3 Char"/>
    <w:basedOn w:val="DefaultParagraphFont"/>
    <w:link w:val="Heading3"/>
    <w:uiPriority w:val="9"/>
    <w:rsid w:val="0068691E"/>
    <w:rPr>
      <w:rFonts w:ascii="Georgia" w:hAnsi="Georgia"/>
      <w:b/>
      <w:i/>
      <w:sz w:val="26"/>
    </w:rPr>
  </w:style>
  <w:style w:type="paragraph" w:styleId="Quote">
    <w:name w:val="Quote"/>
    <w:basedOn w:val="Normal"/>
    <w:next w:val="Normal"/>
    <w:link w:val="QuoteChar"/>
    <w:uiPriority w:val="29"/>
    <w:qFormat/>
    <w:rsid w:val="00122F41"/>
    <w:pPr>
      <w:spacing w:line="240" w:lineRule="auto"/>
      <w:ind w:left="1440"/>
    </w:pPr>
    <w:rPr>
      <w:rFonts w:eastAsia="Times New Roman" w:cs="Times New Roman"/>
      <w:i/>
      <w:szCs w:val="20"/>
    </w:rPr>
  </w:style>
  <w:style w:type="character" w:customStyle="1" w:styleId="QuoteChar">
    <w:name w:val="Quote Char"/>
    <w:basedOn w:val="DefaultParagraphFont"/>
    <w:link w:val="Quote"/>
    <w:uiPriority w:val="29"/>
    <w:rsid w:val="00122F41"/>
    <w:rPr>
      <w:rFonts w:ascii="Georgia" w:eastAsia="Times New Roman" w:hAnsi="Georgia" w:cs="Times New Roman"/>
      <w:i/>
      <w:sz w:val="26"/>
      <w:szCs w:val="20"/>
    </w:rPr>
  </w:style>
  <w:style w:type="paragraph" w:customStyle="1" w:styleId="BodyPA">
    <w:name w:val="Body P&amp;A"/>
    <w:qFormat/>
    <w:rsid w:val="00145A3D"/>
    <w:pPr>
      <w:spacing w:after="0" w:line="480" w:lineRule="exact"/>
      <w:ind w:firstLine="720"/>
      <w:contextualSpacing/>
    </w:pPr>
    <w:rPr>
      <w:rFonts w:ascii="Georgia" w:hAnsi="Georgia"/>
      <w:bCs/>
      <w:sz w:val="26"/>
      <w:szCs w:val="24"/>
    </w:rPr>
  </w:style>
  <w:style w:type="paragraph" w:styleId="NoSpacing">
    <w:name w:val="No Spacing"/>
    <w:aliases w:val=".6"/>
    <w:next w:val="Normal"/>
    <w:autoRedefine/>
    <w:uiPriority w:val="1"/>
    <w:qFormat/>
    <w:rsid w:val="00145A3D"/>
    <w:pPr>
      <w:spacing w:after="0" w:line="120" w:lineRule="exact"/>
      <w:contextualSpacing/>
    </w:pPr>
    <w:rPr>
      <w:rFonts w:ascii="Georgia" w:hAnsi="Georgia"/>
      <w:sz w:val="26"/>
    </w:rPr>
  </w:style>
  <w:style w:type="paragraph" w:styleId="FootnoteText">
    <w:name w:val="footnote text"/>
    <w:basedOn w:val="Normal"/>
    <w:link w:val="FootnoteTextChar"/>
    <w:uiPriority w:val="99"/>
    <w:semiHidden/>
    <w:unhideWhenUsed/>
    <w:rsid w:val="00F96DB1"/>
    <w:pPr>
      <w:spacing w:line="240" w:lineRule="auto"/>
    </w:pPr>
    <w:rPr>
      <w:sz w:val="20"/>
      <w:szCs w:val="20"/>
    </w:rPr>
  </w:style>
  <w:style w:type="character" w:customStyle="1" w:styleId="FootnoteTextChar">
    <w:name w:val="Footnote Text Char"/>
    <w:basedOn w:val="DefaultParagraphFont"/>
    <w:link w:val="FootnoteText"/>
    <w:uiPriority w:val="99"/>
    <w:semiHidden/>
    <w:rsid w:val="00F96DB1"/>
    <w:rPr>
      <w:rFonts w:ascii="Georgia" w:hAnsi="Georgia"/>
      <w:sz w:val="20"/>
      <w:szCs w:val="20"/>
    </w:rPr>
  </w:style>
  <w:style w:type="character" w:styleId="FootnoteReference">
    <w:name w:val="footnote reference"/>
    <w:basedOn w:val="DefaultParagraphFont"/>
    <w:unhideWhenUsed/>
    <w:qFormat/>
    <w:rsid w:val="00F96DB1"/>
    <w:rPr>
      <w:vertAlign w:val="superscript"/>
    </w:rPr>
  </w:style>
  <w:style w:type="character" w:styleId="Hyperlink">
    <w:name w:val="Hyperlink"/>
    <w:basedOn w:val="DefaultParagraphFont"/>
    <w:uiPriority w:val="99"/>
    <w:unhideWhenUsed/>
    <w:rsid w:val="00F96DB1"/>
    <w:rPr>
      <w:color w:val="0563C1" w:themeColor="hyperlink"/>
      <w:u w:val="single"/>
    </w:rPr>
  </w:style>
  <w:style w:type="paragraph" w:styleId="Header">
    <w:name w:val="header"/>
    <w:basedOn w:val="Normal"/>
    <w:link w:val="HeaderChar"/>
    <w:uiPriority w:val="99"/>
    <w:unhideWhenUsed/>
    <w:rsid w:val="00F96DB1"/>
    <w:pPr>
      <w:tabs>
        <w:tab w:val="center" w:pos="4680"/>
        <w:tab w:val="right" w:pos="9360"/>
      </w:tabs>
      <w:spacing w:line="240" w:lineRule="auto"/>
    </w:pPr>
  </w:style>
  <w:style w:type="character" w:customStyle="1" w:styleId="HeaderChar">
    <w:name w:val="Header Char"/>
    <w:basedOn w:val="DefaultParagraphFont"/>
    <w:link w:val="Header"/>
    <w:uiPriority w:val="99"/>
    <w:rsid w:val="00F96DB1"/>
    <w:rPr>
      <w:rFonts w:ascii="Georgia" w:hAnsi="Georgia"/>
      <w:sz w:val="26"/>
    </w:rPr>
  </w:style>
  <w:style w:type="paragraph" w:styleId="Footer">
    <w:name w:val="footer"/>
    <w:basedOn w:val="Normal"/>
    <w:link w:val="FooterChar"/>
    <w:uiPriority w:val="99"/>
    <w:unhideWhenUsed/>
    <w:rsid w:val="00F96DB1"/>
    <w:pPr>
      <w:tabs>
        <w:tab w:val="center" w:pos="4680"/>
        <w:tab w:val="right" w:pos="9360"/>
      </w:tabs>
      <w:spacing w:line="240" w:lineRule="auto"/>
    </w:pPr>
  </w:style>
  <w:style w:type="character" w:customStyle="1" w:styleId="FooterChar">
    <w:name w:val="Footer Char"/>
    <w:basedOn w:val="DefaultParagraphFont"/>
    <w:link w:val="Footer"/>
    <w:uiPriority w:val="99"/>
    <w:rsid w:val="00F96DB1"/>
    <w:rPr>
      <w:rFonts w:ascii="Georgia" w:hAnsi="Georgia"/>
      <w:sz w:val="26"/>
    </w:rPr>
  </w:style>
  <w:style w:type="character" w:styleId="FollowedHyperlink">
    <w:name w:val="FollowedHyperlink"/>
    <w:basedOn w:val="DefaultParagraphFont"/>
    <w:uiPriority w:val="99"/>
    <w:semiHidden/>
    <w:unhideWhenUsed/>
    <w:rsid w:val="00E9175D"/>
    <w:rPr>
      <w:color w:val="954F72" w:themeColor="followedHyperlink"/>
      <w:u w:val="single"/>
    </w:rPr>
  </w:style>
  <w:style w:type="character" w:customStyle="1" w:styleId="Heading4Char">
    <w:name w:val="Heading 4 Char"/>
    <w:basedOn w:val="DefaultParagraphFont"/>
    <w:link w:val="Heading4"/>
    <w:uiPriority w:val="9"/>
    <w:rsid w:val="00443B19"/>
    <w:rPr>
      <w:rFonts w:ascii="Georgia" w:hAnsi="Georgia"/>
      <w:b/>
      <w:bCs/>
      <w:i/>
      <w:sz w:val="26"/>
      <w:szCs w:val="24"/>
    </w:rPr>
  </w:style>
  <w:style w:type="paragraph" w:styleId="TOC1">
    <w:name w:val="toc 1"/>
    <w:basedOn w:val="Normal"/>
    <w:next w:val="Normal"/>
    <w:autoRedefine/>
    <w:uiPriority w:val="39"/>
    <w:unhideWhenUsed/>
    <w:rsid w:val="00924682"/>
    <w:pPr>
      <w:spacing w:after="100"/>
    </w:pPr>
  </w:style>
  <w:style w:type="paragraph" w:styleId="TOC2">
    <w:name w:val="toc 2"/>
    <w:basedOn w:val="Normal"/>
    <w:next w:val="Normal"/>
    <w:autoRedefine/>
    <w:uiPriority w:val="39"/>
    <w:unhideWhenUsed/>
    <w:rsid w:val="00C37CE5"/>
    <w:pPr>
      <w:tabs>
        <w:tab w:val="left" w:pos="780"/>
        <w:tab w:val="right" w:leader="dot" w:pos="9350"/>
      </w:tabs>
      <w:ind w:left="259"/>
    </w:pPr>
  </w:style>
  <w:style w:type="paragraph" w:styleId="TOC3">
    <w:name w:val="toc 3"/>
    <w:basedOn w:val="Normal"/>
    <w:next w:val="Normal"/>
    <w:autoRedefine/>
    <w:uiPriority w:val="39"/>
    <w:unhideWhenUsed/>
    <w:rsid w:val="00C37CE5"/>
    <w:pPr>
      <w:tabs>
        <w:tab w:val="left" w:pos="1100"/>
        <w:tab w:val="right" w:leader="dot" w:pos="9350"/>
      </w:tabs>
      <w:ind w:left="518"/>
    </w:pPr>
  </w:style>
  <w:style w:type="paragraph" w:styleId="TOC4">
    <w:name w:val="toc 4"/>
    <w:basedOn w:val="Normal"/>
    <w:next w:val="Normal"/>
    <w:autoRedefine/>
    <w:uiPriority w:val="39"/>
    <w:unhideWhenUsed/>
    <w:rsid w:val="00C37CE5"/>
    <w:pPr>
      <w:tabs>
        <w:tab w:val="left" w:pos="1320"/>
        <w:tab w:val="right" w:leader="dot" w:pos="9350"/>
      </w:tabs>
      <w:ind w:left="778"/>
    </w:pPr>
  </w:style>
  <w:style w:type="paragraph" w:styleId="BalloonText">
    <w:name w:val="Balloon Text"/>
    <w:basedOn w:val="Normal"/>
    <w:link w:val="BalloonTextChar"/>
    <w:uiPriority w:val="99"/>
    <w:semiHidden/>
    <w:unhideWhenUsed/>
    <w:rsid w:val="000547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47A4"/>
    <w:rPr>
      <w:rFonts w:ascii="Segoe UI" w:hAnsi="Segoe UI" w:cs="Segoe UI"/>
      <w:sz w:val="18"/>
      <w:szCs w:val="18"/>
    </w:rPr>
  </w:style>
  <w:style w:type="table" w:styleId="TableGrid">
    <w:name w:val="Table Grid"/>
    <w:basedOn w:val="TableNormal"/>
    <w:uiPriority w:val="39"/>
    <w:rsid w:val="00116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131AC"/>
    <w:pPr>
      <w:spacing w:after="0" w:line="240" w:lineRule="auto"/>
    </w:pPr>
    <w:rPr>
      <w:rFonts w:ascii="Georgia" w:eastAsia="Times New Roman" w:hAnsi="Georgia"/>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0C2D"/>
    <w:rPr>
      <w:sz w:val="16"/>
      <w:szCs w:val="16"/>
    </w:rPr>
  </w:style>
  <w:style w:type="paragraph" w:styleId="CommentText">
    <w:name w:val="annotation text"/>
    <w:basedOn w:val="Normal"/>
    <w:link w:val="CommentTextChar"/>
    <w:uiPriority w:val="99"/>
    <w:unhideWhenUsed/>
    <w:rsid w:val="001A0C2D"/>
    <w:pPr>
      <w:spacing w:line="240" w:lineRule="auto"/>
    </w:pPr>
    <w:rPr>
      <w:sz w:val="20"/>
      <w:szCs w:val="20"/>
    </w:rPr>
  </w:style>
  <w:style w:type="character" w:customStyle="1" w:styleId="CommentTextChar">
    <w:name w:val="Comment Text Char"/>
    <w:basedOn w:val="DefaultParagraphFont"/>
    <w:link w:val="CommentText"/>
    <w:uiPriority w:val="99"/>
    <w:rsid w:val="001A0C2D"/>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1A0C2D"/>
    <w:rPr>
      <w:b/>
      <w:bCs/>
    </w:rPr>
  </w:style>
  <w:style w:type="character" w:customStyle="1" w:styleId="CommentSubjectChar">
    <w:name w:val="Comment Subject Char"/>
    <w:basedOn w:val="CommentTextChar"/>
    <w:link w:val="CommentSubject"/>
    <w:uiPriority w:val="99"/>
    <w:semiHidden/>
    <w:rsid w:val="001A0C2D"/>
    <w:rPr>
      <w:rFonts w:ascii="Georgia" w:hAnsi="Georgia"/>
      <w:b/>
      <w:bCs/>
      <w:sz w:val="20"/>
      <w:szCs w:val="20"/>
    </w:rPr>
  </w:style>
  <w:style w:type="paragraph" w:styleId="Revision">
    <w:name w:val="Revision"/>
    <w:hidden/>
    <w:uiPriority w:val="99"/>
    <w:semiHidden/>
    <w:rsid w:val="00EC3E3C"/>
    <w:pPr>
      <w:spacing w:after="0" w:line="240" w:lineRule="auto"/>
    </w:pPr>
    <w:rPr>
      <w:rFonts w:ascii="Georgia" w:hAnsi="Georgia"/>
      <w:sz w:val="26"/>
    </w:rPr>
  </w:style>
  <w:style w:type="paragraph" w:customStyle="1" w:styleId="CapText">
    <w:name w:val="CapText"/>
    <w:basedOn w:val="Normal"/>
    <w:rsid w:val="00912D2F"/>
    <w:pPr>
      <w:spacing w:line="240" w:lineRule="auto"/>
      <w:contextualSpacing w:val="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CD01CA"/>
    <w:rPr>
      <w:color w:val="605E5C"/>
      <w:shd w:val="clear" w:color="auto" w:fill="E1DFDD"/>
    </w:rPr>
  </w:style>
  <w:style w:type="paragraph" w:styleId="NormalWeb">
    <w:name w:val="Normal (Web)"/>
    <w:basedOn w:val="Normal"/>
    <w:uiPriority w:val="99"/>
    <w:semiHidden/>
    <w:unhideWhenUsed/>
    <w:rsid w:val="00EE67EF"/>
    <w:rPr>
      <w:rFonts w:ascii="Times New Roman" w:hAnsi="Times New Roman" w:cs="Times New Roman"/>
      <w:sz w:val="24"/>
      <w:szCs w:val="24"/>
    </w:rPr>
  </w:style>
  <w:style w:type="paragraph" w:styleId="BodyText">
    <w:name w:val="Body Text"/>
    <w:basedOn w:val="Normal"/>
    <w:link w:val="BodyTextChar"/>
    <w:uiPriority w:val="99"/>
    <w:semiHidden/>
    <w:unhideWhenUsed/>
    <w:rsid w:val="00A91475"/>
    <w:pPr>
      <w:spacing w:after="120"/>
    </w:pPr>
  </w:style>
  <w:style w:type="character" w:customStyle="1" w:styleId="BodyTextChar">
    <w:name w:val="Body Text Char"/>
    <w:basedOn w:val="DefaultParagraphFont"/>
    <w:link w:val="BodyText"/>
    <w:uiPriority w:val="99"/>
    <w:semiHidden/>
    <w:rsid w:val="00A91475"/>
    <w:rPr>
      <w:rFonts w:ascii="Georgia" w:hAnsi="Georgia"/>
      <w:sz w:val="26"/>
    </w:rPr>
  </w:style>
  <w:style w:type="character" w:styleId="PlaceholderText">
    <w:name w:val="Placeholder Text"/>
    <w:basedOn w:val="DefaultParagraphFont"/>
    <w:uiPriority w:val="99"/>
    <w:semiHidden/>
    <w:rsid w:val="00207870"/>
    <w:rPr>
      <w:color w:val="666666"/>
    </w:rPr>
  </w:style>
  <w:style w:type="paragraph" w:customStyle="1" w:styleId="Title1">
    <w:name w:val="Title1"/>
    <w:basedOn w:val="Normal"/>
    <w:next w:val="Normal"/>
    <w:uiPriority w:val="10"/>
    <w:qFormat/>
    <w:rsid w:val="00D01161"/>
    <w:pPr>
      <w:spacing w:after="80" w:line="240" w:lineRule="auto"/>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D01161"/>
    <w:rPr>
      <w:rFonts w:ascii="Aptos Display" w:eastAsia="Times New Roman" w:hAnsi="Aptos Display" w:cs="Times New Roman"/>
      <w:spacing w:val="-10"/>
      <w:kern w:val="28"/>
      <w:sz w:val="56"/>
      <w:szCs w:val="56"/>
    </w:rPr>
  </w:style>
  <w:style w:type="paragraph" w:styleId="Title">
    <w:name w:val="Title"/>
    <w:basedOn w:val="Normal"/>
    <w:next w:val="Normal"/>
    <w:link w:val="TitleChar"/>
    <w:uiPriority w:val="10"/>
    <w:qFormat/>
    <w:rsid w:val="00D01161"/>
    <w:pPr>
      <w:spacing w:line="240" w:lineRule="auto"/>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link w:val="Title"/>
    <w:uiPriority w:val="10"/>
    <w:rsid w:val="00D011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1573">
      <w:bodyDiv w:val="1"/>
      <w:marLeft w:val="0"/>
      <w:marRight w:val="0"/>
      <w:marTop w:val="0"/>
      <w:marBottom w:val="0"/>
      <w:divBdr>
        <w:top w:val="none" w:sz="0" w:space="0" w:color="auto"/>
        <w:left w:val="none" w:sz="0" w:space="0" w:color="auto"/>
        <w:bottom w:val="none" w:sz="0" w:space="0" w:color="auto"/>
        <w:right w:val="none" w:sz="0" w:space="0" w:color="auto"/>
      </w:divBdr>
    </w:div>
    <w:div w:id="67309194">
      <w:bodyDiv w:val="1"/>
      <w:marLeft w:val="0"/>
      <w:marRight w:val="0"/>
      <w:marTop w:val="0"/>
      <w:marBottom w:val="0"/>
      <w:divBdr>
        <w:top w:val="none" w:sz="0" w:space="0" w:color="auto"/>
        <w:left w:val="none" w:sz="0" w:space="0" w:color="auto"/>
        <w:bottom w:val="none" w:sz="0" w:space="0" w:color="auto"/>
        <w:right w:val="none" w:sz="0" w:space="0" w:color="auto"/>
      </w:divBdr>
    </w:div>
    <w:div w:id="106431039">
      <w:bodyDiv w:val="1"/>
      <w:marLeft w:val="0"/>
      <w:marRight w:val="0"/>
      <w:marTop w:val="0"/>
      <w:marBottom w:val="0"/>
      <w:divBdr>
        <w:top w:val="none" w:sz="0" w:space="0" w:color="auto"/>
        <w:left w:val="none" w:sz="0" w:space="0" w:color="auto"/>
        <w:bottom w:val="none" w:sz="0" w:space="0" w:color="auto"/>
        <w:right w:val="none" w:sz="0" w:space="0" w:color="auto"/>
      </w:divBdr>
    </w:div>
    <w:div w:id="169569180">
      <w:bodyDiv w:val="1"/>
      <w:marLeft w:val="0"/>
      <w:marRight w:val="0"/>
      <w:marTop w:val="0"/>
      <w:marBottom w:val="0"/>
      <w:divBdr>
        <w:top w:val="none" w:sz="0" w:space="0" w:color="auto"/>
        <w:left w:val="none" w:sz="0" w:space="0" w:color="auto"/>
        <w:bottom w:val="none" w:sz="0" w:space="0" w:color="auto"/>
        <w:right w:val="none" w:sz="0" w:space="0" w:color="auto"/>
      </w:divBdr>
    </w:div>
    <w:div w:id="251594832">
      <w:bodyDiv w:val="1"/>
      <w:marLeft w:val="0"/>
      <w:marRight w:val="0"/>
      <w:marTop w:val="0"/>
      <w:marBottom w:val="0"/>
      <w:divBdr>
        <w:top w:val="none" w:sz="0" w:space="0" w:color="auto"/>
        <w:left w:val="none" w:sz="0" w:space="0" w:color="auto"/>
        <w:bottom w:val="none" w:sz="0" w:space="0" w:color="auto"/>
        <w:right w:val="none" w:sz="0" w:space="0" w:color="auto"/>
      </w:divBdr>
    </w:div>
    <w:div w:id="267469831">
      <w:bodyDiv w:val="1"/>
      <w:marLeft w:val="0"/>
      <w:marRight w:val="0"/>
      <w:marTop w:val="0"/>
      <w:marBottom w:val="0"/>
      <w:divBdr>
        <w:top w:val="none" w:sz="0" w:space="0" w:color="auto"/>
        <w:left w:val="none" w:sz="0" w:space="0" w:color="auto"/>
        <w:bottom w:val="none" w:sz="0" w:space="0" w:color="auto"/>
        <w:right w:val="none" w:sz="0" w:space="0" w:color="auto"/>
      </w:divBdr>
    </w:div>
    <w:div w:id="274095548">
      <w:bodyDiv w:val="1"/>
      <w:marLeft w:val="0"/>
      <w:marRight w:val="0"/>
      <w:marTop w:val="0"/>
      <w:marBottom w:val="0"/>
      <w:divBdr>
        <w:top w:val="none" w:sz="0" w:space="0" w:color="auto"/>
        <w:left w:val="none" w:sz="0" w:space="0" w:color="auto"/>
        <w:bottom w:val="none" w:sz="0" w:space="0" w:color="auto"/>
        <w:right w:val="none" w:sz="0" w:space="0" w:color="auto"/>
      </w:divBdr>
      <w:divsChild>
        <w:div w:id="940724892">
          <w:marLeft w:val="750"/>
          <w:marRight w:val="0"/>
          <w:marTop w:val="0"/>
          <w:marBottom w:val="0"/>
          <w:divBdr>
            <w:top w:val="none" w:sz="0" w:space="0" w:color="auto"/>
            <w:left w:val="none" w:sz="0" w:space="0" w:color="auto"/>
            <w:bottom w:val="none" w:sz="0" w:space="0" w:color="auto"/>
            <w:right w:val="none" w:sz="0" w:space="0" w:color="auto"/>
          </w:divBdr>
        </w:div>
        <w:div w:id="1309167540">
          <w:marLeft w:val="750"/>
          <w:marRight w:val="0"/>
          <w:marTop w:val="0"/>
          <w:marBottom w:val="0"/>
          <w:divBdr>
            <w:top w:val="none" w:sz="0" w:space="0" w:color="auto"/>
            <w:left w:val="none" w:sz="0" w:space="0" w:color="auto"/>
            <w:bottom w:val="none" w:sz="0" w:space="0" w:color="auto"/>
            <w:right w:val="none" w:sz="0" w:space="0" w:color="auto"/>
          </w:divBdr>
          <w:divsChild>
            <w:div w:id="542787721">
              <w:marLeft w:val="712"/>
              <w:marRight w:val="0"/>
              <w:marTop w:val="0"/>
              <w:marBottom w:val="0"/>
              <w:divBdr>
                <w:top w:val="none" w:sz="0" w:space="0" w:color="auto"/>
                <w:left w:val="none" w:sz="0" w:space="0" w:color="auto"/>
                <w:bottom w:val="none" w:sz="0" w:space="0" w:color="auto"/>
                <w:right w:val="none" w:sz="0" w:space="0" w:color="auto"/>
              </w:divBdr>
            </w:div>
            <w:div w:id="1174884160">
              <w:marLeft w:val="712"/>
              <w:marRight w:val="0"/>
              <w:marTop w:val="0"/>
              <w:marBottom w:val="0"/>
              <w:divBdr>
                <w:top w:val="none" w:sz="0" w:space="0" w:color="auto"/>
                <w:left w:val="none" w:sz="0" w:space="0" w:color="auto"/>
                <w:bottom w:val="none" w:sz="0" w:space="0" w:color="auto"/>
                <w:right w:val="none" w:sz="0" w:space="0" w:color="auto"/>
              </w:divBdr>
            </w:div>
            <w:div w:id="1635060944">
              <w:marLeft w:val="712"/>
              <w:marRight w:val="0"/>
              <w:marTop w:val="0"/>
              <w:marBottom w:val="0"/>
              <w:divBdr>
                <w:top w:val="none" w:sz="0" w:space="0" w:color="auto"/>
                <w:left w:val="none" w:sz="0" w:space="0" w:color="auto"/>
                <w:bottom w:val="none" w:sz="0" w:space="0" w:color="auto"/>
                <w:right w:val="none" w:sz="0" w:space="0" w:color="auto"/>
              </w:divBdr>
            </w:div>
            <w:div w:id="1709916797">
              <w:marLeft w:val="712"/>
              <w:marRight w:val="0"/>
              <w:marTop w:val="0"/>
              <w:marBottom w:val="0"/>
              <w:divBdr>
                <w:top w:val="none" w:sz="0" w:space="0" w:color="auto"/>
                <w:left w:val="none" w:sz="0" w:space="0" w:color="auto"/>
                <w:bottom w:val="none" w:sz="0" w:space="0" w:color="auto"/>
                <w:right w:val="none" w:sz="0" w:space="0" w:color="auto"/>
              </w:divBdr>
            </w:div>
          </w:divsChild>
        </w:div>
        <w:div w:id="1521312555">
          <w:marLeft w:val="750"/>
          <w:marRight w:val="0"/>
          <w:marTop w:val="0"/>
          <w:marBottom w:val="0"/>
          <w:divBdr>
            <w:top w:val="none" w:sz="0" w:space="0" w:color="auto"/>
            <w:left w:val="none" w:sz="0" w:space="0" w:color="auto"/>
            <w:bottom w:val="none" w:sz="0" w:space="0" w:color="auto"/>
            <w:right w:val="none" w:sz="0" w:space="0" w:color="auto"/>
          </w:divBdr>
        </w:div>
      </w:divsChild>
    </w:div>
    <w:div w:id="383456976">
      <w:bodyDiv w:val="1"/>
      <w:marLeft w:val="0"/>
      <w:marRight w:val="0"/>
      <w:marTop w:val="0"/>
      <w:marBottom w:val="0"/>
      <w:divBdr>
        <w:top w:val="none" w:sz="0" w:space="0" w:color="auto"/>
        <w:left w:val="none" w:sz="0" w:space="0" w:color="auto"/>
        <w:bottom w:val="none" w:sz="0" w:space="0" w:color="auto"/>
        <w:right w:val="none" w:sz="0" w:space="0" w:color="auto"/>
      </w:divBdr>
    </w:div>
    <w:div w:id="481041686">
      <w:bodyDiv w:val="1"/>
      <w:marLeft w:val="0"/>
      <w:marRight w:val="0"/>
      <w:marTop w:val="0"/>
      <w:marBottom w:val="0"/>
      <w:divBdr>
        <w:top w:val="none" w:sz="0" w:space="0" w:color="auto"/>
        <w:left w:val="none" w:sz="0" w:space="0" w:color="auto"/>
        <w:bottom w:val="none" w:sz="0" w:space="0" w:color="auto"/>
        <w:right w:val="none" w:sz="0" w:space="0" w:color="auto"/>
      </w:divBdr>
    </w:div>
    <w:div w:id="505750827">
      <w:bodyDiv w:val="1"/>
      <w:marLeft w:val="0"/>
      <w:marRight w:val="0"/>
      <w:marTop w:val="0"/>
      <w:marBottom w:val="0"/>
      <w:divBdr>
        <w:top w:val="none" w:sz="0" w:space="0" w:color="auto"/>
        <w:left w:val="none" w:sz="0" w:space="0" w:color="auto"/>
        <w:bottom w:val="none" w:sz="0" w:space="0" w:color="auto"/>
        <w:right w:val="none" w:sz="0" w:space="0" w:color="auto"/>
      </w:divBdr>
    </w:div>
    <w:div w:id="536165498">
      <w:bodyDiv w:val="1"/>
      <w:marLeft w:val="0"/>
      <w:marRight w:val="0"/>
      <w:marTop w:val="0"/>
      <w:marBottom w:val="0"/>
      <w:divBdr>
        <w:top w:val="none" w:sz="0" w:space="0" w:color="auto"/>
        <w:left w:val="none" w:sz="0" w:space="0" w:color="auto"/>
        <w:bottom w:val="none" w:sz="0" w:space="0" w:color="auto"/>
        <w:right w:val="none" w:sz="0" w:space="0" w:color="auto"/>
      </w:divBdr>
    </w:div>
    <w:div w:id="542327980">
      <w:bodyDiv w:val="1"/>
      <w:marLeft w:val="0"/>
      <w:marRight w:val="0"/>
      <w:marTop w:val="0"/>
      <w:marBottom w:val="0"/>
      <w:divBdr>
        <w:top w:val="none" w:sz="0" w:space="0" w:color="auto"/>
        <w:left w:val="none" w:sz="0" w:space="0" w:color="auto"/>
        <w:bottom w:val="none" w:sz="0" w:space="0" w:color="auto"/>
        <w:right w:val="none" w:sz="0" w:space="0" w:color="auto"/>
      </w:divBdr>
    </w:div>
    <w:div w:id="600182270">
      <w:bodyDiv w:val="1"/>
      <w:marLeft w:val="0"/>
      <w:marRight w:val="0"/>
      <w:marTop w:val="0"/>
      <w:marBottom w:val="0"/>
      <w:divBdr>
        <w:top w:val="none" w:sz="0" w:space="0" w:color="auto"/>
        <w:left w:val="none" w:sz="0" w:space="0" w:color="auto"/>
        <w:bottom w:val="none" w:sz="0" w:space="0" w:color="auto"/>
        <w:right w:val="none" w:sz="0" w:space="0" w:color="auto"/>
      </w:divBdr>
    </w:div>
    <w:div w:id="662509697">
      <w:bodyDiv w:val="1"/>
      <w:marLeft w:val="0"/>
      <w:marRight w:val="0"/>
      <w:marTop w:val="0"/>
      <w:marBottom w:val="0"/>
      <w:divBdr>
        <w:top w:val="none" w:sz="0" w:space="0" w:color="auto"/>
        <w:left w:val="none" w:sz="0" w:space="0" w:color="auto"/>
        <w:bottom w:val="none" w:sz="0" w:space="0" w:color="auto"/>
        <w:right w:val="none" w:sz="0" w:space="0" w:color="auto"/>
      </w:divBdr>
    </w:div>
    <w:div w:id="689531756">
      <w:bodyDiv w:val="1"/>
      <w:marLeft w:val="0"/>
      <w:marRight w:val="0"/>
      <w:marTop w:val="0"/>
      <w:marBottom w:val="0"/>
      <w:divBdr>
        <w:top w:val="none" w:sz="0" w:space="0" w:color="auto"/>
        <w:left w:val="none" w:sz="0" w:space="0" w:color="auto"/>
        <w:bottom w:val="none" w:sz="0" w:space="0" w:color="auto"/>
        <w:right w:val="none" w:sz="0" w:space="0" w:color="auto"/>
      </w:divBdr>
    </w:div>
    <w:div w:id="793056836">
      <w:bodyDiv w:val="1"/>
      <w:marLeft w:val="0"/>
      <w:marRight w:val="0"/>
      <w:marTop w:val="0"/>
      <w:marBottom w:val="0"/>
      <w:divBdr>
        <w:top w:val="none" w:sz="0" w:space="0" w:color="auto"/>
        <w:left w:val="none" w:sz="0" w:space="0" w:color="auto"/>
        <w:bottom w:val="none" w:sz="0" w:space="0" w:color="auto"/>
        <w:right w:val="none" w:sz="0" w:space="0" w:color="auto"/>
      </w:divBdr>
    </w:div>
    <w:div w:id="834304121">
      <w:bodyDiv w:val="1"/>
      <w:marLeft w:val="0"/>
      <w:marRight w:val="0"/>
      <w:marTop w:val="0"/>
      <w:marBottom w:val="0"/>
      <w:divBdr>
        <w:top w:val="none" w:sz="0" w:space="0" w:color="auto"/>
        <w:left w:val="none" w:sz="0" w:space="0" w:color="auto"/>
        <w:bottom w:val="none" w:sz="0" w:space="0" w:color="auto"/>
        <w:right w:val="none" w:sz="0" w:space="0" w:color="auto"/>
      </w:divBdr>
    </w:div>
    <w:div w:id="866454981">
      <w:bodyDiv w:val="1"/>
      <w:marLeft w:val="0"/>
      <w:marRight w:val="0"/>
      <w:marTop w:val="0"/>
      <w:marBottom w:val="0"/>
      <w:divBdr>
        <w:top w:val="none" w:sz="0" w:space="0" w:color="auto"/>
        <w:left w:val="none" w:sz="0" w:space="0" w:color="auto"/>
        <w:bottom w:val="none" w:sz="0" w:space="0" w:color="auto"/>
        <w:right w:val="none" w:sz="0" w:space="0" w:color="auto"/>
      </w:divBdr>
    </w:div>
    <w:div w:id="937760202">
      <w:bodyDiv w:val="1"/>
      <w:marLeft w:val="0"/>
      <w:marRight w:val="0"/>
      <w:marTop w:val="0"/>
      <w:marBottom w:val="0"/>
      <w:divBdr>
        <w:top w:val="none" w:sz="0" w:space="0" w:color="auto"/>
        <w:left w:val="none" w:sz="0" w:space="0" w:color="auto"/>
        <w:bottom w:val="none" w:sz="0" w:space="0" w:color="auto"/>
        <w:right w:val="none" w:sz="0" w:space="0" w:color="auto"/>
      </w:divBdr>
    </w:div>
    <w:div w:id="973870334">
      <w:bodyDiv w:val="1"/>
      <w:marLeft w:val="0"/>
      <w:marRight w:val="0"/>
      <w:marTop w:val="0"/>
      <w:marBottom w:val="0"/>
      <w:divBdr>
        <w:top w:val="none" w:sz="0" w:space="0" w:color="auto"/>
        <w:left w:val="none" w:sz="0" w:space="0" w:color="auto"/>
        <w:bottom w:val="none" w:sz="0" w:space="0" w:color="auto"/>
        <w:right w:val="none" w:sz="0" w:space="0" w:color="auto"/>
      </w:divBdr>
    </w:div>
    <w:div w:id="1049037571">
      <w:bodyDiv w:val="1"/>
      <w:marLeft w:val="0"/>
      <w:marRight w:val="0"/>
      <w:marTop w:val="0"/>
      <w:marBottom w:val="0"/>
      <w:divBdr>
        <w:top w:val="none" w:sz="0" w:space="0" w:color="auto"/>
        <w:left w:val="none" w:sz="0" w:space="0" w:color="auto"/>
        <w:bottom w:val="none" w:sz="0" w:space="0" w:color="auto"/>
        <w:right w:val="none" w:sz="0" w:space="0" w:color="auto"/>
      </w:divBdr>
    </w:div>
    <w:div w:id="1298143334">
      <w:bodyDiv w:val="1"/>
      <w:marLeft w:val="0"/>
      <w:marRight w:val="0"/>
      <w:marTop w:val="0"/>
      <w:marBottom w:val="0"/>
      <w:divBdr>
        <w:top w:val="none" w:sz="0" w:space="0" w:color="auto"/>
        <w:left w:val="none" w:sz="0" w:space="0" w:color="auto"/>
        <w:bottom w:val="none" w:sz="0" w:space="0" w:color="auto"/>
        <w:right w:val="none" w:sz="0" w:space="0" w:color="auto"/>
      </w:divBdr>
    </w:div>
    <w:div w:id="1310017621">
      <w:bodyDiv w:val="1"/>
      <w:marLeft w:val="0"/>
      <w:marRight w:val="0"/>
      <w:marTop w:val="0"/>
      <w:marBottom w:val="0"/>
      <w:divBdr>
        <w:top w:val="none" w:sz="0" w:space="0" w:color="auto"/>
        <w:left w:val="none" w:sz="0" w:space="0" w:color="auto"/>
        <w:bottom w:val="none" w:sz="0" w:space="0" w:color="auto"/>
        <w:right w:val="none" w:sz="0" w:space="0" w:color="auto"/>
      </w:divBdr>
    </w:div>
    <w:div w:id="1392002277">
      <w:bodyDiv w:val="1"/>
      <w:marLeft w:val="0"/>
      <w:marRight w:val="0"/>
      <w:marTop w:val="0"/>
      <w:marBottom w:val="0"/>
      <w:divBdr>
        <w:top w:val="none" w:sz="0" w:space="0" w:color="auto"/>
        <w:left w:val="none" w:sz="0" w:space="0" w:color="auto"/>
        <w:bottom w:val="none" w:sz="0" w:space="0" w:color="auto"/>
        <w:right w:val="none" w:sz="0" w:space="0" w:color="auto"/>
      </w:divBdr>
    </w:div>
    <w:div w:id="1485004658">
      <w:bodyDiv w:val="1"/>
      <w:marLeft w:val="0"/>
      <w:marRight w:val="0"/>
      <w:marTop w:val="0"/>
      <w:marBottom w:val="0"/>
      <w:divBdr>
        <w:top w:val="none" w:sz="0" w:space="0" w:color="auto"/>
        <w:left w:val="none" w:sz="0" w:space="0" w:color="auto"/>
        <w:bottom w:val="none" w:sz="0" w:space="0" w:color="auto"/>
        <w:right w:val="none" w:sz="0" w:space="0" w:color="auto"/>
      </w:divBdr>
    </w:div>
    <w:div w:id="1530871681">
      <w:bodyDiv w:val="1"/>
      <w:marLeft w:val="0"/>
      <w:marRight w:val="0"/>
      <w:marTop w:val="0"/>
      <w:marBottom w:val="0"/>
      <w:divBdr>
        <w:top w:val="none" w:sz="0" w:space="0" w:color="auto"/>
        <w:left w:val="none" w:sz="0" w:space="0" w:color="auto"/>
        <w:bottom w:val="none" w:sz="0" w:space="0" w:color="auto"/>
        <w:right w:val="none" w:sz="0" w:space="0" w:color="auto"/>
      </w:divBdr>
    </w:div>
    <w:div w:id="1573151808">
      <w:bodyDiv w:val="1"/>
      <w:marLeft w:val="0"/>
      <w:marRight w:val="0"/>
      <w:marTop w:val="0"/>
      <w:marBottom w:val="0"/>
      <w:divBdr>
        <w:top w:val="none" w:sz="0" w:space="0" w:color="auto"/>
        <w:left w:val="none" w:sz="0" w:space="0" w:color="auto"/>
        <w:bottom w:val="none" w:sz="0" w:space="0" w:color="auto"/>
        <w:right w:val="none" w:sz="0" w:space="0" w:color="auto"/>
      </w:divBdr>
    </w:div>
    <w:div w:id="1641420477">
      <w:bodyDiv w:val="1"/>
      <w:marLeft w:val="0"/>
      <w:marRight w:val="0"/>
      <w:marTop w:val="0"/>
      <w:marBottom w:val="0"/>
      <w:divBdr>
        <w:top w:val="none" w:sz="0" w:space="0" w:color="auto"/>
        <w:left w:val="none" w:sz="0" w:space="0" w:color="auto"/>
        <w:bottom w:val="none" w:sz="0" w:space="0" w:color="auto"/>
        <w:right w:val="none" w:sz="0" w:space="0" w:color="auto"/>
      </w:divBdr>
    </w:div>
    <w:div w:id="1678338128">
      <w:bodyDiv w:val="1"/>
      <w:marLeft w:val="0"/>
      <w:marRight w:val="0"/>
      <w:marTop w:val="0"/>
      <w:marBottom w:val="0"/>
      <w:divBdr>
        <w:top w:val="none" w:sz="0" w:space="0" w:color="auto"/>
        <w:left w:val="none" w:sz="0" w:space="0" w:color="auto"/>
        <w:bottom w:val="none" w:sz="0" w:space="0" w:color="auto"/>
        <w:right w:val="none" w:sz="0" w:space="0" w:color="auto"/>
      </w:divBdr>
    </w:div>
    <w:div w:id="1679767003">
      <w:bodyDiv w:val="1"/>
      <w:marLeft w:val="0"/>
      <w:marRight w:val="0"/>
      <w:marTop w:val="0"/>
      <w:marBottom w:val="0"/>
      <w:divBdr>
        <w:top w:val="none" w:sz="0" w:space="0" w:color="auto"/>
        <w:left w:val="none" w:sz="0" w:space="0" w:color="auto"/>
        <w:bottom w:val="none" w:sz="0" w:space="0" w:color="auto"/>
        <w:right w:val="none" w:sz="0" w:space="0" w:color="auto"/>
      </w:divBdr>
    </w:div>
    <w:div w:id="1747921713">
      <w:bodyDiv w:val="1"/>
      <w:marLeft w:val="0"/>
      <w:marRight w:val="0"/>
      <w:marTop w:val="0"/>
      <w:marBottom w:val="0"/>
      <w:divBdr>
        <w:top w:val="none" w:sz="0" w:space="0" w:color="auto"/>
        <w:left w:val="none" w:sz="0" w:space="0" w:color="auto"/>
        <w:bottom w:val="none" w:sz="0" w:space="0" w:color="auto"/>
        <w:right w:val="none" w:sz="0" w:space="0" w:color="auto"/>
      </w:divBdr>
    </w:div>
    <w:div w:id="1779986572">
      <w:bodyDiv w:val="1"/>
      <w:marLeft w:val="0"/>
      <w:marRight w:val="0"/>
      <w:marTop w:val="0"/>
      <w:marBottom w:val="0"/>
      <w:divBdr>
        <w:top w:val="none" w:sz="0" w:space="0" w:color="auto"/>
        <w:left w:val="none" w:sz="0" w:space="0" w:color="auto"/>
        <w:bottom w:val="none" w:sz="0" w:space="0" w:color="auto"/>
        <w:right w:val="none" w:sz="0" w:space="0" w:color="auto"/>
      </w:divBdr>
    </w:div>
    <w:div w:id="1839804722">
      <w:bodyDiv w:val="1"/>
      <w:marLeft w:val="0"/>
      <w:marRight w:val="0"/>
      <w:marTop w:val="0"/>
      <w:marBottom w:val="0"/>
      <w:divBdr>
        <w:top w:val="none" w:sz="0" w:space="0" w:color="auto"/>
        <w:left w:val="none" w:sz="0" w:space="0" w:color="auto"/>
        <w:bottom w:val="none" w:sz="0" w:space="0" w:color="auto"/>
        <w:right w:val="none" w:sz="0" w:space="0" w:color="auto"/>
      </w:divBdr>
    </w:div>
    <w:div w:id="1904414078">
      <w:bodyDiv w:val="1"/>
      <w:marLeft w:val="0"/>
      <w:marRight w:val="0"/>
      <w:marTop w:val="0"/>
      <w:marBottom w:val="0"/>
      <w:divBdr>
        <w:top w:val="none" w:sz="0" w:space="0" w:color="auto"/>
        <w:left w:val="none" w:sz="0" w:space="0" w:color="auto"/>
        <w:bottom w:val="none" w:sz="0" w:space="0" w:color="auto"/>
        <w:right w:val="none" w:sz="0" w:space="0" w:color="auto"/>
      </w:divBdr>
    </w:div>
    <w:div w:id="2064284687">
      <w:bodyDiv w:val="1"/>
      <w:marLeft w:val="0"/>
      <w:marRight w:val="0"/>
      <w:marTop w:val="0"/>
      <w:marBottom w:val="0"/>
      <w:divBdr>
        <w:top w:val="none" w:sz="0" w:space="0" w:color="auto"/>
        <w:left w:val="none" w:sz="0" w:space="0" w:color="auto"/>
        <w:bottom w:val="none" w:sz="0" w:space="0" w:color="auto"/>
        <w:right w:val="none" w:sz="0" w:space="0" w:color="auto"/>
      </w:divBdr>
    </w:div>
    <w:div w:id="2110076015">
      <w:bodyDiv w:val="1"/>
      <w:marLeft w:val="0"/>
      <w:marRight w:val="0"/>
      <w:marTop w:val="0"/>
      <w:marBottom w:val="0"/>
      <w:divBdr>
        <w:top w:val="none" w:sz="0" w:space="0" w:color="auto"/>
        <w:left w:val="none" w:sz="0" w:space="0" w:color="auto"/>
        <w:bottom w:val="none" w:sz="0" w:space="0" w:color="auto"/>
        <w:right w:val="none" w:sz="0" w:space="0" w:color="auto"/>
      </w:divBdr>
    </w:div>
    <w:div w:id="213852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stagram.com/p/DRyVfZMkQ3W/" TargetMode="External"/><Relationship Id="rId2" Type="http://schemas.openxmlformats.org/officeDocument/2006/relationships/hyperlink" Target="https://www.eastbaytimes.com/2024/02/21/in-brief-piedmont-taking-survey-on-disaster-readiness-through-march-17/" TargetMode="External"/><Relationship Id="rId1" Type="http://schemas.openxmlformats.org/officeDocument/2006/relationships/hyperlink" Target="https://www.cdcr.ca.gov/bph/2020/01/09/suitability-hearing-summary-cy-1978-through-c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29A4F358CA7439B130DAFE1F5A185" ma:contentTypeVersion="8" ma:contentTypeDescription="Create a new document." ma:contentTypeScope="" ma:versionID="a51352f9fb22c61c72a10c6c2994e3bd">
  <xsd:schema xmlns:xsd="http://www.w3.org/2001/XMLSchema" xmlns:xs="http://www.w3.org/2001/XMLSchema" xmlns:p="http://schemas.microsoft.com/office/2006/metadata/properties" xmlns:ns3="628b5bb2-54a2-482f-86f4-565cbb7575ce" targetNamespace="http://schemas.microsoft.com/office/2006/metadata/properties" ma:root="true" ma:fieldsID="769740426851c5e1a9400a199d8125fb" ns3:_="">
    <xsd:import namespace="628b5bb2-54a2-482f-86f4-565cbb7575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b5bb2-54a2-482f-86f4-565cbb757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28b5bb2-54a2-482f-86f4-565cbb7575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F23F-1127-487A-964F-9854F24BC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b5bb2-54a2-482f-86f4-565cbb757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E67A8-50BF-4AB8-8B5D-67EABF6FDB06}">
  <ds:schemaRefs>
    <ds:schemaRef ds:uri="http://schemas.microsoft.com/office/2006/metadata/properties"/>
    <ds:schemaRef ds:uri="http://schemas.microsoft.com/office/infopath/2007/PartnerControls"/>
    <ds:schemaRef ds:uri="628b5bb2-54a2-482f-86f4-565cbb7575ce"/>
  </ds:schemaRefs>
</ds:datastoreItem>
</file>

<file path=customXml/itemProps3.xml><?xml version="1.0" encoding="utf-8"?>
<ds:datastoreItem xmlns:ds="http://schemas.openxmlformats.org/officeDocument/2006/customXml" ds:itemID="{1E15BDC4-6599-4C5C-8C4C-BC6DE4AB9399}">
  <ds:schemaRefs>
    <ds:schemaRef ds:uri="http://schemas.microsoft.com/sharepoint/v3/contenttype/forms"/>
  </ds:schemaRefs>
</ds:datastoreItem>
</file>

<file path=customXml/itemProps4.xml><?xml version="1.0" encoding="utf-8"?>
<ds:datastoreItem xmlns:ds="http://schemas.openxmlformats.org/officeDocument/2006/customXml" ds:itemID="{D2D846DD-84A9-443E-AA92-5D712738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9358</TotalTime>
  <Pages>23</Pages>
  <Words>4650</Words>
  <Characters>26832</Characters>
  <Application>Microsoft Office Word</Application>
  <DocSecurity>0</DocSecurity>
  <Lines>1412</Lines>
  <Paragraphs>874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Stoller. John</dc:creator>
  <cp:keywords/>
  <dc:description/>
  <cp:lastModifiedBy>Leonard Tauman</cp:lastModifiedBy>
  <cp:revision>51</cp:revision>
  <cp:lastPrinted>2025-12-07T22:46:00Z</cp:lastPrinted>
  <dcterms:created xsi:type="dcterms:W3CDTF">2025-11-26T08:16:00Z</dcterms:created>
  <dcterms:modified xsi:type="dcterms:W3CDTF">2025-12-09T14:56:00Z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0x0101006E229A4F358CA7439B130DAFE1F5A185</vt:lpwstr>
  </property>
</Properties>
</file>